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240" w:lineRule="atLeast"/>
        <w:ind w:left="0" w:leftChars="0" w:firstLine="0" w:firstLineChars="0"/>
        <w:jc w:val="center"/>
        <w:rPr>
          <w:rFonts w:hint="eastAsia" w:ascii="黑体" w:hAnsi="黑体" w:eastAsia="黑体" w:cs="黑体"/>
          <w:kern w:val="2"/>
          <w:sz w:val="21"/>
          <w:szCs w:val="21"/>
          <w:shd w:val="clear" w:color="auto" w:fill="FFFFFF"/>
          <w:lang w:val="en-US" w:eastAsia="zh-CN" w:bidi="ar-SA"/>
        </w:rPr>
      </w:pPr>
      <w:bookmarkStart w:id="0" w:name="_top"/>
      <w:bookmarkEnd w:id="0"/>
    </w:p>
    <w:p>
      <w:pPr>
        <w:widowControl w:val="0"/>
        <w:spacing w:after="0" w:line="240" w:lineRule="atLeast"/>
        <w:ind w:left="0" w:leftChars="0" w:firstLine="0" w:firstLineChars="0"/>
        <w:jc w:val="center"/>
        <w:rPr>
          <w:rFonts w:hint="eastAsia" w:ascii="黑体" w:hAnsi="黑体" w:eastAsia="黑体" w:cs="黑体"/>
          <w:kern w:val="2"/>
          <w:sz w:val="21"/>
          <w:szCs w:val="21"/>
          <w:shd w:val="clear" w:color="auto" w:fill="FFFFFF"/>
          <w:lang w:val="en-US" w:eastAsia="zh-CN" w:bidi="ar-SA"/>
        </w:rPr>
      </w:pPr>
    </w:p>
    <w:p>
      <w:pPr>
        <w:spacing w:after="160" w:line="240" w:lineRule="atLeast"/>
        <w:jc w:val="center"/>
        <w:rPr>
          <w:rFonts w:ascii="Times New Roman" w:hAnsi="Times New Roman" w:eastAsia="黑体" w:cs="Times New Roman"/>
          <w:sz w:val="44"/>
          <w:szCs w:val="44"/>
          <w:shd w:val="clear" w:color="auto" w:fill="FFFFFF"/>
          <w:vertAlign w:val="superscript"/>
        </w:rPr>
      </w:pPr>
      <w:r>
        <w:rPr>
          <w:rFonts w:hint="eastAsia" w:ascii="黑体" w:hAnsi="黑体" w:eastAsia="黑体" w:cs="黑体"/>
          <w:sz w:val="44"/>
          <w:szCs w:val="44"/>
          <w:shd w:val="clear" w:color="auto" w:fill="FFFFFF"/>
        </w:rPr>
        <w:t>附  录</w:t>
      </w:r>
      <w:r>
        <w:rPr>
          <w:rFonts w:ascii="Times New Roman" w:hAnsi="Times New Roman" w:eastAsia="黑体" w:cs="Times New Roman"/>
          <w:sz w:val="44"/>
          <w:szCs w:val="44"/>
          <w:shd w:val="clear" w:color="auto" w:fill="FFFFFF"/>
          <w:vertAlign w:val="superscript"/>
        </w:rPr>
        <w:footnoteReference w:id="0" w:customMarkFollows="1"/>
        <w:t>*</w:t>
      </w:r>
    </w:p>
    <w:p>
      <w:pPr>
        <w:autoSpaceDE w:val="0"/>
        <w:autoSpaceDN w:val="0"/>
        <w:spacing w:after="0" w:line="240" w:lineRule="atLeast"/>
        <w:rPr>
          <w:rFonts w:hint="eastAsia" w:ascii="Times New Roman" w:hAnsi="Times New Roman" w:eastAsia="宋体" w:cs="Times New Roman"/>
          <w:color w:val="000000"/>
          <w:szCs w:val="21"/>
          <w:highlight w:val="none"/>
        </w:rPr>
      </w:pPr>
    </w:p>
    <w:p>
      <w:pPr>
        <w:keepNext w:val="0"/>
        <w:keepLines w:val="0"/>
        <w:pageBreakBefore w:val="0"/>
        <w:widowControl w:val="0"/>
        <w:kinsoku/>
        <w:wordWrap/>
        <w:overflowPunct/>
        <w:topLinePunct w:val="0"/>
        <w:autoSpaceDE/>
        <w:autoSpaceDN/>
        <w:bidi w:val="0"/>
        <w:adjustRightInd/>
        <w:snapToGrid/>
        <w:spacing w:line="279" w:lineRule="auto"/>
        <w:ind w:firstLine="166" w:firstLineChars="100"/>
        <w:jc w:val="center"/>
        <w:textAlignment w:val="auto"/>
        <w:rPr>
          <w:rFonts w:hint="eastAsia" w:ascii="宋体" w:hAnsi="宋体" w:eastAsia="宋体" w:cs="Times New Roman"/>
          <w:b/>
          <w:bCs/>
          <w:color w:val="000000"/>
          <w:kern w:val="2"/>
          <w:sz w:val="18"/>
          <w:szCs w:val="18"/>
          <w:lang w:val="en-US" w:eastAsia="zh-CN" w:bidi="ar-SA"/>
        </w:rPr>
      </w:pPr>
      <w:r>
        <w:rPr>
          <w:rFonts w:hint="eastAsia" w:ascii="宋体" w:hAnsi="宋体" w:eastAsia="宋体" w:cs="Times New Roman"/>
          <w:b/>
          <w:bCs/>
          <w:color w:val="000000"/>
          <w:kern w:val="2"/>
          <w:sz w:val="18"/>
          <w:szCs w:val="18"/>
          <w:lang w:val="en-US" w:eastAsia="zh-CN" w:bidi="ar-SA"/>
        </w:rPr>
        <w:drawing>
          <wp:inline distT="0" distB="0" distL="114300" distR="114300">
            <wp:extent cx="4418330" cy="3044190"/>
            <wp:effectExtent l="0" t="0" r="1270" b="3810"/>
            <wp:docPr id="1" name="图片 1" descr="1751437684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51437684003"/>
                    <pic:cNvPicPr>
                      <a:picLocks noChangeAspect="1"/>
                    </pic:cNvPicPr>
                  </pic:nvPicPr>
                  <pic:blipFill>
                    <a:blip r:embed="rId9"/>
                    <a:stretch>
                      <a:fillRect/>
                    </a:stretch>
                  </pic:blipFill>
                  <pic:spPr>
                    <a:xfrm>
                      <a:off x="0" y="0"/>
                      <a:ext cx="4418330" cy="3044190"/>
                    </a:xfrm>
                    <a:prstGeom prst="rect">
                      <a:avLst/>
                    </a:prstGeom>
                  </pic:spPr>
                </pic:pic>
              </a:graphicData>
            </a:graphic>
          </wp:inline>
        </w:drawing>
      </w:r>
    </w:p>
    <w:p>
      <w:pPr>
        <w:pStyle w:val="2"/>
        <w:jc w:val="center"/>
        <w:rPr>
          <w:rFonts w:hint="eastAsia" w:ascii="宋体" w:hAnsi="宋体" w:cs="宋体"/>
          <w:b/>
          <w:bCs/>
          <w:color w:val="FF0000"/>
          <w:kern w:val="0"/>
          <w:szCs w:val="21"/>
          <w:lang w:bidi="ar"/>
        </w:rPr>
      </w:pPr>
      <w:r>
        <w:rPr>
          <w:rFonts w:hint="eastAsia" w:ascii="Times New Roman" w:hAnsi="Times New Roman" w:eastAsia="黑体" w:cs="Times New Roman"/>
          <w:sz w:val="18"/>
          <w:szCs w:val="20"/>
        </w:rPr>
        <w:t>附图</w:t>
      </w:r>
      <w:r>
        <w:rPr>
          <w:rFonts w:hint="eastAsia" w:ascii="Times New Roman" w:hAnsi="Times New Roman" w:eastAsia="黑体" w:cs="Times New Roman"/>
          <w:sz w:val="18"/>
          <w:szCs w:val="20"/>
          <w:lang w:val="en-US" w:eastAsia="zh-CN"/>
        </w:rPr>
        <w:t>1</w:t>
      </w:r>
      <w:r>
        <w:rPr>
          <w:rFonts w:ascii="Times New Roman" w:hAnsi="Times New Roman" w:eastAsia="黑体" w:cs="Times New Roman"/>
          <w:sz w:val="18"/>
          <w:szCs w:val="20"/>
        </w:rPr>
        <w:t xml:space="preserve">  </w:t>
      </w:r>
      <w:r>
        <w:rPr>
          <w:rFonts w:hint="eastAsia" w:ascii="Times New Roman" w:hAnsi="Times New Roman" w:eastAsia="黑体" w:cs="Times New Roman"/>
          <w:sz w:val="18"/>
          <w:szCs w:val="20"/>
        </w:rPr>
        <w:t>样本分布图</w:t>
      </w:r>
    </w:p>
    <w:p>
      <w:pPr>
        <w:spacing w:line="360" w:lineRule="auto"/>
        <w:jc w:val="center"/>
        <w:rPr>
          <w:rFonts w:hint="eastAsia" w:ascii="Times New Roman" w:hAnsi="Times New Roman" w:eastAsia="黑体" w:cs="Times New Roman"/>
          <w:sz w:val="18"/>
          <w:szCs w:val="20"/>
        </w:rPr>
      </w:pPr>
      <w:r>
        <w:drawing>
          <wp:inline distT="0" distB="0" distL="114300" distR="114300">
            <wp:extent cx="3524885" cy="2115820"/>
            <wp:effectExtent l="0" t="0" r="18415" b="17780"/>
            <wp:docPr id="2" name="图片 2" descr="Figure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igure3_1"/>
                    <pic:cNvPicPr>
                      <a:picLocks noChangeAspect="1"/>
                    </pic:cNvPicPr>
                  </pic:nvPicPr>
                  <pic:blipFill>
                    <a:blip r:embed="rId10"/>
                    <a:stretch>
                      <a:fillRect/>
                    </a:stretch>
                  </pic:blipFill>
                  <pic:spPr>
                    <a:xfrm>
                      <a:off x="0" y="0"/>
                      <a:ext cx="3524885" cy="2115820"/>
                    </a:xfrm>
                    <a:prstGeom prst="rect">
                      <a:avLst/>
                    </a:prstGeom>
                  </pic:spPr>
                </pic:pic>
              </a:graphicData>
            </a:graphic>
          </wp:inline>
        </w:drawing>
      </w:r>
    </w:p>
    <w:p>
      <w:pPr>
        <w:jc w:val="center"/>
        <w:rPr>
          <w:rFonts w:ascii="Times New Roman" w:hAnsi="Times New Roman" w:eastAsia="黑体" w:cs="Times New Roman"/>
          <w:sz w:val="18"/>
          <w:szCs w:val="20"/>
        </w:rPr>
      </w:pPr>
      <w:r>
        <w:rPr>
          <w:rFonts w:hint="eastAsia" w:ascii="Times New Roman" w:hAnsi="Times New Roman" w:eastAsia="黑体" w:cs="Times New Roman"/>
          <w:sz w:val="18"/>
          <w:szCs w:val="20"/>
        </w:rPr>
        <w:t>附图</w:t>
      </w:r>
      <w:r>
        <w:rPr>
          <w:rFonts w:hint="eastAsia" w:ascii="Times New Roman" w:hAnsi="Times New Roman" w:eastAsia="黑体" w:cs="Times New Roman"/>
          <w:sz w:val="18"/>
          <w:szCs w:val="20"/>
          <w:lang w:val="en-US" w:eastAsia="zh-CN"/>
        </w:rPr>
        <w:t>2</w:t>
      </w:r>
      <w:r>
        <w:rPr>
          <w:rFonts w:ascii="Times New Roman" w:hAnsi="Times New Roman" w:eastAsia="黑体" w:cs="Times New Roman"/>
          <w:sz w:val="18"/>
          <w:szCs w:val="20"/>
        </w:rPr>
        <w:t xml:space="preserve">      </w:t>
      </w:r>
      <w:bookmarkStart w:id="1" w:name="OLE_LINK82"/>
      <w:r>
        <w:rPr>
          <w:rFonts w:hint="eastAsia" w:ascii="Times New Roman" w:hAnsi="Times New Roman" w:eastAsia="黑体" w:cs="Times New Roman"/>
          <w:sz w:val="18"/>
          <w:szCs w:val="20"/>
          <w:lang w:val="en-US" w:eastAsia="zh-CN"/>
        </w:rPr>
        <w:t>养育质量社会支持对</w:t>
      </w:r>
      <w:r>
        <w:rPr>
          <w:rFonts w:hint="eastAsia" w:ascii="Times New Roman" w:hAnsi="Times New Roman" w:eastAsia="黑体" w:cs="Times New Roman"/>
          <w:sz w:val="18"/>
          <w:szCs w:val="20"/>
        </w:rPr>
        <w:t>综合生育意愿影响效果</w:t>
      </w:r>
      <w:r>
        <w:rPr>
          <w:rFonts w:hint="eastAsia" w:ascii="Times New Roman" w:hAnsi="Times New Roman" w:eastAsia="黑体" w:cs="Times New Roman"/>
          <w:sz w:val="18"/>
          <w:szCs w:val="20"/>
          <w:lang w:val="en-US" w:eastAsia="zh-CN"/>
        </w:rPr>
        <w:t>的</w:t>
      </w:r>
      <w:r>
        <w:rPr>
          <w:rFonts w:hint="eastAsia" w:ascii="Times New Roman" w:hAnsi="Times New Roman" w:eastAsia="黑体" w:cs="Times New Roman"/>
          <w:sz w:val="18"/>
          <w:szCs w:val="20"/>
        </w:rPr>
        <w:t>安慰剂检验分布图</w:t>
      </w:r>
      <w:bookmarkEnd w:id="1"/>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宋体" w:hAnsi="宋体" w:cs="宋体"/>
          <w:b/>
          <w:bCs/>
          <w:color w:val="FF0000"/>
          <w:kern w:val="0"/>
          <w:szCs w:val="21"/>
          <w:lang w:bidi="ar"/>
        </w:rPr>
      </w:pPr>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hint="eastAsia"/>
        </w:rPr>
      </w:pPr>
      <w:r>
        <w:rPr>
          <w:rFonts w:hint="eastAsia" w:ascii="Times New Roman" w:eastAsia="黑体" w:cs="Times New Roman"/>
          <w:sz w:val="18"/>
          <w:szCs w:val="18"/>
          <w14:ligatures w14:val="standardContextual"/>
        </w:rPr>
        <w:t xml:space="preserve">附表1                       </w:t>
      </w:r>
      <w:r>
        <w:rPr>
          <w:rFonts w:hint="eastAsia" w:ascii="Times New Roman" w:eastAsia="黑体" w:cs="Times New Roman"/>
          <w:sz w:val="18"/>
          <w:szCs w:val="18"/>
          <w:lang w:val="en-US" w:eastAsia="zh-CN"/>
          <w14:ligatures w14:val="standardContextual"/>
        </w:rPr>
        <w:t xml:space="preserve">  </w:t>
      </w:r>
      <w:r>
        <w:rPr>
          <w:rFonts w:hint="eastAsia" w:ascii="Times New Roman" w:eastAsia="黑体" w:cs="Times New Roman"/>
          <w:sz w:val="18"/>
          <w:szCs w:val="18"/>
          <w14:ligatures w14:val="standardContextual"/>
        </w:rPr>
        <w:t xml:space="preserve">     </w:t>
      </w:r>
      <w:bookmarkStart w:id="2" w:name="OLE_LINK83"/>
      <w:r>
        <w:rPr>
          <w:rFonts w:hint="eastAsia" w:ascii="Times New Roman" w:eastAsia="黑体" w:cs="Times New Roman"/>
          <w:sz w:val="18"/>
          <w:szCs w:val="18"/>
          <w14:ligatures w14:val="standardContextual"/>
        </w:rPr>
        <w:t>基线特征平衡性检验</w:t>
      </w:r>
      <w:bookmarkEnd w:id="2"/>
    </w:p>
    <w:tbl>
      <w:tblPr>
        <w:tblStyle w:val="33"/>
        <w:tblW w:w="8631" w:type="dxa"/>
        <w:jc w:val="center"/>
        <w:tblInd w:w="-538"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
      <w:tblGrid>
        <w:gridCol w:w="2591"/>
        <w:gridCol w:w="2013"/>
        <w:gridCol w:w="2013"/>
        <w:gridCol w:w="2014"/>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vMerge w:val="restart"/>
            <w:tcBorders>
              <w:left w:val="nil"/>
              <w:bottom w:val="single" w:color="000000" w:sz="4" w:space="0"/>
              <w:right w:val="single" w:color="auto" w:sz="4" w:space="0"/>
            </w:tcBorders>
            <w:shd w:val="clear" w:color="auto" w:fill="auto"/>
            <w:noWra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bookmarkStart w:id="3" w:name="OLE_LINK3"/>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变量</w:t>
            </w:r>
          </w:p>
        </w:tc>
        <w:tc>
          <w:tcPr>
            <w:tcW w:w="2013" w:type="dxa"/>
            <w:tcBorders>
              <w:left w:val="single" w:color="auto" w:sz="4" w:space="0"/>
              <w:bottom w:val="single" w:color="auto" w:sz="4" w:space="0"/>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控制组</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w:t>
            </w:r>
            <w:r>
              <w:rPr>
                <w:rFonts w:ascii="Times New Roman" w:hAnsi="Times New Roman" w:eastAsia="宋体" w:cs="Times New Roman"/>
                <w:bCs w:val="0"/>
                <w:color w:val="000000"/>
                <w:sz w:val="18"/>
                <w:szCs w:val="18"/>
              </w:rPr>
              <w:t>N=329</w:t>
            </w:r>
            <w:r>
              <w:rPr>
                <w:rFonts w:hint="eastAsia" w:ascii="Times New Roman" w:hAnsi="Times New Roman" w:eastAsia="宋体" w:cs="Times New Roman"/>
                <w:bCs w:val="0"/>
                <w:color w:val="000000"/>
                <w:sz w:val="18"/>
                <w:szCs w:val="18"/>
              </w:rPr>
              <w:t>）</w:t>
            </w:r>
          </w:p>
        </w:tc>
        <w:tc>
          <w:tcPr>
            <w:tcW w:w="2013" w:type="dxa"/>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干预组</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w:t>
            </w:r>
            <w:r>
              <w:rPr>
                <w:rFonts w:ascii="Times New Roman" w:hAnsi="Times New Roman" w:eastAsia="宋体" w:cs="Times New Roman"/>
                <w:bCs w:val="0"/>
                <w:color w:val="000000"/>
                <w:sz w:val="18"/>
                <w:szCs w:val="18"/>
              </w:rPr>
              <w:t>N=327</w:t>
            </w:r>
            <w:r>
              <w:rPr>
                <w:rFonts w:hint="eastAsia" w:ascii="Times New Roman" w:hAnsi="Times New Roman" w:eastAsia="宋体" w:cs="Times New Roman"/>
                <w:bCs w:val="0"/>
                <w:color w:val="000000"/>
                <w:sz w:val="18"/>
                <w:szCs w:val="18"/>
              </w:rPr>
              <w:t>）</w:t>
            </w:r>
          </w:p>
        </w:tc>
        <w:tc>
          <w:tcPr>
            <w:tcW w:w="2014" w:type="dxa"/>
            <w:tcBorders>
              <w:left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差值</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vMerge w:val="continue"/>
            <w:tcBorders>
              <w:top w:val="nil"/>
              <w:left w:val="nil"/>
              <w:bottom w:val="single" w:color="000000"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ascii="Times New Roman" w:hAnsi="Times New Roman" w:eastAsia="宋体" w:cs="Times New Roman"/>
                <w:bCs w:val="0"/>
                <w:color w:val="000000"/>
                <w:sz w:val="18"/>
                <w:szCs w:val="18"/>
              </w:rPr>
              <w:t>1</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ascii="Times New Roman" w:hAnsi="Times New Roman" w:eastAsia="宋体" w:cs="Times New Roman"/>
                <w:bCs w:val="0"/>
                <w:color w:val="000000"/>
                <w:sz w:val="18"/>
                <w:szCs w:val="18"/>
              </w:rPr>
              <w:t>2</w:t>
            </w:r>
            <w:r>
              <w:rPr>
                <w:rFonts w:hint="eastAsia" w:ascii="Times New Roman" w:hAnsi="Times New Roman" w:eastAsia="宋体" w:cs="Times New Roman"/>
                <w:bCs w:val="0"/>
                <w:color w:val="000000"/>
                <w:sz w:val="18"/>
                <w:szCs w:val="18"/>
                <w:lang w:eastAsia="zh-CN"/>
              </w:rPr>
              <w:t>）</w:t>
            </w:r>
          </w:p>
        </w:tc>
        <w:tc>
          <w:tcPr>
            <w:tcW w:w="2014" w:type="dxa"/>
            <w:tcBorders>
              <w:left w:val="single" w:color="auto" w:sz="4" w:space="0"/>
              <w:bottom w:val="single" w:color="000000" w:sz="4" w:space="0"/>
              <w:right w:val="nil"/>
            </w:tcBorders>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ascii="Times New Roman" w:hAnsi="Times New Roman" w:eastAsia="宋体" w:cs="Times New Roman"/>
                <w:bCs w:val="0"/>
                <w:color w:val="000000"/>
                <w:sz w:val="18"/>
                <w:szCs w:val="18"/>
              </w:rPr>
              <w:t>2</w:t>
            </w:r>
            <w:r>
              <w:rPr>
                <w:rFonts w:hint="eastAsia" w:ascii="Times New Roman" w:hAnsi="Times New Roman" w:eastAsia="宋体" w:cs="Times New Roman"/>
                <w:bCs w:val="0"/>
                <w:color w:val="000000"/>
                <w:sz w:val="18"/>
                <w:szCs w:val="18"/>
                <w:lang w:eastAsia="zh-CN"/>
              </w:rPr>
              <w:t>）</w:t>
            </w:r>
            <w:r>
              <w:rPr>
                <w:rFonts w:ascii="Times New Roman" w:hAnsi="Times New Roman" w:eastAsia="宋体" w:cs="Times New Roman"/>
                <w:bCs w:val="0"/>
                <w:color w:val="000000"/>
                <w:sz w:val="18"/>
                <w:szCs w:val="18"/>
              </w:rPr>
              <w:t>–</w:t>
            </w:r>
            <w:r>
              <w:rPr>
                <w:rFonts w:hint="eastAsia" w:ascii="Times New Roman" w:hAnsi="Times New Roman" w:eastAsia="宋体" w:cs="Times New Roman"/>
                <w:bCs w:val="0"/>
                <w:color w:val="000000"/>
                <w:sz w:val="18"/>
                <w:szCs w:val="18"/>
                <w:lang w:eastAsia="zh-CN"/>
              </w:rPr>
              <w:t>（</w:t>
            </w:r>
            <w:r>
              <w:rPr>
                <w:rFonts w:ascii="Times New Roman" w:hAnsi="Times New Roman" w:eastAsia="宋体" w:cs="Times New Roman"/>
                <w:bCs w:val="0"/>
                <w:color w:val="000000"/>
                <w:sz w:val="18"/>
                <w:szCs w:val="18"/>
              </w:rPr>
              <w:t>1</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理想孩子数（基线）</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1.821</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1.804</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0.016</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0.507</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0.518</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0.043</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single" w:color="auto" w:sz="4" w:space="0"/>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妇女个人特征</w:t>
            </w:r>
          </w:p>
        </w:tc>
        <w:tc>
          <w:tcPr>
            <w:tcW w:w="201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c>
          <w:tcPr>
            <w:tcW w:w="2013" w:type="dxa"/>
            <w:tcBorders>
              <w:top w:val="single" w:color="auto" w:sz="4" w:space="0"/>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c>
          <w:tcPr>
            <w:tcW w:w="2014"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妇女年龄</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29.05</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28.64</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0.413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4.228</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4.319</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0.383</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妇女健康状况</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1.070</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1.138</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0.068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1.131</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1.204</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0.087</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kern w:val="0"/>
                <w:sz w:val="18"/>
                <w:szCs w:val="18"/>
              </w:rPr>
              <w:t>妇女受教育水平</w:t>
            </w:r>
            <w:r>
              <w:rPr>
                <w:rFonts w:ascii="Times New Roman" w:hAnsi="Times New Roman" w:eastAsia="宋体" w:cs="Times New Roman"/>
                <w:bCs w:val="0"/>
                <w:color w:val="000000"/>
                <w:kern w:val="0"/>
                <w:sz w:val="18"/>
                <w:szCs w:val="18"/>
              </w:rPr>
              <w:t>_</w:t>
            </w:r>
            <w:r>
              <w:rPr>
                <w:rFonts w:hint="eastAsia" w:ascii="Times New Roman" w:hAnsi="Times New Roman" w:eastAsia="宋体" w:cs="Times New Roman"/>
                <w:bCs w:val="0"/>
                <w:color w:val="000000"/>
                <w:kern w:val="0"/>
                <w:sz w:val="18"/>
                <w:szCs w:val="18"/>
              </w:rPr>
              <w:t>高中</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0.222</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0.208</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0.014</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0.416</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0.406</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0.034</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bookmarkStart w:id="4" w:name="OLE_LINK4"/>
            <w:r>
              <w:rPr>
                <w:rFonts w:hint="eastAsia" w:ascii="Times New Roman" w:hAnsi="Times New Roman" w:eastAsia="宋体" w:cs="Times New Roman"/>
                <w:bCs w:val="0"/>
                <w:color w:val="000000"/>
                <w:kern w:val="0"/>
                <w:sz w:val="18"/>
                <w:szCs w:val="18"/>
              </w:rPr>
              <w:t>妇女受教育水平</w:t>
            </w:r>
            <w:r>
              <w:rPr>
                <w:rFonts w:ascii="Times New Roman" w:hAnsi="Times New Roman" w:eastAsia="宋体" w:cs="Times New Roman"/>
                <w:bCs w:val="0"/>
                <w:color w:val="000000"/>
                <w:kern w:val="0"/>
                <w:sz w:val="18"/>
                <w:szCs w:val="18"/>
              </w:rPr>
              <w:t>_</w:t>
            </w:r>
            <w:r>
              <w:rPr>
                <w:rFonts w:hint="eastAsia" w:ascii="Times New Roman" w:hAnsi="Times New Roman" w:eastAsia="宋体" w:cs="Times New Roman"/>
                <w:bCs w:val="0"/>
                <w:color w:val="000000"/>
                <w:kern w:val="0"/>
                <w:sz w:val="18"/>
                <w:szCs w:val="18"/>
              </w:rPr>
              <w:t>大专及以上</w:t>
            </w:r>
            <w:bookmarkEnd w:id="4"/>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0.173</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0.196</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0.022</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0.379</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0.397</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0.034</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妇女有工作</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0.103</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0.0826</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0.021</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0.305</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0.276</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0.028</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kern w:val="0"/>
                <w:sz w:val="18"/>
                <w:szCs w:val="18"/>
              </w:rPr>
              <w:t>妇女农村户口</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0.951</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0.960</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0.009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0.215</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0.196</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0.015</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single" w:color="auto" w:sz="4" w:space="0"/>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家庭成员特征</w:t>
            </w:r>
          </w:p>
        </w:tc>
        <w:tc>
          <w:tcPr>
            <w:tcW w:w="201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c>
          <w:tcPr>
            <w:tcW w:w="2013" w:type="dxa"/>
            <w:tcBorders>
              <w:top w:val="single" w:color="auto" w:sz="4" w:space="0"/>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c>
          <w:tcPr>
            <w:tcW w:w="2014"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孩子性别</w:t>
            </w:r>
            <w:r>
              <w:rPr>
                <w:rFonts w:ascii="Times New Roman" w:hAnsi="Times New Roman" w:eastAsia="宋体" w:cs="Times New Roman"/>
                <w:bCs w:val="0"/>
                <w:color w:val="000000"/>
                <w:sz w:val="18"/>
                <w:szCs w:val="18"/>
              </w:rPr>
              <w:t>_</w:t>
            </w:r>
            <w:r>
              <w:rPr>
                <w:rFonts w:hint="eastAsia" w:ascii="Times New Roman" w:hAnsi="Times New Roman" w:eastAsia="宋体" w:cs="Times New Roman"/>
                <w:bCs w:val="0"/>
                <w:color w:val="000000"/>
                <w:sz w:val="18"/>
                <w:szCs w:val="18"/>
              </w:rPr>
              <w:t>男</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0.511</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0.578</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0.067</w:t>
            </w:r>
            <w:r>
              <w:rPr>
                <w:rFonts w:hint="eastAsia" w:ascii="Times New Roman" w:hAnsi="Times New Roman" w:eastAsia="宋体" w:cs="Times New Roman"/>
                <w:bCs w:val="0"/>
                <w:color w:val="000000"/>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0.501</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0.495</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0.036</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孩子数量</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0.666</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0.673</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0.007</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0.556</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0.596</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0.047</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家庭人口数</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6.900</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6.933</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0.033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0.883</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0.924</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0.076</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丈夫受教育水平</w:t>
            </w:r>
            <w:r>
              <w:rPr>
                <w:rFonts w:ascii="Times New Roman" w:hAnsi="Times New Roman" w:eastAsia="宋体" w:cs="Times New Roman"/>
                <w:bCs w:val="0"/>
                <w:color w:val="000000"/>
                <w:sz w:val="18"/>
                <w:szCs w:val="18"/>
              </w:rPr>
              <w:t>_</w:t>
            </w:r>
            <w:r>
              <w:rPr>
                <w:rFonts w:hint="eastAsia" w:ascii="Times New Roman" w:hAnsi="Times New Roman" w:eastAsia="宋体" w:cs="Times New Roman"/>
                <w:bCs w:val="0"/>
                <w:color w:val="000000"/>
                <w:kern w:val="0"/>
                <w:sz w:val="18"/>
                <w:szCs w:val="18"/>
              </w:rPr>
              <w:t>高中</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0.304</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0.284</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0.020</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0.461</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0.452</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0.036</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丈夫受教育水平</w:t>
            </w:r>
            <w:r>
              <w:rPr>
                <w:rFonts w:ascii="Times New Roman" w:hAnsi="Times New Roman" w:eastAsia="宋体" w:cs="Times New Roman"/>
                <w:bCs w:val="0"/>
                <w:color w:val="000000"/>
                <w:sz w:val="18"/>
                <w:szCs w:val="18"/>
              </w:rPr>
              <w:t>_</w:t>
            </w:r>
            <w:r>
              <w:rPr>
                <w:rFonts w:hint="eastAsia" w:ascii="Times New Roman" w:hAnsi="Times New Roman" w:eastAsia="宋体" w:cs="Times New Roman"/>
                <w:bCs w:val="0"/>
                <w:color w:val="000000"/>
                <w:kern w:val="0"/>
                <w:sz w:val="18"/>
                <w:szCs w:val="18"/>
              </w:rPr>
              <w:t>大专及以上</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0.179</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0.147</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0.033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0.384</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0.354</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0.028</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single" w:color="auto" w:sz="4" w:space="0"/>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其他家庭特征</w:t>
            </w:r>
          </w:p>
        </w:tc>
        <w:tc>
          <w:tcPr>
            <w:tcW w:w="201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c>
          <w:tcPr>
            <w:tcW w:w="2013" w:type="dxa"/>
            <w:tcBorders>
              <w:top w:val="single" w:color="auto" w:sz="4" w:space="0"/>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c>
          <w:tcPr>
            <w:tcW w:w="2014"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家庭收入（对数）</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1.752</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1.652</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0.099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0.657</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0.745</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0.067</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是否与丈夫同住</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0.635</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0.606</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0.030</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0.482</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0.489</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0.039</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家庭主要照护人：丈夫</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0.213</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0.235</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0.023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0.410</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0.425</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0.029</w:t>
            </w:r>
            <w:r>
              <w:rPr>
                <w:rFonts w:hint="eastAsia" w:ascii="Times New Roman" w:hAnsi="Times New Roman" w:eastAsia="宋体" w:cs="Times New Roman"/>
                <w:bCs w:val="0"/>
                <w:color w:val="000000"/>
                <w:sz w:val="18"/>
                <w:szCs w:val="18"/>
                <w:lang w:eastAsia="zh-CN"/>
              </w:rPr>
              <w:t>）</w:t>
            </w:r>
          </w:p>
        </w:tc>
      </w:tr>
    </w:tbl>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hint="eastAsia" w:eastAsia="黑体"/>
          <w:lang w:eastAsia="zh-CN"/>
        </w:rPr>
      </w:pPr>
      <w:r>
        <w:rPr>
          <w:rFonts w:hint="eastAsia" w:ascii="Times New Roman" w:eastAsia="黑体" w:cs="Times New Roman"/>
          <w:sz w:val="18"/>
          <w:szCs w:val="18"/>
          <w14:ligatures w14:val="standardContextual"/>
        </w:rPr>
        <w:t>附表1</w:t>
      </w:r>
      <w:r>
        <w:rPr>
          <w:rFonts w:hint="eastAsia" w:ascii="Times New Roman" w:eastAsia="黑体" w:cs="Times New Roman"/>
          <w:sz w:val="18"/>
          <w:szCs w:val="18"/>
          <w:lang w:eastAsia="zh-CN"/>
          <w14:ligatures w14:val="standardContextual"/>
        </w:rPr>
        <w:t>（</w:t>
      </w:r>
      <w:r>
        <w:rPr>
          <w:rFonts w:hint="eastAsia" w:ascii="Times New Roman" w:eastAsia="黑体" w:cs="Times New Roman"/>
          <w:sz w:val="18"/>
          <w:szCs w:val="18"/>
          <w:lang w:val="en-US" w:eastAsia="zh-CN"/>
          <w14:ligatures w14:val="standardContextual"/>
        </w:rPr>
        <w:t>续</w:t>
      </w:r>
      <w:r>
        <w:rPr>
          <w:rFonts w:hint="eastAsia" w:ascii="Times New Roman" w:eastAsia="黑体" w:cs="Times New Roman"/>
          <w:sz w:val="18"/>
          <w:szCs w:val="18"/>
          <w:lang w:eastAsia="zh-CN"/>
          <w14:ligatures w14:val="standardContextual"/>
        </w:rPr>
        <w:t>）</w:t>
      </w:r>
    </w:p>
    <w:tbl>
      <w:tblPr>
        <w:tblStyle w:val="33"/>
        <w:tblW w:w="8631" w:type="dxa"/>
        <w:jc w:val="center"/>
        <w:tblInd w:w="-538"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
      <w:tblGrid>
        <w:gridCol w:w="2591"/>
        <w:gridCol w:w="2013"/>
        <w:gridCol w:w="2013"/>
        <w:gridCol w:w="2014"/>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single" w:color="auto" w:sz="4" w:space="0"/>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家庭主要照护人：婆婆</w:t>
            </w:r>
            <w:r>
              <w:rPr>
                <w:rFonts w:hint="eastAsia" w:ascii="Times New Roman" w:hAnsi="Times New Roman" w:eastAsia="宋体" w:cs="Times New Roman"/>
                <w:bCs w:val="0"/>
                <w:color w:val="000000"/>
                <w:sz w:val="18"/>
                <w:szCs w:val="18"/>
                <w:lang w:val="en-US" w:eastAsia="zh-CN"/>
              </w:rPr>
              <w:t>或</w:t>
            </w:r>
            <w:r>
              <w:rPr>
                <w:rFonts w:hint="eastAsia" w:ascii="Times New Roman" w:hAnsi="Times New Roman" w:eastAsia="宋体" w:cs="Times New Roman"/>
                <w:bCs w:val="0"/>
                <w:color w:val="000000"/>
                <w:sz w:val="18"/>
                <w:szCs w:val="18"/>
              </w:rPr>
              <w:t>公公</w:t>
            </w:r>
          </w:p>
        </w:tc>
        <w:tc>
          <w:tcPr>
            <w:tcW w:w="201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0.605</w:t>
            </w:r>
          </w:p>
        </w:tc>
        <w:tc>
          <w:tcPr>
            <w:tcW w:w="2013" w:type="dxa"/>
            <w:tcBorders>
              <w:top w:val="single" w:color="auto" w:sz="4" w:space="0"/>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0.587</w:t>
            </w:r>
          </w:p>
        </w:tc>
        <w:tc>
          <w:tcPr>
            <w:tcW w:w="2014"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bCs w:val="0"/>
                <w:color w:val="000000"/>
                <w:sz w:val="18"/>
                <w:szCs w:val="18"/>
              </w:rPr>
              <w:t>0.018</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bookmarkStart w:id="10" w:name="_GoBack"/>
            <w:bookmarkEnd w:id="10"/>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0.490</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0.493</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0.042</w:t>
            </w:r>
            <w:r>
              <w:rPr>
                <w:rFonts w:hint="eastAsia" w:ascii="Times New Roman" w:hAnsi="Times New Roman" w:eastAsia="宋体" w:cs="Times New Roman"/>
                <w:bCs w:val="0"/>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166" w:firstLineChars="100"/>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距离医院距离（</w:t>
            </w:r>
            <w:r>
              <w:rPr>
                <w:rFonts w:hint="eastAsia" w:ascii="Times New Roman" w:hAnsi="Times New Roman" w:eastAsia="宋体" w:cs="Times New Roman"/>
                <w:bCs w:val="0"/>
                <w:color w:val="000000"/>
                <w:sz w:val="18"/>
                <w:szCs w:val="18"/>
                <w:lang w:val="en-US" w:eastAsia="zh-CN"/>
              </w:rPr>
              <w:t>取</w:t>
            </w:r>
            <w:r>
              <w:rPr>
                <w:rFonts w:hint="eastAsia" w:ascii="Times New Roman" w:hAnsi="Times New Roman" w:eastAsia="宋体" w:cs="Times New Roman"/>
                <w:bCs w:val="0"/>
                <w:color w:val="000000"/>
                <w:sz w:val="18"/>
                <w:szCs w:val="18"/>
              </w:rPr>
              <w:t>对数）</w:t>
            </w:r>
          </w:p>
        </w:tc>
        <w:tc>
          <w:tcPr>
            <w:tcW w:w="2013"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2.522</w:t>
            </w:r>
          </w:p>
        </w:tc>
        <w:tc>
          <w:tcPr>
            <w:tcW w:w="2013" w:type="dxa"/>
            <w:tcBorders>
              <w:top w:val="nil"/>
              <w:left w:val="single" w:color="auto" w:sz="4" w:space="0"/>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2.721</w:t>
            </w:r>
          </w:p>
        </w:tc>
        <w:tc>
          <w:tcPr>
            <w:tcW w:w="2014" w:type="dxa"/>
            <w:tcBorders>
              <w:top w:val="nil"/>
              <w:left w:val="single" w:color="auto" w:sz="4" w:space="0"/>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bCs w:val="0"/>
                <w:color w:val="000000"/>
                <w:sz w:val="18"/>
                <w:szCs w:val="18"/>
              </w:rPr>
            </w:pPr>
            <w:r>
              <w:rPr>
                <w:rFonts w:hint="eastAsia" w:ascii="Times New Roman" w:hAnsi="Times New Roman" w:eastAsia="宋体" w:cs="Times New Roman"/>
                <w:bCs w:val="0"/>
                <w:color w:val="000000"/>
                <w:sz w:val="18"/>
                <w:szCs w:val="18"/>
              </w:rPr>
              <w:t>0.199</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2591" w:type="dxa"/>
            <w:tcBorders>
              <w:top w:val="nil"/>
              <w:left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bCs w:val="0"/>
                <w:color w:val="000000"/>
                <w:sz w:val="18"/>
                <w:szCs w:val="18"/>
              </w:rPr>
            </w:pPr>
          </w:p>
        </w:tc>
        <w:tc>
          <w:tcPr>
            <w:tcW w:w="2013" w:type="dxa"/>
            <w:tcBorders>
              <w:top w:val="nil"/>
              <w:left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1.120</w:t>
            </w:r>
            <w:r>
              <w:rPr>
                <w:rFonts w:hint="eastAsia" w:ascii="Times New Roman" w:hAnsi="Times New Roman" w:eastAsia="宋体" w:cs="Times New Roman"/>
                <w:bCs w:val="0"/>
                <w:color w:val="000000"/>
                <w:sz w:val="18"/>
                <w:szCs w:val="18"/>
                <w:lang w:eastAsia="zh-CN"/>
              </w:rPr>
              <w:t>）</w:t>
            </w:r>
          </w:p>
        </w:tc>
        <w:tc>
          <w:tcPr>
            <w:tcW w:w="2013" w:type="dxa"/>
            <w:tcBorders>
              <w:top w:val="nil"/>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0.978</w:t>
            </w:r>
            <w:r>
              <w:rPr>
                <w:rFonts w:hint="eastAsia" w:ascii="Times New Roman" w:hAnsi="Times New Roman" w:eastAsia="宋体" w:cs="Times New Roman"/>
                <w:bCs w:val="0"/>
                <w:color w:val="000000"/>
                <w:sz w:val="18"/>
                <w:szCs w:val="18"/>
                <w:lang w:eastAsia="zh-CN"/>
              </w:rPr>
              <w:t>）</w:t>
            </w:r>
          </w:p>
        </w:tc>
        <w:tc>
          <w:tcPr>
            <w:tcW w:w="2014" w:type="dxa"/>
            <w:tcBorders>
              <w:top w:val="nil"/>
              <w:left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bCs w:val="0"/>
                <w:color w:val="000000"/>
                <w:sz w:val="18"/>
                <w:szCs w:val="18"/>
                <w:lang w:eastAsia="zh-CN"/>
              </w:rPr>
            </w:pPr>
            <w:r>
              <w:rPr>
                <w:rFonts w:hint="eastAsia" w:ascii="Times New Roman" w:hAnsi="Times New Roman" w:eastAsia="宋体" w:cs="Times New Roman"/>
                <w:bCs w:val="0"/>
                <w:color w:val="000000"/>
                <w:sz w:val="18"/>
                <w:szCs w:val="18"/>
                <w:lang w:eastAsia="zh-CN"/>
              </w:rPr>
              <w:t>（</w:t>
            </w:r>
            <w:r>
              <w:rPr>
                <w:rFonts w:hint="eastAsia" w:ascii="Times New Roman" w:hAnsi="Times New Roman" w:eastAsia="宋体" w:cs="Times New Roman"/>
                <w:bCs w:val="0"/>
                <w:color w:val="000000"/>
                <w:sz w:val="18"/>
                <w:szCs w:val="18"/>
              </w:rPr>
              <w:t>0.180</w:t>
            </w:r>
            <w:r>
              <w:rPr>
                <w:rFonts w:hint="eastAsia" w:ascii="Times New Roman" w:hAnsi="Times New Roman" w:eastAsia="宋体" w:cs="Times New Roman"/>
                <w:bCs w:val="0"/>
                <w:color w:val="000000"/>
                <w:sz w:val="18"/>
                <w:szCs w:val="18"/>
                <w:lang w:eastAsia="zh-CN"/>
              </w:rPr>
              <w:t>）</w:t>
            </w:r>
          </w:p>
        </w:tc>
      </w:tr>
      <w:bookmarkEnd w:id="3"/>
    </w:tbl>
    <w:p>
      <w:pPr>
        <w:ind w:firstLine="332" w:firstLineChars="200"/>
        <w:rPr>
          <w:rFonts w:ascii="Times New Roman" w:hAnsi="Times New Roman" w:eastAsia="宋体" w:cs="Times New Roman"/>
          <w:sz w:val="18"/>
          <w:szCs w:val="18"/>
        </w:rPr>
      </w:pPr>
    </w:p>
    <w:p>
      <w:pPr>
        <w:pStyle w:val="2"/>
        <w:spacing w:after="0" w:line="240" w:lineRule="auto"/>
        <w:ind w:left="392" w:firstLine="0"/>
        <w:rPr>
          <w:rFonts w:hint="default" w:ascii="Times New Roman" w:eastAsia="黑体" w:cs="Times New Roman"/>
          <w:sz w:val="18"/>
          <w:szCs w:val="18"/>
          <w:lang w:val="en-US" w:eastAsia="zh-CN"/>
          <w14:ligatures w14:val="standardContextual"/>
        </w:rPr>
      </w:pPr>
      <w:r>
        <w:rPr>
          <w:rFonts w:hint="eastAsia" w:ascii="Times New Roman" w:eastAsia="黑体" w:cs="Times New Roman"/>
          <w:sz w:val="18"/>
          <w:szCs w:val="18"/>
          <w:lang w:val="en-US" w:eastAsia="zh-CN"/>
          <w14:ligatures w14:val="standardContextual"/>
        </w:rPr>
        <w:t>附表2</w:t>
      </w:r>
      <w:r>
        <w:rPr>
          <w:rFonts w:ascii="Times New Roman" w:eastAsia="黑体" w:cs="Times New Roman"/>
          <w:sz w:val="18"/>
          <w:szCs w:val="18"/>
          <w14:ligatures w14:val="standardContextual"/>
        </w:rPr>
        <w:t xml:space="preserve">          </w:t>
      </w:r>
      <w:r>
        <w:rPr>
          <w:rFonts w:hint="eastAsia" w:ascii="Times New Roman" w:eastAsia="黑体" w:cs="Times New Roman"/>
          <w:sz w:val="18"/>
          <w:szCs w:val="16"/>
          <w:lang w:val="en-US" w:eastAsia="zh-CN"/>
          <w14:ligatures w14:val="standardContextual"/>
        </w:rPr>
        <w:t>养育质量社会支持</w:t>
      </w:r>
      <w:r>
        <w:rPr>
          <w:rFonts w:hint="eastAsia" w:ascii="Times New Roman" w:eastAsia="黑体" w:cs="Times New Roman"/>
          <w:sz w:val="18"/>
          <w:szCs w:val="18"/>
          <w14:ligatures w14:val="standardContextual"/>
        </w:rPr>
        <w:t>对妇女再多一个孩子的性别</w:t>
      </w:r>
      <w:r>
        <w:rPr>
          <w:rFonts w:hint="eastAsia" w:ascii="Times New Roman" w:eastAsia="黑体" w:cs="Times New Roman"/>
          <w:sz w:val="18"/>
          <w:szCs w:val="18"/>
          <w:lang w:val="en-US" w:eastAsia="zh-CN"/>
          <w14:ligatures w14:val="standardContextual"/>
        </w:rPr>
        <w:t>偏好</w:t>
      </w:r>
      <w:r>
        <w:rPr>
          <w:rFonts w:hint="eastAsia" w:ascii="Times New Roman" w:eastAsia="黑体" w:cs="Times New Roman"/>
          <w:sz w:val="18"/>
          <w:szCs w:val="18"/>
          <w14:ligatures w14:val="standardContextual"/>
        </w:rPr>
        <w:t>影响</w:t>
      </w:r>
      <w:r>
        <w:rPr>
          <w:rFonts w:hint="eastAsia" w:ascii="Times New Roman" w:eastAsia="黑体" w:cs="Times New Roman"/>
          <w:sz w:val="18"/>
          <w:szCs w:val="18"/>
          <w:lang w:val="en-US" w:eastAsia="zh-CN"/>
          <w14:ligatures w14:val="standardContextual"/>
        </w:rPr>
        <w:t>的回归分析</w:t>
      </w:r>
    </w:p>
    <w:tbl>
      <w:tblPr>
        <w:tblStyle w:val="33"/>
        <w:tblW w:w="8615" w:type="dxa"/>
        <w:jc w:val="center"/>
        <w:tblInd w:w="-516" w:type="dxa"/>
        <w:tblLayout w:type="fixed"/>
        <w:tblCellMar>
          <w:top w:w="0" w:type="dxa"/>
          <w:left w:w="108" w:type="dxa"/>
          <w:bottom w:w="0" w:type="dxa"/>
          <w:right w:w="108" w:type="dxa"/>
        </w:tblCellMar>
      </w:tblPr>
      <w:tblGrid>
        <w:gridCol w:w="2583"/>
        <w:gridCol w:w="2010"/>
        <w:gridCol w:w="2010"/>
        <w:gridCol w:w="2012"/>
      </w:tblGrid>
      <w:tr>
        <w:tblPrEx>
          <w:tblLayout w:type="fixed"/>
          <w:tblCellMar>
            <w:top w:w="0" w:type="dxa"/>
            <w:left w:w="108" w:type="dxa"/>
            <w:bottom w:w="0" w:type="dxa"/>
            <w:right w:w="108" w:type="dxa"/>
          </w:tblCellMar>
        </w:tblPrEx>
        <w:trPr>
          <w:trHeight w:val="317" w:hRule="atLeast"/>
          <w:jc w:val="center"/>
        </w:trPr>
        <w:tc>
          <w:tcPr>
            <w:tcW w:w="2583" w:type="dxa"/>
            <w:vMerge w:val="restart"/>
            <w:tcBorders>
              <w:top w:val="single" w:color="auto" w:sz="12" w:space="0"/>
              <w:left w:val="nil"/>
              <w:right w:val="single" w:color="auto" w:sz="4" w:space="0"/>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变量</w:t>
            </w:r>
          </w:p>
        </w:tc>
        <w:tc>
          <w:tcPr>
            <w:tcW w:w="2010" w:type="dxa"/>
            <w:tcBorders>
              <w:top w:val="single" w:color="auto" w:sz="12" w:space="0"/>
              <w:left w:val="single" w:color="auto" w:sz="4" w:space="0"/>
              <w:bottom w:val="nil"/>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是否想生女孩</w:t>
            </w:r>
          </w:p>
        </w:tc>
        <w:tc>
          <w:tcPr>
            <w:tcW w:w="2010" w:type="dxa"/>
            <w:tcBorders>
              <w:top w:val="single" w:color="auto" w:sz="12" w:space="0"/>
              <w:bottom w:val="nil"/>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是否想生男孩</w:t>
            </w:r>
          </w:p>
        </w:tc>
        <w:tc>
          <w:tcPr>
            <w:tcW w:w="2012" w:type="dxa"/>
            <w:tcBorders>
              <w:top w:val="single" w:color="auto" w:sz="12" w:space="0"/>
              <w:bottom w:val="nil"/>
              <w:right w:val="nil"/>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都可以</w:t>
            </w:r>
          </w:p>
        </w:tc>
      </w:tr>
      <w:tr>
        <w:tblPrEx>
          <w:tblLayout w:type="fixed"/>
          <w:tblCellMar>
            <w:top w:w="0" w:type="dxa"/>
            <w:left w:w="108" w:type="dxa"/>
            <w:bottom w:w="0" w:type="dxa"/>
            <w:right w:w="108" w:type="dxa"/>
          </w:tblCellMar>
        </w:tblPrEx>
        <w:trPr>
          <w:trHeight w:val="317" w:hRule="atLeast"/>
          <w:jc w:val="center"/>
        </w:trPr>
        <w:tc>
          <w:tcPr>
            <w:tcW w:w="2583" w:type="dxa"/>
            <w:vMerge w:val="continue"/>
            <w:tcBorders>
              <w:left w:val="nil"/>
              <w:bottom w:val="single" w:color="auto" w:sz="4" w:space="0"/>
              <w:right w:val="single" w:color="auto" w:sz="4" w:space="0"/>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Times New Roman" w:hAnsi="Times New Roman" w:eastAsia="宋体" w:cs="Times New Roman"/>
                <w:sz w:val="18"/>
                <w:szCs w:val="18"/>
              </w:rPr>
            </w:pPr>
          </w:p>
        </w:tc>
        <w:tc>
          <w:tcPr>
            <w:tcW w:w="2010" w:type="dxa"/>
            <w:tcBorders>
              <w:top w:val="nil"/>
              <w:left w:val="single" w:color="auto" w:sz="4" w:space="0"/>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bookmarkStart w:id="5" w:name="OLE_LINK49"/>
            <w:r>
              <w:rPr>
                <w:rFonts w:hint="default" w:ascii="Times New Roman" w:hAnsi="Times New Roman" w:eastAsia="宋体" w:cs="Times New Roman"/>
                <w:color w:val="000000"/>
                <w:sz w:val="18"/>
                <w:szCs w:val="18"/>
              </w:rPr>
              <w:t>（</w:t>
            </w:r>
            <w:bookmarkEnd w:id="5"/>
            <w:r>
              <w:rPr>
                <w:rFonts w:hint="default" w:ascii="Times New Roman" w:hAnsi="Times New Roman" w:eastAsia="宋体" w:cs="Times New Roman"/>
                <w:color w:val="000000"/>
                <w:sz w:val="18"/>
                <w:szCs w:val="18"/>
              </w:rPr>
              <w:t>1</w:t>
            </w:r>
            <w:bookmarkStart w:id="6" w:name="OLE_LINK50"/>
            <w:r>
              <w:rPr>
                <w:rFonts w:hint="default" w:ascii="Times New Roman" w:hAnsi="Times New Roman" w:eastAsia="宋体" w:cs="Times New Roman"/>
                <w:color w:val="000000"/>
                <w:sz w:val="18"/>
                <w:szCs w:val="18"/>
              </w:rPr>
              <w:t>）</w:t>
            </w:r>
            <w:bookmarkEnd w:id="6"/>
          </w:p>
        </w:tc>
        <w:tc>
          <w:tcPr>
            <w:tcW w:w="2010" w:type="dxa"/>
            <w:tcBorders>
              <w:top w:val="nil"/>
              <w:bottom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w:t>
            </w:r>
          </w:p>
        </w:tc>
        <w:tc>
          <w:tcPr>
            <w:tcW w:w="2012" w:type="dxa"/>
            <w:tcBorders>
              <w:top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w:t>
            </w:r>
          </w:p>
        </w:tc>
      </w:tr>
      <w:tr>
        <w:tblPrEx>
          <w:tblLayout w:type="fixed"/>
          <w:tblCellMar>
            <w:top w:w="0" w:type="dxa"/>
            <w:left w:w="108" w:type="dxa"/>
            <w:bottom w:w="0" w:type="dxa"/>
            <w:right w:w="108" w:type="dxa"/>
          </w:tblCellMar>
        </w:tblPrEx>
        <w:trPr>
          <w:trHeight w:val="317" w:hRule="atLeast"/>
          <w:jc w:val="center"/>
        </w:trPr>
        <w:tc>
          <w:tcPr>
            <w:tcW w:w="2583" w:type="dxa"/>
            <w:tcBorders>
              <w:top w:val="nil"/>
              <w:left w:val="nil"/>
              <w:bottom w:val="nil"/>
              <w:right w:val="single" w:color="auto" w:sz="4" w:space="0"/>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是否在</w:t>
            </w:r>
            <w:r>
              <w:rPr>
                <w:rFonts w:hint="default" w:ascii="Times New Roman" w:hAnsi="Times New Roman" w:eastAsia="宋体" w:cs="Times New Roman"/>
                <w:sz w:val="18"/>
                <w:szCs w:val="18"/>
                <w:lang w:eastAsia="zh-CN"/>
              </w:rPr>
              <w:t>实验组</w:t>
            </w:r>
          </w:p>
        </w:tc>
        <w:tc>
          <w:tcPr>
            <w:tcW w:w="2010" w:type="dxa"/>
            <w:tcBorders>
              <w:top w:val="nil"/>
              <w:left w:val="single" w:color="auto" w:sz="4" w:space="0"/>
              <w:bottom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0.080</w:t>
            </w:r>
            <w:r>
              <w:rPr>
                <w:rFonts w:hint="default" w:ascii="Times New Roman" w:hAnsi="Times New Roman" w:eastAsia="宋体" w:cs="Times New Roman"/>
                <w:color w:val="000000"/>
                <w:sz w:val="18"/>
                <w:szCs w:val="18"/>
                <w:vertAlign w:val="superscript"/>
              </w:rPr>
              <w:t>*</w:t>
            </w:r>
          </w:p>
        </w:tc>
        <w:tc>
          <w:tcPr>
            <w:tcW w:w="2010" w:type="dxa"/>
            <w:tcBorders>
              <w:top w:val="nil"/>
              <w:bottom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−0.011</w:t>
            </w:r>
          </w:p>
        </w:tc>
        <w:tc>
          <w:tcPr>
            <w:tcW w:w="2012" w:type="dxa"/>
            <w:tcBorders>
              <w:top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−0.068</w:t>
            </w:r>
            <w:r>
              <w:rPr>
                <w:rFonts w:hint="default" w:ascii="Times New Roman" w:hAnsi="Times New Roman" w:eastAsia="宋体" w:cs="Times New Roman"/>
                <w:color w:val="000000"/>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2583" w:type="dxa"/>
            <w:tcBorders>
              <w:top w:val="nil"/>
              <w:left w:val="nil"/>
              <w:bottom w:val="nil"/>
              <w:right w:val="single" w:color="auto" w:sz="4" w:space="0"/>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Times New Roman" w:hAnsi="Times New Roman" w:eastAsia="宋体" w:cs="Times New Roman"/>
                <w:sz w:val="18"/>
                <w:szCs w:val="18"/>
              </w:rPr>
            </w:pPr>
          </w:p>
        </w:tc>
        <w:tc>
          <w:tcPr>
            <w:tcW w:w="2010" w:type="dxa"/>
            <w:tcBorders>
              <w:top w:val="nil"/>
              <w:left w:val="single" w:color="auto" w:sz="4" w:space="0"/>
              <w:bottom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（0.042）</w:t>
            </w:r>
          </w:p>
        </w:tc>
        <w:tc>
          <w:tcPr>
            <w:tcW w:w="2010" w:type="dxa"/>
            <w:tcBorders>
              <w:top w:val="nil"/>
              <w:bottom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（0.020）</w:t>
            </w:r>
          </w:p>
        </w:tc>
        <w:tc>
          <w:tcPr>
            <w:tcW w:w="2012" w:type="dxa"/>
            <w:tcBorders>
              <w:top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（0.037）</w:t>
            </w:r>
          </w:p>
        </w:tc>
      </w:tr>
      <w:tr>
        <w:tblPrEx>
          <w:tblLayout w:type="fixed"/>
          <w:tblCellMar>
            <w:top w:w="0" w:type="dxa"/>
            <w:left w:w="108" w:type="dxa"/>
            <w:bottom w:w="0" w:type="dxa"/>
            <w:right w:w="108" w:type="dxa"/>
          </w:tblCellMar>
        </w:tblPrEx>
        <w:trPr>
          <w:trHeight w:val="317" w:hRule="atLeast"/>
          <w:jc w:val="center"/>
        </w:trPr>
        <w:tc>
          <w:tcPr>
            <w:tcW w:w="2583" w:type="dxa"/>
            <w:tcBorders>
              <w:top w:val="nil"/>
              <w:left w:val="nil"/>
              <w:bottom w:val="nil"/>
              <w:right w:val="single" w:color="auto" w:sz="4" w:space="0"/>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控制变量</w:t>
            </w:r>
          </w:p>
        </w:tc>
        <w:tc>
          <w:tcPr>
            <w:tcW w:w="2010" w:type="dxa"/>
            <w:tcBorders>
              <w:top w:val="nil"/>
              <w:left w:val="single" w:color="auto" w:sz="4" w:space="0"/>
              <w:bottom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已控制</w:t>
            </w:r>
          </w:p>
        </w:tc>
        <w:tc>
          <w:tcPr>
            <w:tcW w:w="2010" w:type="dxa"/>
            <w:tcBorders>
              <w:top w:val="nil"/>
              <w:bottom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已控制</w:t>
            </w:r>
          </w:p>
        </w:tc>
        <w:tc>
          <w:tcPr>
            <w:tcW w:w="2012" w:type="dxa"/>
            <w:tcBorders>
              <w:top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已控制</w:t>
            </w:r>
          </w:p>
        </w:tc>
      </w:tr>
      <w:tr>
        <w:tblPrEx>
          <w:tblLayout w:type="fixed"/>
          <w:tblCellMar>
            <w:top w:w="0" w:type="dxa"/>
            <w:left w:w="108" w:type="dxa"/>
            <w:bottom w:w="0" w:type="dxa"/>
            <w:right w:w="108" w:type="dxa"/>
          </w:tblCellMar>
        </w:tblPrEx>
        <w:trPr>
          <w:trHeight w:val="317" w:hRule="atLeast"/>
          <w:jc w:val="center"/>
        </w:trPr>
        <w:tc>
          <w:tcPr>
            <w:tcW w:w="2583" w:type="dxa"/>
            <w:tcBorders>
              <w:top w:val="single" w:color="auto" w:sz="4" w:space="0"/>
              <w:left w:val="nil"/>
              <w:right w:val="single" w:color="auto" w:sz="4" w:space="0"/>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调整R</w:t>
            </w:r>
            <w:r>
              <w:rPr>
                <w:rFonts w:hint="default" w:ascii="Times New Roman" w:hAnsi="Times New Roman" w:eastAsia="宋体" w:cs="Times New Roman"/>
                <w:sz w:val="18"/>
                <w:szCs w:val="18"/>
                <w:vertAlign w:val="superscript"/>
              </w:rPr>
              <w:t>2</w:t>
            </w:r>
          </w:p>
        </w:tc>
        <w:tc>
          <w:tcPr>
            <w:tcW w:w="2010" w:type="dxa"/>
            <w:tcBorders>
              <w:top w:val="single" w:color="auto" w:sz="4" w:space="0"/>
              <w:lef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0.266</w:t>
            </w:r>
          </w:p>
        </w:tc>
        <w:tc>
          <w:tcPr>
            <w:tcW w:w="2010" w:type="dxa"/>
            <w:tcBorders>
              <w:top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0.132</w:t>
            </w:r>
          </w:p>
        </w:tc>
        <w:tc>
          <w:tcPr>
            <w:tcW w:w="2012" w:type="dxa"/>
            <w:tcBorders>
              <w:top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0.184</w:t>
            </w:r>
          </w:p>
        </w:tc>
      </w:tr>
      <w:tr>
        <w:tblPrEx>
          <w:tblLayout w:type="fixed"/>
          <w:tblCellMar>
            <w:top w:w="0" w:type="dxa"/>
            <w:left w:w="108" w:type="dxa"/>
            <w:bottom w:w="0" w:type="dxa"/>
            <w:right w:w="108" w:type="dxa"/>
          </w:tblCellMar>
        </w:tblPrEx>
        <w:trPr>
          <w:trHeight w:val="317" w:hRule="atLeast"/>
          <w:jc w:val="center"/>
        </w:trPr>
        <w:tc>
          <w:tcPr>
            <w:tcW w:w="2583" w:type="dxa"/>
            <w:tcBorders>
              <w:top w:val="nil"/>
              <w:left w:val="nil"/>
              <w:bottom w:val="single" w:color="auto" w:sz="12" w:space="0"/>
              <w:right w:val="single" w:color="auto" w:sz="4" w:space="0"/>
            </w:tcBorders>
            <w:shd w:val="clear" w:color="auto" w:fill="auto"/>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观测值</w:t>
            </w:r>
          </w:p>
        </w:tc>
        <w:tc>
          <w:tcPr>
            <w:tcW w:w="2010" w:type="dxa"/>
            <w:tcBorders>
              <w:top w:val="nil"/>
              <w:left w:val="single" w:color="auto" w:sz="4" w:space="0"/>
              <w:bottom w:val="single" w:color="auto" w:sz="12"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647</w:t>
            </w:r>
          </w:p>
        </w:tc>
        <w:tc>
          <w:tcPr>
            <w:tcW w:w="2010" w:type="dxa"/>
            <w:tcBorders>
              <w:top w:val="nil"/>
              <w:bottom w:val="single" w:color="auto" w:sz="12"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647</w:t>
            </w:r>
          </w:p>
        </w:tc>
        <w:tc>
          <w:tcPr>
            <w:tcW w:w="2012" w:type="dxa"/>
            <w:tcBorders>
              <w:top w:val="nil"/>
              <w:bottom w:val="single" w:color="auto" w:sz="12"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647</w:t>
            </w:r>
          </w:p>
        </w:tc>
      </w:tr>
    </w:tbl>
    <w:p>
      <w:pPr>
        <w:spacing w:after="0" w:line="240" w:lineRule="auto"/>
        <w:ind w:firstLine="332" w:firstLineChars="200"/>
        <w:rPr>
          <w:rFonts w:hint="default" w:ascii="Times New Roman" w:hAnsi="Times New Roman" w:eastAsia="宋体" w:cs="Times New Roman"/>
          <w:sz w:val="18"/>
          <w:szCs w:val="18"/>
          <w:lang w:val="en-US" w:eastAsia="zh-CN"/>
          <w14:ligatures w14:val="standardContextual"/>
        </w:rPr>
      </w:pPr>
      <w:r>
        <w:rPr>
          <w:rFonts w:hint="default" w:ascii="Times New Roman" w:hAnsi="Times New Roman" w:eastAsia="宋体" w:cs="Times New Roman"/>
          <w:sz w:val="18"/>
          <w:szCs w:val="18"/>
          <w14:ligatures w14:val="standardContextual"/>
        </w:rPr>
        <w:t>注：①*表示10%的显著性水平；②括号内为聚类到乡镇层面的标准误；</w:t>
      </w:r>
      <w:bookmarkStart w:id="7" w:name="OLE_LINK75"/>
      <w:r>
        <w:rPr>
          <w:rFonts w:hint="default" w:ascii="Times New Roman" w:hAnsi="Times New Roman" w:eastAsia="宋体" w:cs="Times New Roman"/>
          <w:sz w:val="18"/>
          <w:szCs w:val="18"/>
          <w14:ligatures w14:val="standardContextual"/>
        </w:rPr>
        <w:t>③控制变量与基准回归相同。</w:t>
      </w:r>
      <w:bookmarkEnd w:id="7"/>
      <w:r>
        <w:rPr>
          <w:rFonts w:hint="default" w:ascii="Times New Roman" w:hAnsi="Times New Roman" w:eastAsia="宋体" w:cs="Times New Roman"/>
          <w:sz w:val="18"/>
          <w:szCs w:val="18"/>
          <w:lang w:val="en-US" w:eastAsia="zh-CN"/>
          <w14:ligatures w14:val="standardContextual"/>
        </w:rPr>
        <w:t>④变量定义：根据题目</w:t>
      </w:r>
      <w:r>
        <w:rPr>
          <w:rFonts w:hint="eastAsia" w:ascii="宋体" w:hAnsi="宋体" w:eastAsia="宋体" w:cs="宋体"/>
          <w:sz w:val="18"/>
          <w:szCs w:val="18"/>
          <w:lang w:val="en-US" w:eastAsia="zh-CN"/>
          <w14:ligatures w14:val="standardContextual"/>
        </w:rPr>
        <w:t>“</w:t>
      </w:r>
      <w:r>
        <w:rPr>
          <w:rFonts w:hint="default" w:ascii="Times New Roman" w:hAnsi="Times New Roman" w:eastAsia="宋体" w:cs="Times New Roman"/>
          <w:sz w:val="18"/>
          <w:szCs w:val="18"/>
          <w:lang w:val="en-US" w:eastAsia="zh-CN"/>
          <w14:ligatures w14:val="standardContextual"/>
        </w:rPr>
        <w:t>假如再有一个宝宝，您希望是？1=男孩，2=女孩，3=都可</w:t>
      </w:r>
      <w:r>
        <w:rPr>
          <w:rFonts w:hint="eastAsia" w:ascii="宋体" w:hAnsi="宋体" w:eastAsia="宋体" w:cs="宋体"/>
          <w:sz w:val="18"/>
          <w:szCs w:val="18"/>
          <w:lang w:val="en-US" w:eastAsia="zh-CN"/>
          <w14:ligatures w14:val="standardContextual"/>
        </w:rPr>
        <w:t>以”</w:t>
      </w:r>
      <w:r>
        <w:rPr>
          <w:rFonts w:hint="default" w:ascii="Times New Roman" w:hAnsi="Times New Roman" w:eastAsia="宋体" w:cs="Times New Roman"/>
          <w:sz w:val="18"/>
          <w:szCs w:val="18"/>
          <w:lang w:val="en-US" w:eastAsia="zh-CN"/>
          <w14:ligatures w14:val="standardContextual"/>
        </w:rPr>
        <w:t>生成。是否想生女孩：0=男孩</w:t>
      </w:r>
      <w:r>
        <w:rPr>
          <w:rFonts w:hint="eastAsia" w:ascii="宋体" w:hAnsi="宋体" w:eastAsia="宋体" w:cs="宋体"/>
          <w:sz w:val="18"/>
          <w:szCs w:val="18"/>
          <w:lang w:val="en-US" w:eastAsia="zh-CN"/>
          <w14:ligatures w14:val="standardContextual"/>
        </w:rPr>
        <w:t>/</w:t>
      </w:r>
      <w:r>
        <w:rPr>
          <w:rFonts w:hint="default" w:ascii="Times New Roman" w:hAnsi="Times New Roman" w:eastAsia="宋体" w:cs="Times New Roman"/>
          <w:sz w:val="18"/>
          <w:szCs w:val="18"/>
          <w:lang w:val="en-US" w:eastAsia="zh-CN"/>
          <w14:ligatures w14:val="standardContextual"/>
        </w:rPr>
        <w:t>都可以，1=女孩；是否想生男孩：0=女孩</w:t>
      </w:r>
      <w:r>
        <w:rPr>
          <w:rFonts w:hint="eastAsia" w:ascii="宋体" w:hAnsi="宋体" w:eastAsia="宋体" w:cs="宋体"/>
          <w:sz w:val="18"/>
          <w:szCs w:val="18"/>
          <w:lang w:val="en-US" w:eastAsia="zh-CN"/>
          <w14:ligatures w14:val="standardContextual"/>
        </w:rPr>
        <w:t>/</w:t>
      </w:r>
      <w:r>
        <w:rPr>
          <w:rFonts w:hint="default" w:ascii="Times New Roman" w:hAnsi="Times New Roman" w:eastAsia="宋体" w:cs="Times New Roman"/>
          <w:sz w:val="18"/>
          <w:szCs w:val="18"/>
          <w:lang w:val="en-US" w:eastAsia="zh-CN"/>
          <w14:ligatures w14:val="standardContextual"/>
        </w:rPr>
        <w:t>都可以，1=男孩；都可以：0=男孩</w:t>
      </w:r>
      <w:r>
        <w:rPr>
          <w:rFonts w:hint="eastAsia" w:ascii="宋体" w:hAnsi="宋体" w:eastAsia="宋体" w:cs="宋体"/>
          <w:sz w:val="18"/>
          <w:szCs w:val="18"/>
          <w:lang w:val="en-US" w:eastAsia="zh-CN"/>
          <w14:ligatures w14:val="standardContextual"/>
        </w:rPr>
        <w:t>/</w:t>
      </w:r>
      <w:r>
        <w:rPr>
          <w:rFonts w:hint="default" w:ascii="Times New Roman" w:hAnsi="Times New Roman" w:eastAsia="宋体" w:cs="Times New Roman"/>
          <w:sz w:val="18"/>
          <w:szCs w:val="18"/>
          <w:lang w:val="en-US" w:eastAsia="zh-CN"/>
          <w14:ligatures w14:val="standardContextual"/>
        </w:rPr>
        <w:t>女孩，1=都可以。</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rPr>
          <w:rFonts w:ascii="Times New Roman" w:hAnsi="Times New Roman" w:eastAsia="宋体" w:cs="Times New Roman"/>
          <w:sz w:val="18"/>
          <w:szCs w:val="18"/>
        </w:rPr>
      </w:pPr>
      <w:r>
        <w:rPr>
          <w:rFonts w:hint="eastAsia" w:ascii="楷体" w:hAnsi="楷体" w:eastAsia="楷体" w:cs="楷体"/>
          <w:szCs w:val="22"/>
          <w14:ligatures w14:val="standardContextual"/>
        </w:rPr>
        <w:t>养育质量社会支持对子女性别偏好的影响</w:t>
      </w:r>
      <w:r>
        <w:rPr>
          <w:rFonts w:hint="eastAsia" w:ascii="楷体" w:hAnsi="楷体" w:eastAsia="楷体" w:cs="楷体"/>
          <w:szCs w:val="22"/>
          <w:lang w:eastAsia="zh-CN"/>
          <w14:ligatures w14:val="standardContextual"/>
        </w:rPr>
        <w:t>。</w:t>
      </w:r>
      <w:r>
        <w:rPr>
          <w:rFonts w:hint="default" w:ascii="Times New Roman" w:hAnsi="Times New Roman" w:eastAsia="宋体" w:cs="Times New Roman"/>
          <w:kern w:val="0"/>
          <w:szCs w:val="22"/>
          <w:shd w:val="clear" w:color="auto" w:fill="FFFFFF"/>
          <w14:ligatures w14:val="standardContextual"/>
        </w:rPr>
        <w:t>本文进一步分析养育质量社会支持对妇女再生育子女性别偏好的影响。结果</w:t>
      </w:r>
      <w:r>
        <w:rPr>
          <w:rFonts w:hint="default" w:ascii="Times New Roman" w:hAnsi="Times New Roman" w:eastAsia="宋体" w:cs="Times New Roman"/>
          <w:kern w:val="0"/>
          <w:szCs w:val="22"/>
          <w:shd w:val="clear" w:color="auto" w:fill="FFFFFF"/>
          <w:lang w:val="en-US" w:eastAsia="zh-CN"/>
          <w14:ligatures w14:val="standardContextual"/>
        </w:rPr>
        <w:t>显示</w:t>
      </w:r>
      <w:r>
        <w:rPr>
          <w:rFonts w:hint="default" w:ascii="Times New Roman" w:hAnsi="Times New Roman" w:eastAsia="宋体" w:cs="Times New Roman"/>
          <w:kern w:val="0"/>
          <w:szCs w:val="22"/>
          <w:shd w:val="clear" w:color="auto" w:fill="FFFFFF"/>
          <w14:ligatures w14:val="standardContextual"/>
        </w:rPr>
        <w:t>，养育质量社会支持使想再生一个女孩的妇女比例显著增加8.0个百分点，无性别偏好的妇女比例显著降低6.8个百分点。传统观点认为，男孩的养育成本要高于女孩（尤其是未来的经济成本），即男孩养育质量的单位成本可能更高。农村妇女通过更倾向于生育女孩，降低了对养育质量单位成本的预期，从而能够在保持养育质量的情况下兼顾增加生育数量。这有利于促进出生性别比的平衡。</w:t>
      </w:r>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pPr>
      <w:r>
        <w:rPr>
          <w:rFonts w:hint="eastAsia" w:ascii="Times New Roman" w:eastAsia="黑体" w:cs="Times New Roman"/>
          <w:sz w:val="18"/>
          <w:szCs w:val="18"/>
          <w14:ligatures w14:val="standardContextual"/>
        </w:rPr>
        <w:t xml:space="preserve">附表3       </w:t>
      </w:r>
      <w:r>
        <w:rPr>
          <w:rFonts w:hint="eastAsia" w:ascii="Times New Roman" w:eastAsia="黑体" w:cs="Times New Roman"/>
          <w:sz w:val="18"/>
          <w:szCs w:val="16"/>
          <w:lang w:val="en-US" w:eastAsia="zh-CN"/>
          <w14:ligatures w14:val="standardContextual"/>
        </w:rPr>
        <w:t>养育质量社会支持</w:t>
      </w:r>
      <w:r>
        <w:rPr>
          <w:rFonts w:hint="eastAsia" w:ascii="Times New Roman" w:eastAsia="黑体" w:cs="Times New Roman"/>
          <w:sz w:val="18"/>
          <w:szCs w:val="18"/>
          <w14:ligatures w14:val="standardContextual"/>
        </w:rPr>
        <w:t>对妇女</w:t>
      </w:r>
      <w:r>
        <w:rPr>
          <w:rFonts w:hint="eastAsia" w:ascii="Times New Roman" w:eastAsia="黑体" w:cs="Times New Roman"/>
          <w:sz w:val="18"/>
          <w:szCs w:val="18"/>
          <w:lang w:val="en-US" w:eastAsia="zh-CN"/>
          <w14:ligatures w14:val="standardContextual"/>
        </w:rPr>
        <w:t>生育意愿影响的</w:t>
      </w:r>
      <w:bookmarkStart w:id="8" w:name="OLE_LINK79"/>
      <w:r>
        <w:rPr>
          <w:rFonts w:hint="eastAsia" w:ascii="Times New Roman" w:eastAsia="黑体" w:cs="Times New Roman"/>
          <w:sz w:val="18"/>
          <w:szCs w:val="18"/>
          <w14:ligatures w14:val="standardContextual"/>
        </w:rPr>
        <w:t>Logit</w:t>
      </w:r>
      <w:r>
        <w:rPr>
          <w:rFonts w:hint="eastAsia" w:ascii="Times New Roman" w:eastAsia="黑体" w:cs="Times New Roman"/>
          <w:sz w:val="18"/>
          <w:szCs w:val="18"/>
          <w:lang w:val="en-US" w:eastAsia="zh-CN"/>
          <w14:ligatures w14:val="standardContextual"/>
        </w:rPr>
        <w:t>及</w:t>
      </w:r>
      <w:r>
        <w:rPr>
          <w:rFonts w:hint="eastAsia" w:ascii="Times New Roman" w:eastAsia="黑体" w:cs="Times New Roman"/>
          <w:sz w:val="18"/>
          <w:szCs w:val="18"/>
          <w14:ligatures w14:val="standardContextual"/>
        </w:rPr>
        <w:t>有序logit模型</w:t>
      </w:r>
      <w:r>
        <w:rPr>
          <w:rFonts w:hint="eastAsia" w:ascii="Times New Roman" w:eastAsia="黑体" w:cs="Times New Roman"/>
          <w:sz w:val="18"/>
          <w:szCs w:val="18"/>
          <w:lang w:val="en-US" w:eastAsia="zh-CN"/>
          <w14:ligatures w14:val="standardContextual"/>
        </w:rPr>
        <w:t>回归</w:t>
      </w:r>
      <w:r>
        <w:rPr>
          <w:rFonts w:hint="eastAsia" w:ascii="Times New Roman" w:eastAsia="黑体" w:cs="Times New Roman"/>
          <w:sz w:val="18"/>
          <w:szCs w:val="18"/>
          <w14:ligatures w14:val="standardContextual"/>
        </w:rPr>
        <w:t>结果</w:t>
      </w:r>
      <w:bookmarkEnd w:id="8"/>
    </w:p>
    <w:tbl>
      <w:tblPr>
        <w:tblStyle w:val="33"/>
        <w:tblW w:w="8575" w:type="dxa"/>
        <w:jc w:val="center"/>
        <w:tblInd w:w="-738"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
      <w:tblGrid>
        <w:gridCol w:w="1571"/>
        <w:gridCol w:w="1167"/>
        <w:gridCol w:w="1167"/>
        <w:gridCol w:w="1167"/>
        <w:gridCol w:w="1167"/>
        <w:gridCol w:w="1167"/>
        <w:gridCol w:w="1169"/>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vMerge w:val="restart"/>
            <w:tcBorders>
              <w:left w:val="nil"/>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变量</w:t>
            </w:r>
          </w:p>
        </w:tc>
        <w:tc>
          <w:tcPr>
            <w:tcW w:w="2334" w:type="dxa"/>
            <w:gridSpan w:val="2"/>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生育意愿1：再生一个</w:t>
            </w:r>
          </w:p>
        </w:tc>
        <w:tc>
          <w:tcPr>
            <w:tcW w:w="2334" w:type="dxa"/>
            <w:gridSpan w:val="2"/>
            <w:tcBorders>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生育意愿2：不想再生</w:t>
            </w:r>
          </w:p>
        </w:tc>
        <w:tc>
          <w:tcPr>
            <w:tcW w:w="2336" w:type="dxa"/>
            <w:gridSpan w:val="2"/>
            <w:tcBorders>
              <w:left w:val="nil"/>
              <w:bottom w:val="single" w:color="auto" w:sz="4"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r>
              <w:rPr>
                <w:rFonts w:hint="eastAsia" w:ascii="Times New Roman" w:hAnsi="Times New Roman" w:eastAsia="宋体" w:cs="Times New Roman"/>
                <w:sz w:val="18"/>
                <w:szCs w:val="18"/>
              </w:rPr>
              <w:t>生育意愿3：综合生育意愿</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vMerge w:val="continue"/>
            <w:tcBorders>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18"/>
                <w:szCs w:val="18"/>
              </w:rPr>
            </w:pPr>
          </w:p>
        </w:tc>
        <w:tc>
          <w:tcPr>
            <w:tcW w:w="1167" w:type="dxa"/>
            <w:tcBorders>
              <w:top w:val="single" w:color="auto" w:sz="4" w:space="0"/>
              <w:left w:val="single" w:color="auto" w:sz="4" w:space="0"/>
              <w:bottom w:val="single" w:color="auto" w:sz="4"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ascii="Times New Roman" w:hAnsi="Times New Roman" w:eastAsia="宋体" w:cs="Times New Roman"/>
                <w:sz w:val="18"/>
                <w:szCs w:val="18"/>
              </w:rPr>
              <w:t>1</w:t>
            </w:r>
            <w:r>
              <w:rPr>
                <w:rFonts w:hint="eastAsia" w:ascii="Times New Roman" w:hAnsi="Times New Roman" w:eastAsia="宋体" w:cs="Times New Roman"/>
                <w:sz w:val="18"/>
                <w:szCs w:val="18"/>
                <w:lang w:eastAsia="zh-CN"/>
              </w:rPr>
              <w:t>）</w:t>
            </w:r>
          </w:p>
        </w:tc>
        <w:tc>
          <w:tcPr>
            <w:tcW w:w="116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ascii="Times New Roman" w:hAnsi="Times New Roman" w:eastAsia="宋体" w:cs="Times New Roman"/>
                <w:sz w:val="18"/>
                <w:szCs w:val="18"/>
              </w:rPr>
              <w:t>2</w:t>
            </w:r>
            <w:r>
              <w:rPr>
                <w:rFonts w:hint="eastAsia" w:ascii="Times New Roman" w:hAnsi="Times New Roman" w:eastAsia="宋体" w:cs="Times New Roman"/>
                <w:sz w:val="18"/>
                <w:szCs w:val="18"/>
                <w:lang w:eastAsia="zh-CN"/>
              </w:rPr>
              <w:t>）</w:t>
            </w:r>
          </w:p>
        </w:tc>
        <w:tc>
          <w:tcPr>
            <w:tcW w:w="1167" w:type="dxa"/>
            <w:tcBorders>
              <w:top w:val="single" w:color="auto" w:sz="4" w:space="0"/>
              <w:left w:val="nil"/>
              <w:bottom w:val="single" w:color="auto" w:sz="4"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ascii="Times New Roman" w:hAnsi="Times New Roman" w:eastAsia="宋体" w:cs="Times New Roman"/>
                <w:sz w:val="18"/>
                <w:szCs w:val="18"/>
              </w:rPr>
              <w:t>3</w:t>
            </w:r>
            <w:r>
              <w:rPr>
                <w:rFonts w:hint="eastAsia" w:ascii="Times New Roman" w:hAnsi="Times New Roman" w:eastAsia="宋体" w:cs="Times New Roman"/>
                <w:sz w:val="18"/>
                <w:szCs w:val="18"/>
                <w:lang w:eastAsia="zh-CN"/>
              </w:rPr>
              <w:t>）</w:t>
            </w:r>
          </w:p>
        </w:tc>
        <w:tc>
          <w:tcPr>
            <w:tcW w:w="116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ascii="Times New Roman" w:hAnsi="Times New Roman" w:eastAsia="宋体" w:cs="Times New Roman"/>
                <w:sz w:val="18"/>
                <w:szCs w:val="18"/>
              </w:rPr>
              <w:t>4</w:t>
            </w:r>
            <w:r>
              <w:rPr>
                <w:rFonts w:hint="eastAsia" w:ascii="Times New Roman" w:hAnsi="Times New Roman" w:eastAsia="宋体" w:cs="Times New Roman"/>
                <w:sz w:val="18"/>
                <w:szCs w:val="18"/>
                <w:lang w:eastAsia="zh-CN"/>
              </w:rPr>
              <w:t>）</w:t>
            </w:r>
          </w:p>
        </w:tc>
        <w:tc>
          <w:tcPr>
            <w:tcW w:w="1167" w:type="dxa"/>
            <w:tcBorders>
              <w:top w:val="single" w:color="auto" w:sz="4" w:space="0"/>
              <w:left w:val="nil"/>
              <w:bottom w:val="single" w:color="auto" w:sz="4"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ascii="Times New Roman" w:hAnsi="Times New Roman" w:eastAsia="宋体" w:cs="Times New Roman"/>
                <w:sz w:val="18"/>
                <w:szCs w:val="18"/>
              </w:rPr>
              <w:t>5</w:t>
            </w:r>
            <w:r>
              <w:rPr>
                <w:rFonts w:hint="eastAsia" w:ascii="Times New Roman" w:hAnsi="Times New Roman" w:eastAsia="宋体" w:cs="Times New Roman"/>
                <w:sz w:val="18"/>
                <w:szCs w:val="18"/>
                <w:lang w:eastAsia="zh-CN"/>
              </w:rPr>
              <w:t>）</w:t>
            </w:r>
          </w:p>
        </w:tc>
        <w:tc>
          <w:tcPr>
            <w:tcW w:w="1169" w:type="dxa"/>
            <w:tcBorders>
              <w:top w:val="single" w:color="auto" w:sz="4" w:space="0"/>
              <w:left w:val="nil"/>
              <w:bottom w:val="single" w:color="auto" w:sz="4"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w:t>
            </w:r>
            <w:r>
              <w:rPr>
                <w:rFonts w:ascii="Times New Roman" w:hAnsi="Times New Roman" w:eastAsia="宋体" w:cs="Times New Roman"/>
                <w:sz w:val="18"/>
                <w:szCs w:val="18"/>
              </w:rPr>
              <w:t>6</w:t>
            </w:r>
            <w:r>
              <w:rPr>
                <w:rFonts w:hint="eastAsia" w:ascii="Times New Roman" w:hAnsi="Times New Roman" w:eastAsia="宋体" w:cs="Times New Roman"/>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default" w:ascii="Times New Roman" w:hAnsi="Times New Roman" w:eastAsia="宋体" w:cs="Times New Roman"/>
                <w:color w:val="000000"/>
                <w:kern w:val="0"/>
                <w:sz w:val="18"/>
                <w:szCs w:val="18"/>
                <w:lang w:val="en-US" w:eastAsia="zh-CN"/>
              </w:rPr>
            </w:pPr>
            <w:r>
              <w:rPr>
                <w:rFonts w:hint="eastAsia" w:ascii="Times New Roman" w:hAnsi="Times New Roman" w:eastAsia="宋体" w:cs="Times New Roman"/>
                <w:color w:val="000000"/>
                <w:kern w:val="0"/>
                <w:sz w:val="18"/>
                <w:szCs w:val="18"/>
                <w:lang w:val="en-US" w:eastAsia="zh-CN"/>
              </w:rPr>
              <w:t>是否在实验组</w:t>
            </w:r>
          </w:p>
        </w:tc>
        <w:tc>
          <w:tcPr>
            <w:tcW w:w="1167"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0.382</w:t>
            </w:r>
            <w:r>
              <w:rPr>
                <w:rFonts w:hint="eastAsia" w:ascii="Times New Roman" w:hAnsi="Times New Roman" w:eastAsia="宋体" w:cs="Times New Roman"/>
                <w:color w:val="000000"/>
                <w:sz w:val="18"/>
                <w:szCs w:val="18"/>
                <w:vertAlign w:val="superscript"/>
              </w:rPr>
              <w:t>*</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0.537</w:t>
            </w:r>
            <w:r>
              <w:rPr>
                <w:rFonts w:hint="eastAsia" w:ascii="Times New Roman" w:hAnsi="Times New Roman" w:eastAsia="宋体" w:cs="Times New Roman"/>
                <w:color w:val="000000"/>
                <w:sz w:val="18"/>
                <w:szCs w:val="18"/>
                <w:vertAlign w:val="superscript"/>
              </w:rPr>
              <w:t>*</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-0.423</w:t>
            </w:r>
            <w:r>
              <w:rPr>
                <w:rFonts w:hint="eastAsia" w:ascii="Times New Roman" w:hAnsi="Times New Roman" w:eastAsia="宋体" w:cs="Times New Roman"/>
                <w:color w:val="000000"/>
                <w:sz w:val="18"/>
                <w:szCs w:val="18"/>
                <w:vertAlign w:val="superscript"/>
              </w:rPr>
              <w:t>*</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color w:val="000000"/>
                <w:sz w:val="18"/>
                <w:szCs w:val="18"/>
              </w:rPr>
              <w:t>0.514</w:t>
            </w:r>
            <w:r>
              <w:rPr>
                <w:rFonts w:hint="eastAsia" w:ascii="Times New Roman" w:hAnsi="Times New Roman" w:eastAsia="宋体" w:cs="Times New Roman"/>
                <w:color w:val="000000"/>
                <w:sz w:val="18"/>
                <w:szCs w:val="18"/>
                <w:vertAlign w:val="superscript"/>
              </w:rPr>
              <w:t>**</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0.398</w:t>
            </w:r>
            <w:r>
              <w:rPr>
                <w:rFonts w:hint="eastAsia" w:ascii="Times New Roman" w:hAnsi="Times New Roman" w:eastAsia="宋体" w:cs="Times New Roman"/>
                <w:color w:val="000000"/>
                <w:sz w:val="18"/>
                <w:szCs w:val="18"/>
                <w:vertAlign w:val="superscript"/>
              </w:rPr>
              <w:t>**</w:t>
            </w:r>
          </w:p>
        </w:tc>
        <w:tc>
          <w:tcPr>
            <w:tcW w:w="116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0.522</w:t>
            </w:r>
            <w:r>
              <w:rPr>
                <w:rFonts w:hint="eastAsia" w:ascii="Times New Roman" w:hAnsi="Times New Roman" w:eastAsia="宋体" w:cs="Times New Roman"/>
                <w:color w:val="000000"/>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kern w:val="0"/>
                <w:sz w:val="18"/>
                <w:szCs w:val="18"/>
              </w:rPr>
            </w:pPr>
          </w:p>
        </w:tc>
        <w:tc>
          <w:tcPr>
            <w:tcW w:w="1167"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0.231</w:t>
            </w:r>
            <w:r>
              <w:rPr>
                <w:rFonts w:hint="eastAsia" w:ascii="Times New Roman" w:hAnsi="Times New Roman" w:eastAsia="宋体" w:cs="Times New Roman"/>
                <w:color w:val="000000"/>
                <w:sz w:val="18"/>
                <w:szCs w:val="18"/>
                <w:lang w:eastAsia="zh-CN"/>
              </w:rPr>
              <w:t>）</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0.289</w:t>
            </w:r>
            <w:r>
              <w:rPr>
                <w:rFonts w:hint="eastAsia" w:ascii="Times New Roman" w:hAnsi="Times New Roman" w:eastAsia="宋体" w:cs="Times New Roman"/>
                <w:color w:val="000000"/>
                <w:sz w:val="18"/>
                <w:szCs w:val="18"/>
                <w:lang w:eastAsia="zh-CN"/>
              </w:rPr>
              <w:t>）</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0.239</w:t>
            </w:r>
            <w:r>
              <w:rPr>
                <w:rFonts w:hint="eastAsia" w:ascii="Times New Roman" w:hAnsi="Times New Roman" w:eastAsia="宋体" w:cs="Times New Roman"/>
                <w:color w:val="000000"/>
                <w:sz w:val="18"/>
                <w:szCs w:val="18"/>
                <w:lang w:eastAsia="zh-CN"/>
              </w:rPr>
              <w:t>）</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0.244</w:t>
            </w:r>
            <w:r>
              <w:rPr>
                <w:rFonts w:hint="eastAsia" w:ascii="Times New Roman" w:hAnsi="Times New Roman" w:eastAsia="宋体" w:cs="Times New Roman"/>
                <w:color w:val="000000"/>
                <w:sz w:val="18"/>
                <w:szCs w:val="18"/>
                <w:lang w:eastAsia="zh-CN"/>
              </w:rPr>
              <w:t>）</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0.189</w:t>
            </w:r>
            <w:r>
              <w:rPr>
                <w:rFonts w:hint="eastAsia" w:ascii="Times New Roman" w:hAnsi="Times New Roman" w:eastAsia="宋体" w:cs="Times New Roman"/>
                <w:color w:val="000000"/>
                <w:sz w:val="18"/>
                <w:szCs w:val="18"/>
                <w:lang w:eastAsia="zh-CN"/>
              </w:rPr>
              <w:t>）</w:t>
            </w:r>
          </w:p>
        </w:tc>
        <w:tc>
          <w:tcPr>
            <w:tcW w:w="116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0.193</w:t>
            </w:r>
            <w:r>
              <w:rPr>
                <w:rFonts w:hint="eastAsia" w:ascii="Times New Roman" w:hAnsi="Times New Roman" w:eastAsia="宋体" w:cs="Times New Roman"/>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截距</w:t>
            </w:r>
            <w:r>
              <w:rPr>
                <w:rFonts w:ascii="Times New Roman" w:hAnsi="Times New Roman" w:eastAsia="宋体" w:cs="Times New Roman"/>
                <w:color w:val="000000"/>
                <w:kern w:val="0"/>
                <w:sz w:val="18"/>
                <w:szCs w:val="18"/>
              </w:rPr>
              <w:t>1</w:t>
            </w:r>
          </w:p>
        </w:tc>
        <w:tc>
          <w:tcPr>
            <w:tcW w:w="1167"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color w:val="000000"/>
                <w:sz w:val="18"/>
                <w:szCs w:val="18"/>
              </w:rPr>
              <w:t>2.096</w:t>
            </w:r>
            <w:r>
              <w:rPr>
                <w:rFonts w:hint="eastAsia" w:ascii="Times New Roman" w:hAnsi="Times New Roman" w:eastAsia="宋体" w:cs="Times New Roman"/>
                <w:color w:val="000000"/>
                <w:sz w:val="18"/>
                <w:szCs w:val="18"/>
                <w:vertAlign w:val="superscript"/>
              </w:rPr>
              <w:t>***</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color w:val="000000"/>
                <w:sz w:val="18"/>
                <w:szCs w:val="18"/>
              </w:rPr>
              <w:t>3.107</w:t>
            </w:r>
            <w:r>
              <w:rPr>
                <w:rFonts w:hint="eastAsia" w:ascii="Times New Roman" w:hAnsi="Times New Roman" w:eastAsia="宋体" w:cs="Times New Roman"/>
                <w:color w:val="000000"/>
                <w:sz w:val="18"/>
                <w:szCs w:val="18"/>
                <w:vertAlign w:val="superscript"/>
              </w:rPr>
              <w:t>*</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color w:val="000000"/>
                <w:sz w:val="18"/>
                <w:szCs w:val="18"/>
              </w:rPr>
              <w:t>2.058</w:t>
            </w:r>
            <w:r>
              <w:rPr>
                <w:rFonts w:hint="eastAsia" w:ascii="Times New Roman" w:hAnsi="Times New Roman" w:eastAsia="宋体" w:cs="Times New Roman"/>
                <w:color w:val="000000"/>
                <w:sz w:val="18"/>
                <w:szCs w:val="18"/>
                <w:vertAlign w:val="superscript"/>
              </w:rPr>
              <w:t>***</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color w:val="000000"/>
                <w:sz w:val="18"/>
                <w:szCs w:val="18"/>
              </w:rPr>
              <w:t>6.681</w:t>
            </w:r>
            <w:r>
              <w:rPr>
                <w:rFonts w:hint="eastAsia" w:ascii="Times New Roman" w:hAnsi="Times New Roman" w:eastAsia="宋体" w:cs="Times New Roman"/>
                <w:color w:val="000000"/>
                <w:sz w:val="18"/>
                <w:szCs w:val="18"/>
                <w:vertAlign w:val="superscript"/>
              </w:rPr>
              <w:t>***</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color w:val="000000"/>
                <w:sz w:val="18"/>
                <w:szCs w:val="18"/>
              </w:rPr>
              <w:t>1.642</w:t>
            </w:r>
            <w:r>
              <w:rPr>
                <w:rFonts w:hint="eastAsia" w:ascii="Times New Roman" w:hAnsi="Times New Roman" w:eastAsia="宋体" w:cs="Times New Roman"/>
                <w:color w:val="000000"/>
                <w:sz w:val="18"/>
                <w:szCs w:val="18"/>
                <w:vertAlign w:val="superscript"/>
              </w:rPr>
              <w:t>***</w:t>
            </w:r>
          </w:p>
        </w:tc>
        <w:tc>
          <w:tcPr>
            <w:tcW w:w="116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ascii="Times New Roman" w:hAnsi="Times New Roman" w:eastAsia="宋体" w:cs="Times New Roman"/>
                <w:color w:val="auto"/>
                <w:sz w:val="18"/>
                <w:szCs w:val="18"/>
              </w:rPr>
              <w:t>−</w:t>
            </w:r>
            <w:r>
              <w:rPr>
                <w:rFonts w:hint="eastAsia" w:ascii="Times New Roman" w:hAnsi="Times New Roman" w:eastAsia="宋体" w:cs="Times New Roman"/>
                <w:color w:val="000000"/>
                <w:sz w:val="18"/>
                <w:szCs w:val="18"/>
              </w:rPr>
              <w:t>3.986</w:t>
            </w:r>
            <w:r>
              <w:rPr>
                <w:rFonts w:hint="eastAsia" w:ascii="Times New Roman" w:hAnsi="Times New Roman" w:eastAsia="宋体" w:cs="Times New Roman"/>
                <w:color w:val="000000"/>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kern w:val="0"/>
                <w:sz w:val="18"/>
                <w:szCs w:val="18"/>
              </w:rPr>
            </w:pPr>
          </w:p>
        </w:tc>
        <w:tc>
          <w:tcPr>
            <w:tcW w:w="1167"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0.669</w:t>
            </w:r>
            <w:r>
              <w:rPr>
                <w:rFonts w:hint="eastAsia" w:ascii="Times New Roman" w:hAnsi="Times New Roman" w:eastAsia="宋体" w:cs="Times New Roman"/>
                <w:color w:val="000000"/>
                <w:sz w:val="18"/>
                <w:szCs w:val="18"/>
                <w:lang w:eastAsia="zh-CN"/>
              </w:rPr>
              <w:t>）</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1.786</w:t>
            </w:r>
            <w:r>
              <w:rPr>
                <w:rFonts w:hint="eastAsia" w:ascii="Times New Roman" w:hAnsi="Times New Roman" w:eastAsia="宋体" w:cs="Times New Roman"/>
                <w:color w:val="000000"/>
                <w:sz w:val="18"/>
                <w:szCs w:val="18"/>
                <w:lang w:eastAsia="zh-CN"/>
              </w:rPr>
              <w:t>）</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0.545</w:t>
            </w:r>
            <w:r>
              <w:rPr>
                <w:rFonts w:hint="eastAsia" w:ascii="Times New Roman" w:hAnsi="Times New Roman" w:eastAsia="宋体" w:cs="Times New Roman"/>
                <w:color w:val="000000"/>
                <w:sz w:val="18"/>
                <w:szCs w:val="18"/>
                <w:lang w:eastAsia="zh-CN"/>
              </w:rPr>
              <w:t>）</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2.238</w:t>
            </w:r>
            <w:r>
              <w:rPr>
                <w:rFonts w:hint="eastAsia" w:ascii="Times New Roman" w:hAnsi="Times New Roman" w:eastAsia="宋体" w:cs="Times New Roman"/>
                <w:color w:val="000000"/>
                <w:sz w:val="18"/>
                <w:szCs w:val="18"/>
                <w:lang w:eastAsia="zh-CN"/>
              </w:rPr>
              <w:t>）</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0.398</w:t>
            </w:r>
            <w:r>
              <w:rPr>
                <w:rFonts w:hint="eastAsia" w:ascii="Times New Roman" w:hAnsi="Times New Roman" w:eastAsia="宋体" w:cs="Times New Roman"/>
                <w:color w:val="000000"/>
                <w:sz w:val="18"/>
                <w:szCs w:val="18"/>
                <w:lang w:eastAsia="zh-CN"/>
              </w:rPr>
              <w:t>）</w:t>
            </w:r>
          </w:p>
        </w:tc>
        <w:tc>
          <w:tcPr>
            <w:tcW w:w="116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1.388</w:t>
            </w:r>
            <w:r>
              <w:rPr>
                <w:rFonts w:hint="eastAsia" w:ascii="Times New Roman" w:hAnsi="Times New Roman" w:eastAsia="宋体" w:cs="Times New Roman"/>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截距</w:t>
            </w:r>
            <w:r>
              <w:rPr>
                <w:rFonts w:ascii="Times New Roman" w:hAnsi="Times New Roman" w:eastAsia="宋体" w:cs="Times New Roman"/>
                <w:color w:val="000000"/>
                <w:kern w:val="0"/>
                <w:sz w:val="18"/>
                <w:szCs w:val="18"/>
              </w:rPr>
              <w:t>2</w:t>
            </w:r>
          </w:p>
        </w:tc>
        <w:tc>
          <w:tcPr>
            <w:tcW w:w="1167"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1.704</w:t>
            </w:r>
            <w:r>
              <w:rPr>
                <w:rFonts w:hint="eastAsia" w:ascii="Times New Roman" w:hAnsi="Times New Roman" w:eastAsia="宋体" w:cs="Times New Roman"/>
                <w:color w:val="000000"/>
                <w:sz w:val="18"/>
                <w:szCs w:val="18"/>
                <w:vertAlign w:val="superscript"/>
              </w:rPr>
              <w:t>***</w:t>
            </w:r>
          </w:p>
        </w:tc>
        <w:tc>
          <w:tcPr>
            <w:tcW w:w="116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0.225</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kern w:val="0"/>
                <w:sz w:val="18"/>
                <w:szCs w:val="18"/>
              </w:rPr>
            </w:pPr>
          </w:p>
        </w:tc>
        <w:tc>
          <w:tcPr>
            <w:tcW w:w="1167"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0.430</w:t>
            </w:r>
            <w:r>
              <w:rPr>
                <w:rFonts w:hint="eastAsia" w:ascii="Times New Roman" w:hAnsi="Times New Roman" w:eastAsia="宋体" w:cs="Times New Roman"/>
                <w:color w:val="000000"/>
                <w:sz w:val="18"/>
                <w:szCs w:val="18"/>
                <w:lang w:eastAsia="zh-CN"/>
              </w:rPr>
              <w:t>）</w:t>
            </w:r>
          </w:p>
        </w:tc>
        <w:tc>
          <w:tcPr>
            <w:tcW w:w="116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1.349</w:t>
            </w:r>
            <w:r>
              <w:rPr>
                <w:rFonts w:hint="eastAsia" w:ascii="Times New Roman" w:hAnsi="Times New Roman" w:eastAsia="宋体" w:cs="Times New Roman"/>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imes New Roman" w:hAnsi="Times New Roman" w:eastAsia="宋体" w:cs="Times New Roman"/>
                <w:color w:val="000000"/>
                <w:kern w:val="0"/>
                <w:sz w:val="18"/>
                <w:szCs w:val="18"/>
                <w:lang w:val="en-US" w:eastAsia="zh-CN"/>
              </w:rPr>
            </w:pPr>
            <w:r>
              <w:rPr>
                <w:rFonts w:hint="eastAsia" w:ascii="Times New Roman" w:hAnsi="Times New Roman" w:eastAsia="宋体" w:cs="Times New Roman"/>
                <w:color w:val="000000"/>
                <w:kern w:val="0"/>
                <w:sz w:val="18"/>
                <w:szCs w:val="18"/>
                <w:lang w:val="en-US" w:eastAsia="zh-CN"/>
              </w:rPr>
              <w:t>控制变量</w:t>
            </w:r>
          </w:p>
        </w:tc>
        <w:tc>
          <w:tcPr>
            <w:tcW w:w="1167"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未控制</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已控制</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kern w:val="2"/>
                <w:sz w:val="18"/>
                <w:szCs w:val="18"/>
                <w:lang w:val="en-US" w:eastAsia="zh-CN" w:bidi="ar-SA"/>
                <w14:ligatures w14:val="standardContextual"/>
              </w:rPr>
            </w:pPr>
            <w:r>
              <w:rPr>
                <w:rFonts w:hint="eastAsia" w:ascii="Times New Roman" w:hAnsi="Times New Roman" w:eastAsia="宋体" w:cs="Times New Roman"/>
                <w:color w:val="000000"/>
                <w:sz w:val="18"/>
                <w:szCs w:val="18"/>
                <w:lang w:val="en-US" w:eastAsia="zh-CN"/>
              </w:rPr>
              <w:t>未控制</w:t>
            </w:r>
          </w:p>
        </w:tc>
        <w:tc>
          <w:tcPr>
            <w:tcW w:w="1167"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kern w:val="2"/>
                <w:sz w:val="18"/>
                <w:szCs w:val="18"/>
                <w:lang w:val="en-US" w:eastAsia="zh-CN" w:bidi="ar-SA"/>
                <w14:ligatures w14:val="standardContextual"/>
              </w:rPr>
            </w:pPr>
            <w:r>
              <w:rPr>
                <w:rFonts w:hint="eastAsia" w:ascii="Times New Roman" w:hAnsi="Times New Roman" w:eastAsia="宋体" w:cs="Times New Roman"/>
                <w:color w:val="000000"/>
                <w:sz w:val="18"/>
                <w:szCs w:val="18"/>
                <w:lang w:val="en-US" w:eastAsia="zh-CN"/>
              </w:rPr>
              <w:t>已控制</w:t>
            </w:r>
          </w:p>
        </w:tc>
        <w:tc>
          <w:tcPr>
            <w:tcW w:w="1167"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kern w:val="2"/>
                <w:sz w:val="18"/>
                <w:szCs w:val="18"/>
                <w:lang w:val="en-US" w:eastAsia="zh-CN" w:bidi="ar-SA"/>
                <w14:ligatures w14:val="standardContextual"/>
              </w:rPr>
            </w:pPr>
            <w:r>
              <w:rPr>
                <w:rFonts w:hint="eastAsia" w:ascii="Times New Roman" w:hAnsi="Times New Roman" w:eastAsia="宋体" w:cs="Times New Roman"/>
                <w:color w:val="000000"/>
                <w:sz w:val="18"/>
                <w:szCs w:val="18"/>
                <w:lang w:val="en-US" w:eastAsia="zh-CN"/>
              </w:rPr>
              <w:t>未控制</w:t>
            </w:r>
          </w:p>
        </w:tc>
        <w:tc>
          <w:tcPr>
            <w:tcW w:w="116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kern w:val="2"/>
                <w:sz w:val="18"/>
                <w:szCs w:val="18"/>
                <w:lang w:val="en-US" w:eastAsia="zh-CN" w:bidi="ar-SA"/>
                <w14:ligatures w14:val="standardContextual"/>
              </w:rPr>
            </w:pPr>
            <w:r>
              <w:rPr>
                <w:rFonts w:hint="eastAsia" w:ascii="Times New Roman" w:hAnsi="Times New Roman" w:eastAsia="宋体" w:cs="Times New Roman"/>
                <w:color w:val="000000"/>
                <w:sz w:val="18"/>
                <w:szCs w:val="18"/>
                <w:lang w:val="en-US" w:eastAsia="zh-CN"/>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0" w:type="dxa"/>
            <w:bottom w:w="0" w:type="dxa"/>
            <w:right w:w="0" w:type="dxa"/>
          </w:tblCellMar>
        </w:tblPrEx>
        <w:trPr>
          <w:trHeight w:val="317" w:hRule="atLeast"/>
          <w:jc w:val="center"/>
        </w:trPr>
        <w:tc>
          <w:tcPr>
            <w:tcW w:w="1571" w:type="dxa"/>
            <w:tcBorders>
              <w:top w:val="single" w:color="auto" w:sz="4" w:space="0"/>
              <w:left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样本数</w:t>
            </w:r>
          </w:p>
        </w:tc>
        <w:tc>
          <w:tcPr>
            <w:tcW w:w="1167" w:type="dxa"/>
            <w:tcBorders>
              <w:top w:val="single" w:color="auto" w:sz="4" w:space="0"/>
              <w:left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656</w:t>
            </w:r>
          </w:p>
        </w:tc>
        <w:tc>
          <w:tcPr>
            <w:tcW w:w="1167" w:type="dxa"/>
            <w:tcBorders>
              <w:top w:val="single" w:color="auto" w:sz="4" w:space="0"/>
              <w:left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647</w:t>
            </w:r>
          </w:p>
        </w:tc>
        <w:tc>
          <w:tcPr>
            <w:tcW w:w="1167" w:type="dxa"/>
            <w:tcBorders>
              <w:top w:val="single" w:color="auto" w:sz="4" w:space="0"/>
              <w:left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635</w:t>
            </w:r>
          </w:p>
        </w:tc>
        <w:tc>
          <w:tcPr>
            <w:tcW w:w="1167" w:type="dxa"/>
            <w:tcBorders>
              <w:top w:val="single" w:color="auto" w:sz="4" w:space="0"/>
              <w:left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626</w:t>
            </w:r>
          </w:p>
        </w:tc>
        <w:tc>
          <w:tcPr>
            <w:tcW w:w="1167" w:type="dxa"/>
            <w:tcBorders>
              <w:top w:val="single" w:color="auto" w:sz="4" w:space="0"/>
              <w:left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656</w:t>
            </w:r>
          </w:p>
        </w:tc>
        <w:tc>
          <w:tcPr>
            <w:tcW w:w="1169" w:type="dxa"/>
            <w:tcBorders>
              <w:top w:val="single" w:color="auto" w:sz="4" w:space="0"/>
              <w:left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647</w:t>
            </w:r>
          </w:p>
        </w:tc>
      </w:tr>
    </w:tbl>
    <w:p>
      <w:pPr>
        <w:spacing w:after="0" w:line="240" w:lineRule="atLeast"/>
        <w:ind w:firstLine="332" w:firstLineChars="200"/>
        <w:rPr>
          <w:rFonts w:hint="eastAsia" w:ascii="Times New Roman" w:hAnsi="Times New Roman" w:eastAsia="宋体" w:cs="Times New Roman"/>
          <w:sz w:val="18"/>
          <w:szCs w:val="18"/>
          <w14:ligatures w14:val="standardContextual"/>
        </w:rPr>
      </w:pPr>
      <w:r>
        <w:rPr>
          <w:rFonts w:hint="eastAsia" w:ascii="Times New Roman" w:hAnsi="Times New Roman" w:eastAsia="宋体" w:cs="Times New Roman"/>
          <w:sz w:val="18"/>
          <w:szCs w:val="18"/>
          <w14:ligatures w14:val="standardContextual"/>
        </w:rPr>
        <w:t>注：①***、**和*分别表示 1%、5%和 10%的显著性水平；②表内所示为回归系数，括号内为聚类到乡镇层面的标准误；③所有回归的控制变量与基准回归相同。</w:t>
      </w:r>
    </w:p>
    <w:p>
      <w:pPr>
        <w:pStyle w:val="2"/>
        <w:keepNext w:val="0"/>
        <w:keepLines w:val="0"/>
        <w:pageBreakBefore w:val="0"/>
        <w:widowControl w:val="0"/>
        <w:kinsoku/>
        <w:wordWrap/>
        <w:overflowPunct/>
        <w:topLinePunct w:val="0"/>
        <w:autoSpaceDE/>
        <w:autoSpaceDN/>
        <w:bidi w:val="0"/>
        <w:adjustRightInd/>
        <w:snapToGrid/>
        <w:spacing w:line="240" w:lineRule="atLeast"/>
        <w:ind w:firstLine="0"/>
        <w:textAlignment w:val="auto"/>
        <w:rPr>
          <w:rFonts w:hint="eastAsia"/>
        </w:rPr>
      </w:pPr>
      <w:r>
        <w:rPr>
          <w:rFonts w:hint="eastAsia" w:ascii="Times New Roman" w:eastAsia="黑体" w:cs="Times New Roman"/>
          <w:sz w:val="18"/>
          <w:szCs w:val="18"/>
          <w14:ligatures w14:val="standardContextual"/>
        </w:rPr>
        <w:t xml:space="preserve">附表4          </w:t>
      </w:r>
      <w:bookmarkStart w:id="9" w:name="OLE_LINK80"/>
      <w:r>
        <w:rPr>
          <w:rFonts w:hint="eastAsia" w:ascii="Times New Roman" w:eastAsia="黑体" w:cs="Times New Roman"/>
          <w:sz w:val="18"/>
          <w:szCs w:val="18"/>
          <w14:ligatures w14:val="standardContextual"/>
        </w:rPr>
        <w:t>稳健性检验</w:t>
      </w:r>
      <w:r>
        <w:rPr>
          <w:rFonts w:hint="eastAsia" w:ascii="Times New Roman" w:eastAsia="黑体" w:cs="Times New Roman"/>
          <w:sz w:val="18"/>
          <w:szCs w:val="18"/>
          <w:lang w:eastAsia="zh-CN"/>
          <w14:ligatures w14:val="standardContextual"/>
        </w:rPr>
        <w:t>：</w:t>
      </w:r>
      <w:r>
        <w:rPr>
          <w:rFonts w:hint="eastAsia" w:ascii="Times New Roman" w:eastAsia="黑体" w:cs="Times New Roman"/>
          <w:sz w:val="18"/>
          <w:szCs w:val="16"/>
          <w:lang w:val="en-US" w:eastAsia="zh-CN"/>
          <w14:ligatures w14:val="standardContextual"/>
        </w:rPr>
        <w:t>养育质量社会支持</w:t>
      </w:r>
      <w:r>
        <w:rPr>
          <w:rFonts w:hint="eastAsia" w:ascii="Times New Roman" w:eastAsia="黑体" w:cs="Times New Roman"/>
          <w:sz w:val="18"/>
          <w:szCs w:val="18"/>
          <w14:ligatures w14:val="standardContextual"/>
        </w:rPr>
        <w:t>对妇女</w:t>
      </w:r>
      <w:r>
        <w:rPr>
          <w:rFonts w:hint="eastAsia" w:ascii="Times New Roman" w:eastAsia="黑体" w:cs="Times New Roman"/>
          <w:sz w:val="18"/>
          <w:szCs w:val="18"/>
          <w:lang w:val="en-US" w:eastAsia="zh-CN"/>
          <w14:ligatures w14:val="standardContextual"/>
        </w:rPr>
        <w:t>生育意愿影响</w:t>
      </w:r>
      <w:r>
        <w:rPr>
          <w:rFonts w:hint="eastAsia" w:ascii="Times New Roman" w:eastAsia="黑体" w:cs="Times New Roman"/>
          <w:sz w:val="18"/>
          <w:szCs w:val="18"/>
          <w14:ligatures w14:val="standardContextual"/>
        </w:rPr>
        <w:t>样本缩尾处理</w:t>
      </w:r>
      <w:bookmarkEnd w:id="9"/>
      <w:r>
        <w:rPr>
          <w:rFonts w:hint="eastAsia" w:ascii="Times New Roman" w:eastAsia="黑体" w:cs="Times New Roman"/>
          <w:sz w:val="18"/>
          <w:szCs w:val="18"/>
          <w:lang w:val="en-US" w:eastAsia="zh-CN"/>
          <w14:ligatures w14:val="standardContextual"/>
        </w:rPr>
        <w:t>回归结果</w:t>
      </w:r>
    </w:p>
    <w:tbl>
      <w:tblPr>
        <w:tblStyle w:val="33"/>
        <w:tblW w:w="8614" w:type="dxa"/>
        <w:jc w:val="center"/>
        <w:tblInd w:w="-913" w:type="dxa"/>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1267"/>
        <w:gridCol w:w="1119"/>
        <w:gridCol w:w="1246"/>
        <w:gridCol w:w="1212"/>
        <w:gridCol w:w="1142"/>
        <w:gridCol w:w="1315"/>
        <w:gridCol w:w="1313"/>
      </w:tblGrid>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jc w:val="center"/>
        </w:trPr>
        <w:tc>
          <w:tcPr>
            <w:tcW w:w="1267" w:type="dxa"/>
            <w:vMerge w:val="restart"/>
            <w:tcBorders>
              <w:left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变量</w:t>
            </w:r>
          </w:p>
        </w:tc>
        <w:tc>
          <w:tcPr>
            <w:tcW w:w="3577" w:type="dxa"/>
            <w:gridSpan w:val="3"/>
            <w:tcBorders>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妇女年龄缩尾处理（3%）</w:t>
            </w:r>
          </w:p>
        </w:tc>
        <w:tc>
          <w:tcPr>
            <w:tcW w:w="3770" w:type="dxa"/>
            <w:gridSpan w:val="3"/>
            <w:tcBorders>
              <w:left w:val="single" w:color="auto" w:sz="4" w:space="0"/>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家庭收入缩尾处理（3%）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jc w:val="center"/>
        </w:trPr>
        <w:tc>
          <w:tcPr>
            <w:tcW w:w="1267" w:type="dxa"/>
            <w:vMerge w:val="continue"/>
            <w:tcBorders>
              <w:left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p>
        </w:tc>
        <w:tc>
          <w:tcPr>
            <w:tcW w:w="1119" w:type="dxa"/>
            <w:tcBorders>
              <w:top w:val="single" w:color="auto" w:sz="4" w:space="0"/>
              <w:left w:val="single" w:color="auto" w:sz="4" w:space="0"/>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生育意愿</w:t>
            </w:r>
            <w:r>
              <w:rPr>
                <w:rFonts w:ascii="Times New Roman" w:hAnsi="Times New Roman" w:eastAsia="宋体" w:cs="Times New Roman"/>
                <w:color w:val="000000"/>
                <w:sz w:val="18"/>
                <w:szCs w:val="18"/>
              </w:rPr>
              <w:t>1</w:t>
            </w:r>
            <w:r>
              <w:rPr>
                <w:rFonts w:hint="eastAsia" w:ascii="Times New Roman" w:hAnsi="Times New Roman" w:eastAsia="宋体" w:cs="Times New Roman"/>
                <w:color w:val="000000"/>
                <w:sz w:val="18"/>
                <w:szCs w:val="18"/>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再生一个</w:t>
            </w:r>
          </w:p>
        </w:tc>
        <w:tc>
          <w:tcPr>
            <w:tcW w:w="1246" w:type="dxa"/>
            <w:tcBorders>
              <w:top w:val="single" w:color="auto" w:sz="4" w:space="0"/>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生育意愿</w:t>
            </w:r>
            <w:r>
              <w:rPr>
                <w:rFonts w:ascii="Times New Roman" w:hAnsi="Times New Roman" w:eastAsia="宋体" w:cs="Times New Roman"/>
                <w:color w:val="000000"/>
                <w:sz w:val="18"/>
                <w:szCs w:val="18"/>
              </w:rPr>
              <w:t>2</w:t>
            </w:r>
            <w:r>
              <w:rPr>
                <w:rFonts w:hint="eastAsia" w:ascii="Times New Roman" w:hAnsi="Times New Roman" w:eastAsia="宋体" w:cs="Times New Roman"/>
                <w:color w:val="000000"/>
                <w:sz w:val="18"/>
                <w:szCs w:val="18"/>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不想再生</w:t>
            </w:r>
          </w:p>
        </w:tc>
        <w:tc>
          <w:tcPr>
            <w:tcW w:w="1212" w:type="dxa"/>
            <w:tcBorders>
              <w:top w:val="single" w:color="auto" w:sz="4" w:space="0"/>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生育意愿</w:t>
            </w:r>
            <w:r>
              <w:rPr>
                <w:rFonts w:ascii="Times New Roman" w:hAnsi="Times New Roman" w:eastAsia="宋体" w:cs="Times New Roman"/>
                <w:color w:val="000000"/>
                <w:sz w:val="18"/>
                <w:szCs w:val="18"/>
              </w:rPr>
              <w:t>3</w:t>
            </w:r>
            <w:r>
              <w:rPr>
                <w:rFonts w:hint="eastAsia" w:ascii="Times New Roman" w:hAnsi="Times New Roman" w:eastAsia="宋体" w:cs="Times New Roman"/>
                <w:color w:val="000000"/>
                <w:sz w:val="18"/>
                <w:szCs w:val="18"/>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综合生育意愿</w:t>
            </w:r>
          </w:p>
        </w:tc>
        <w:tc>
          <w:tcPr>
            <w:tcW w:w="1142" w:type="dxa"/>
            <w:tcBorders>
              <w:top w:val="single" w:color="auto" w:sz="4" w:space="0"/>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生育意愿</w:t>
            </w:r>
            <w:r>
              <w:rPr>
                <w:rFonts w:ascii="Times New Roman" w:hAnsi="Times New Roman" w:eastAsia="宋体" w:cs="Times New Roman"/>
                <w:color w:val="000000"/>
                <w:sz w:val="18"/>
                <w:szCs w:val="18"/>
              </w:rPr>
              <w:t>1</w:t>
            </w:r>
            <w:r>
              <w:rPr>
                <w:rFonts w:hint="eastAsia" w:ascii="Times New Roman" w:hAnsi="Times New Roman" w:eastAsia="宋体" w:cs="Times New Roman"/>
                <w:color w:val="000000"/>
                <w:sz w:val="18"/>
                <w:szCs w:val="18"/>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再生一个</w:t>
            </w:r>
          </w:p>
        </w:tc>
        <w:tc>
          <w:tcPr>
            <w:tcW w:w="1315" w:type="dxa"/>
            <w:tcBorders>
              <w:top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生育意愿</w:t>
            </w:r>
            <w:r>
              <w:rPr>
                <w:rFonts w:ascii="Times New Roman" w:hAnsi="Times New Roman" w:eastAsia="宋体" w:cs="Times New Roman"/>
                <w:color w:val="000000"/>
                <w:sz w:val="18"/>
                <w:szCs w:val="18"/>
              </w:rPr>
              <w:t>2</w:t>
            </w:r>
            <w:r>
              <w:rPr>
                <w:rFonts w:hint="eastAsia" w:ascii="Times New Roman" w:hAnsi="Times New Roman" w:eastAsia="宋体" w:cs="Times New Roman"/>
                <w:color w:val="000000"/>
                <w:sz w:val="18"/>
                <w:szCs w:val="18"/>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不想再生</w:t>
            </w:r>
          </w:p>
        </w:tc>
        <w:tc>
          <w:tcPr>
            <w:tcW w:w="1313"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生育意愿</w:t>
            </w:r>
            <w:r>
              <w:rPr>
                <w:rFonts w:ascii="Times New Roman" w:hAnsi="Times New Roman" w:eastAsia="宋体" w:cs="Times New Roman"/>
                <w:color w:val="000000"/>
                <w:sz w:val="18"/>
                <w:szCs w:val="18"/>
              </w:rPr>
              <w:t>3</w:t>
            </w:r>
            <w:r>
              <w:rPr>
                <w:rFonts w:hint="eastAsia" w:ascii="Times New Roman" w:hAnsi="Times New Roman" w:eastAsia="宋体" w:cs="Times New Roman"/>
                <w:color w:val="000000"/>
                <w:sz w:val="18"/>
                <w:szCs w:val="18"/>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综合生育意愿</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jc w:val="center"/>
        </w:trPr>
        <w:tc>
          <w:tcPr>
            <w:tcW w:w="1267" w:type="dxa"/>
            <w:vMerge w:val="continue"/>
            <w:tcBorders>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000000"/>
                <w:sz w:val="18"/>
                <w:szCs w:val="18"/>
              </w:rPr>
            </w:pPr>
          </w:p>
        </w:tc>
        <w:tc>
          <w:tcPr>
            <w:tcW w:w="1119" w:type="dxa"/>
            <w:tcBorders>
              <w:top w:val="nil"/>
              <w:left w:val="single" w:color="auto" w:sz="4" w:space="0"/>
              <w:bottom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ascii="Times New Roman" w:hAnsi="Times New Roman" w:eastAsia="宋体" w:cs="Times New Roman"/>
                <w:color w:val="000000"/>
                <w:sz w:val="18"/>
                <w:szCs w:val="18"/>
              </w:rPr>
              <w:t>1</w:t>
            </w:r>
            <w:r>
              <w:rPr>
                <w:rFonts w:hint="eastAsia" w:ascii="Times New Roman" w:hAnsi="Times New Roman" w:eastAsia="宋体" w:cs="Times New Roman"/>
                <w:color w:val="000000"/>
                <w:sz w:val="18"/>
                <w:szCs w:val="18"/>
                <w:lang w:eastAsia="zh-CN"/>
              </w:rPr>
              <w:t>）</w:t>
            </w:r>
          </w:p>
        </w:tc>
        <w:tc>
          <w:tcPr>
            <w:tcW w:w="1246" w:type="dxa"/>
            <w:tcBorders>
              <w:top w:val="nil"/>
              <w:bottom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ascii="Times New Roman" w:hAnsi="Times New Roman" w:eastAsia="宋体" w:cs="Times New Roman"/>
                <w:color w:val="000000"/>
                <w:sz w:val="18"/>
                <w:szCs w:val="18"/>
              </w:rPr>
              <w:t>2</w:t>
            </w:r>
            <w:r>
              <w:rPr>
                <w:rFonts w:hint="eastAsia" w:ascii="Times New Roman" w:hAnsi="Times New Roman" w:eastAsia="宋体" w:cs="Times New Roman"/>
                <w:color w:val="000000"/>
                <w:sz w:val="18"/>
                <w:szCs w:val="18"/>
                <w:lang w:eastAsia="zh-CN"/>
              </w:rPr>
              <w:t>）</w:t>
            </w:r>
          </w:p>
        </w:tc>
        <w:tc>
          <w:tcPr>
            <w:tcW w:w="1212" w:type="dxa"/>
            <w:tcBorders>
              <w:top w:val="nil"/>
              <w:left w:val="nil"/>
              <w:bottom w:val="single" w:color="auto" w:sz="4" w:space="0"/>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ascii="Times New Roman" w:hAnsi="Times New Roman" w:eastAsia="宋体" w:cs="Times New Roman"/>
                <w:color w:val="000000"/>
                <w:sz w:val="18"/>
                <w:szCs w:val="18"/>
              </w:rPr>
              <w:t>3</w:t>
            </w:r>
            <w:r>
              <w:rPr>
                <w:rFonts w:hint="eastAsia" w:ascii="Times New Roman" w:hAnsi="Times New Roman" w:eastAsia="宋体" w:cs="Times New Roman"/>
                <w:color w:val="000000"/>
                <w:sz w:val="18"/>
                <w:szCs w:val="18"/>
                <w:lang w:eastAsia="zh-CN"/>
              </w:rPr>
              <w:t>）</w:t>
            </w:r>
          </w:p>
        </w:tc>
        <w:tc>
          <w:tcPr>
            <w:tcW w:w="1142" w:type="dxa"/>
            <w:tcBorders>
              <w:top w:val="nil"/>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4</w:t>
            </w:r>
            <w:r>
              <w:rPr>
                <w:rFonts w:hint="eastAsia" w:ascii="Times New Roman" w:hAnsi="Times New Roman" w:eastAsia="宋体" w:cs="Times New Roman"/>
                <w:color w:val="000000"/>
                <w:sz w:val="18"/>
                <w:szCs w:val="18"/>
                <w:lang w:eastAsia="zh-CN"/>
              </w:rPr>
              <w:t>）</w:t>
            </w:r>
          </w:p>
        </w:tc>
        <w:tc>
          <w:tcPr>
            <w:tcW w:w="1315" w:type="dxa"/>
            <w:tcBorders>
              <w:top w:val="nil"/>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5</w:t>
            </w:r>
            <w:r>
              <w:rPr>
                <w:rFonts w:hint="eastAsia" w:ascii="Times New Roman" w:hAnsi="Times New Roman" w:eastAsia="宋体" w:cs="Times New Roman"/>
                <w:color w:val="000000"/>
                <w:sz w:val="18"/>
                <w:szCs w:val="18"/>
                <w:lang w:eastAsia="zh-CN"/>
              </w:rPr>
              <w:t>）</w:t>
            </w:r>
          </w:p>
        </w:tc>
        <w:tc>
          <w:tcPr>
            <w:tcW w:w="1313"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w:t>
            </w:r>
            <w:r>
              <w:rPr>
                <w:rFonts w:hint="eastAsia" w:ascii="Times New Roman" w:hAnsi="Times New Roman" w:eastAsia="宋体" w:cs="Times New Roman"/>
                <w:color w:val="000000"/>
                <w:sz w:val="18"/>
                <w:szCs w:val="18"/>
              </w:rPr>
              <w:t>6</w:t>
            </w:r>
            <w:r>
              <w:rPr>
                <w:rFonts w:hint="eastAsia" w:ascii="Times New Roman" w:hAnsi="Times New Roman" w:eastAsia="宋体" w:cs="Times New Roman"/>
                <w:color w:val="000000"/>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jc w:val="center"/>
        </w:trPr>
        <w:tc>
          <w:tcPr>
            <w:tcW w:w="1267"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000000"/>
                <w:sz w:val="18"/>
                <w:szCs w:val="18"/>
              </w:rPr>
            </w:pPr>
            <w:r>
              <w:rPr>
                <w:rFonts w:hint="eastAsia" w:ascii="Times New Roman" w:hAnsi="Times New Roman" w:eastAsia="宋体" w:cs="Times New Roman"/>
                <w:color w:val="000000"/>
                <w:kern w:val="0"/>
                <w:sz w:val="18"/>
                <w:szCs w:val="18"/>
                <w:lang w:val="en-US" w:eastAsia="zh-CN"/>
              </w:rPr>
              <w:t>是否在实验组</w:t>
            </w:r>
          </w:p>
        </w:tc>
        <w:tc>
          <w:tcPr>
            <w:tcW w:w="1119" w:type="dxa"/>
            <w:tcBorders>
              <w:top w:val="nil"/>
              <w:left w:val="single" w:color="auto" w:sz="4" w:space="0"/>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0.065</w:t>
            </w:r>
            <w:r>
              <w:rPr>
                <w:rFonts w:hint="eastAsia" w:ascii="Times New Roman" w:hAnsi="Times New Roman" w:cs="Times New Roman"/>
                <w:sz w:val="18"/>
                <w:szCs w:val="18"/>
                <w:vertAlign w:val="superscript"/>
              </w:rPr>
              <w:t>**</w:t>
            </w:r>
          </w:p>
        </w:tc>
        <w:tc>
          <w:tcPr>
            <w:tcW w:w="1246" w:type="dxa"/>
            <w:tcBorders>
              <w:top w:val="nil"/>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ascii="Times New Roman" w:hAnsi="Times New Roman" w:eastAsia="宋体" w:cs="Times New Roman"/>
                <w:color w:val="auto"/>
                <w:sz w:val="18"/>
                <w:szCs w:val="18"/>
              </w:rPr>
              <w:t>−</w:t>
            </w:r>
            <w:r>
              <w:rPr>
                <w:rFonts w:hint="eastAsia" w:ascii="Times New Roman" w:hAnsi="Times New Roman" w:cs="Times New Roman"/>
                <w:sz w:val="18"/>
                <w:szCs w:val="18"/>
              </w:rPr>
              <w:t>0.056</w:t>
            </w:r>
            <w:r>
              <w:rPr>
                <w:rFonts w:hint="eastAsia" w:ascii="Times New Roman" w:hAnsi="Times New Roman" w:cs="Times New Roman"/>
                <w:sz w:val="18"/>
                <w:szCs w:val="18"/>
                <w:vertAlign w:val="superscript"/>
              </w:rPr>
              <w:t>*</w:t>
            </w:r>
          </w:p>
        </w:tc>
        <w:tc>
          <w:tcPr>
            <w:tcW w:w="1212" w:type="dxa"/>
            <w:tcBorders>
              <w:top w:val="nil"/>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0.121</w:t>
            </w:r>
            <w:r>
              <w:rPr>
                <w:rFonts w:hint="eastAsia" w:ascii="Times New Roman" w:hAnsi="Times New Roman" w:cs="Times New Roman"/>
                <w:sz w:val="18"/>
                <w:szCs w:val="18"/>
                <w:vertAlign w:val="superscript"/>
              </w:rPr>
              <w:t>**</w:t>
            </w:r>
          </w:p>
        </w:tc>
        <w:tc>
          <w:tcPr>
            <w:tcW w:w="1142" w:type="dxa"/>
            <w:tcBorders>
              <w:top w:val="nil"/>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0.065</w:t>
            </w:r>
            <w:r>
              <w:rPr>
                <w:rFonts w:hint="eastAsia" w:ascii="Times New Roman" w:hAnsi="Times New Roman" w:cs="Times New Roman"/>
                <w:sz w:val="18"/>
                <w:szCs w:val="18"/>
                <w:vertAlign w:val="superscript"/>
              </w:rPr>
              <w:t>**</w:t>
            </w:r>
          </w:p>
        </w:tc>
        <w:tc>
          <w:tcPr>
            <w:tcW w:w="131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ascii="Times New Roman" w:hAnsi="Times New Roman" w:eastAsia="宋体" w:cs="Times New Roman"/>
                <w:color w:val="auto"/>
                <w:sz w:val="18"/>
                <w:szCs w:val="18"/>
              </w:rPr>
              <w:t>−</w:t>
            </w:r>
            <w:r>
              <w:rPr>
                <w:rFonts w:hint="eastAsia" w:ascii="Times New Roman" w:hAnsi="Times New Roman" w:cs="Times New Roman"/>
                <w:sz w:val="18"/>
                <w:szCs w:val="18"/>
              </w:rPr>
              <w:t>0.048</w:t>
            </w:r>
          </w:p>
        </w:tc>
        <w:tc>
          <w:tcPr>
            <w:tcW w:w="1313"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0.113</w:t>
            </w:r>
            <w:r>
              <w:rPr>
                <w:rFonts w:hint="eastAsia" w:ascii="Times New Roman" w:hAnsi="Times New Roman" w:cs="Times New Roman"/>
                <w:sz w:val="18"/>
                <w:szCs w:val="18"/>
                <w:vertAlign w:val="superscript"/>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jc w:val="center"/>
        </w:trPr>
        <w:tc>
          <w:tcPr>
            <w:tcW w:w="1267"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000000"/>
                <w:sz w:val="18"/>
                <w:szCs w:val="18"/>
              </w:rPr>
            </w:pPr>
          </w:p>
        </w:tc>
        <w:tc>
          <w:tcPr>
            <w:tcW w:w="1119" w:type="dxa"/>
            <w:tcBorders>
              <w:top w:val="nil"/>
              <w:left w:val="single" w:color="auto" w:sz="4" w:space="0"/>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w:t>
            </w:r>
            <w:r>
              <w:rPr>
                <w:rFonts w:hint="eastAsia" w:ascii="Times New Roman" w:hAnsi="Times New Roman" w:cs="Times New Roman"/>
                <w:sz w:val="18"/>
                <w:szCs w:val="18"/>
              </w:rPr>
              <w:t>0.031</w:t>
            </w:r>
            <w:r>
              <w:rPr>
                <w:rFonts w:hint="eastAsia" w:ascii="Times New Roman" w:hAnsi="Times New Roman" w:cs="Times New Roman"/>
                <w:sz w:val="18"/>
                <w:szCs w:val="18"/>
                <w:lang w:eastAsia="zh-CN"/>
              </w:rPr>
              <w:t>）</w:t>
            </w:r>
          </w:p>
        </w:tc>
        <w:tc>
          <w:tcPr>
            <w:tcW w:w="1246" w:type="dxa"/>
            <w:tcBorders>
              <w:top w:val="nil"/>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w:t>
            </w:r>
            <w:r>
              <w:rPr>
                <w:rFonts w:hint="eastAsia" w:ascii="Times New Roman" w:hAnsi="Times New Roman" w:cs="Times New Roman"/>
                <w:sz w:val="18"/>
                <w:szCs w:val="18"/>
              </w:rPr>
              <w:t>0.033</w:t>
            </w:r>
            <w:r>
              <w:rPr>
                <w:rFonts w:hint="eastAsia" w:ascii="Times New Roman" w:hAnsi="Times New Roman" w:cs="Times New Roman"/>
                <w:sz w:val="18"/>
                <w:szCs w:val="18"/>
                <w:lang w:eastAsia="zh-CN"/>
              </w:rPr>
              <w:t>）</w:t>
            </w:r>
          </w:p>
        </w:tc>
        <w:tc>
          <w:tcPr>
            <w:tcW w:w="1212" w:type="dxa"/>
            <w:tcBorders>
              <w:top w:val="nil"/>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w:t>
            </w:r>
            <w:r>
              <w:rPr>
                <w:rFonts w:hint="eastAsia" w:ascii="Times New Roman" w:hAnsi="Times New Roman" w:cs="Times New Roman"/>
                <w:sz w:val="18"/>
                <w:szCs w:val="18"/>
              </w:rPr>
              <w:t>0.048</w:t>
            </w:r>
            <w:r>
              <w:rPr>
                <w:rFonts w:hint="eastAsia" w:ascii="Times New Roman" w:hAnsi="Times New Roman" w:cs="Times New Roman"/>
                <w:sz w:val="18"/>
                <w:szCs w:val="18"/>
                <w:lang w:eastAsia="zh-CN"/>
              </w:rPr>
              <w:t>）</w:t>
            </w:r>
          </w:p>
        </w:tc>
        <w:tc>
          <w:tcPr>
            <w:tcW w:w="1142" w:type="dxa"/>
            <w:tcBorders>
              <w:top w:val="nil"/>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w:t>
            </w:r>
            <w:r>
              <w:rPr>
                <w:rFonts w:hint="eastAsia" w:ascii="Times New Roman" w:hAnsi="Times New Roman" w:cs="Times New Roman"/>
                <w:sz w:val="18"/>
                <w:szCs w:val="18"/>
              </w:rPr>
              <w:t>0.031</w:t>
            </w:r>
            <w:r>
              <w:rPr>
                <w:rFonts w:hint="eastAsia" w:ascii="Times New Roman" w:hAnsi="Times New Roman" w:cs="Times New Roman"/>
                <w:sz w:val="18"/>
                <w:szCs w:val="18"/>
                <w:lang w:eastAsia="zh-CN"/>
              </w:rPr>
              <w:t>）</w:t>
            </w:r>
          </w:p>
        </w:tc>
        <w:tc>
          <w:tcPr>
            <w:tcW w:w="131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w:t>
            </w:r>
            <w:r>
              <w:rPr>
                <w:rFonts w:hint="eastAsia" w:ascii="Times New Roman" w:hAnsi="Times New Roman" w:cs="Times New Roman"/>
                <w:sz w:val="18"/>
                <w:szCs w:val="18"/>
              </w:rPr>
              <w:t>0.033</w:t>
            </w:r>
            <w:r>
              <w:rPr>
                <w:rFonts w:hint="eastAsia" w:ascii="Times New Roman" w:hAnsi="Times New Roman" w:cs="Times New Roman"/>
                <w:sz w:val="18"/>
                <w:szCs w:val="18"/>
                <w:lang w:eastAsia="zh-CN"/>
              </w:rPr>
              <w:t>）</w:t>
            </w:r>
          </w:p>
        </w:tc>
        <w:tc>
          <w:tcPr>
            <w:tcW w:w="1313"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w:t>
            </w:r>
            <w:r>
              <w:rPr>
                <w:rFonts w:hint="eastAsia" w:ascii="Times New Roman" w:hAnsi="Times New Roman" w:cs="Times New Roman"/>
                <w:sz w:val="18"/>
                <w:szCs w:val="18"/>
              </w:rPr>
              <w:t>0.047</w:t>
            </w:r>
            <w:r>
              <w:rPr>
                <w:rFonts w:hint="eastAsia" w:ascii="Times New Roman" w:hAnsi="Times New Roman" w:cs="Times New Roman"/>
                <w:sz w:val="18"/>
                <w:szCs w:val="18"/>
                <w:lang w:eastAsia="zh-CN"/>
              </w:rPr>
              <w:t>）</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jc w:val="center"/>
        </w:trPr>
        <w:tc>
          <w:tcPr>
            <w:tcW w:w="1267" w:type="dxa"/>
            <w:tcBorders>
              <w:top w:val="nil"/>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控制变量</w:t>
            </w:r>
          </w:p>
        </w:tc>
        <w:tc>
          <w:tcPr>
            <w:tcW w:w="1119" w:type="dxa"/>
            <w:tcBorders>
              <w:top w:val="nil"/>
              <w:left w:val="single" w:color="auto" w:sz="4" w:space="0"/>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已控制</w:t>
            </w:r>
          </w:p>
        </w:tc>
        <w:tc>
          <w:tcPr>
            <w:tcW w:w="1246" w:type="dxa"/>
            <w:tcBorders>
              <w:top w:val="nil"/>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已控制</w:t>
            </w:r>
          </w:p>
        </w:tc>
        <w:tc>
          <w:tcPr>
            <w:tcW w:w="1212" w:type="dxa"/>
            <w:tcBorders>
              <w:top w:val="nil"/>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已控制</w:t>
            </w:r>
          </w:p>
        </w:tc>
        <w:tc>
          <w:tcPr>
            <w:tcW w:w="1142" w:type="dxa"/>
            <w:tcBorders>
              <w:top w:val="nil"/>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已控制</w:t>
            </w:r>
          </w:p>
        </w:tc>
        <w:tc>
          <w:tcPr>
            <w:tcW w:w="131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已控制</w:t>
            </w:r>
          </w:p>
        </w:tc>
        <w:tc>
          <w:tcPr>
            <w:tcW w:w="1313"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已控制</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jc w:val="center"/>
        </w:trPr>
        <w:tc>
          <w:tcPr>
            <w:tcW w:w="1267" w:type="dxa"/>
            <w:tcBorders>
              <w:top w:val="single" w:color="auto" w:sz="4" w:space="0"/>
              <w:left w:val="nil"/>
              <w:bottom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调整R</w:t>
            </w:r>
            <w:r>
              <w:rPr>
                <w:rFonts w:ascii="Times New Roman" w:hAnsi="Times New Roman" w:eastAsia="宋体" w:cs="Times New Roman"/>
                <w:color w:val="000000"/>
                <w:sz w:val="18"/>
                <w:szCs w:val="18"/>
                <w:vertAlign w:val="superscript"/>
              </w:rPr>
              <w:t>2</w:t>
            </w:r>
          </w:p>
        </w:tc>
        <w:tc>
          <w:tcPr>
            <w:tcW w:w="1119" w:type="dxa"/>
            <w:tcBorders>
              <w:top w:val="single" w:color="auto" w:sz="4" w:space="0"/>
              <w:left w:val="single" w:color="auto" w:sz="4" w:space="0"/>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0.276</w:t>
            </w:r>
          </w:p>
        </w:tc>
        <w:tc>
          <w:tcPr>
            <w:tcW w:w="1246" w:type="dxa"/>
            <w:tcBorders>
              <w:top w:val="single" w:color="auto" w:sz="4" w:space="0"/>
              <w:bottom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0.091</w:t>
            </w:r>
          </w:p>
        </w:tc>
        <w:tc>
          <w:tcPr>
            <w:tcW w:w="1212" w:type="dxa"/>
            <w:tcBorders>
              <w:top w:val="single" w:color="auto" w:sz="4" w:space="0"/>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0.256</w:t>
            </w:r>
          </w:p>
        </w:tc>
        <w:tc>
          <w:tcPr>
            <w:tcW w:w="1142" w:type="dxa"/>
            <w:tcBorders>
              <w:top w:val="single" w:color="auto" w:sz="4" w:space="0"/>
              <w:left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0.260</w:t>
            </w:r>
          </w:p>
        </w:tc>
        <w:tc>
          <w:tcPr>
            <w:tcW w:w="1315" w:type="dxa"/>
            <w:tcBorders>
              <w:top w:val="single" w:color="auto" w:sz="4"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0.088</w:t>
            </w:r>
          </w:p>
        </w:tc>
        <w:tc>
          <w:tcPr>
            <w:tcW w:w="1313"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0.243</w:t>
            </w:r>
          </w:p>
        </w:tc>
      </w:tr>
      <w:tr>
        <w:tblPrEx>
          <w:tblBorders>
            <w:top w:val="single" w:color="auto" w:sz="12" w:space="0"/>
            <w:left w:val="none" w:color="auto" w:sz="4" w:space="0"/>
            <w:bottom w:val="single" w:color="auto" w:sz="12"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jc w:val="center"/>
        </w:trPr>
        <w:tc>
          <w:tcPr>
            <w:tcW w:w="1267" w:type="dxa"/>
            <w:tcBorders>
              <w:top w:val="nil"/>
              <w:left w:val="nil"/>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观测值</w:t>
            </w:r>
          </w:p>
        </w:tc>
        <w:tc>
          <w:tcPr>
            <w:tcW w:w="1119" w:type="dxa"/>
            <w:tcBorders>
              <w:top w:val="nil"/>
              <w:lef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619</w:t>
            </w:r>
          </w:p>
        </w:tc>
        <w:tc>
          <w:tcPr>
            <w:tcW w:w="1246" w:type="dxa"/>
            <w:tcBorders>
              <w:top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619</w:t>
            </w:r>
          </w:p>
        </w:tc>
        <w:tc>
          <w:tcPr>
            <w:tcW w:w="1212" w:type="dxa"/>
            <w:tcBorders>
              <w:top w:val="nil"/>
              <w:left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619</w:t>
            </w:r>
          </w:p>
        </w:tc>
        <w:tc>
          <w:tcPr>
            <w:tcW w:w="1142" w:type="dxa"/>
            <w:tcBorders>
              <w:top w:val="nil"/>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606</w:t>
            </w:r>
          </w:p>
        </w:tc>
        <w:tc>
          <w:tcPr>
            <w:tcW w:w="1315"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606</w:t>
            </w:r>
          </w:p>
        </w:tc>
        <w:tc>
          <w:tcPr>
            <w:tcW w:w="1313" w:type="dxa"/>
            <w:tcBorders>
              <w:top w:val="nil"/>
              <w:left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cs="Times New Roman"/>
                <w:sz w:val="18"/>
                <w:szCs w:val="18"/>
              </w:rPr>
            </w:pPr>
            <w:r>
              <w:rPr>
                <w:rFonts w:hint="eastAsia" w:ascii="Times New Roman" w:hAnsi="Times New Roman" w:cs="Times New Roman"/>
                <w:sz w:val="18"/>
                <w:szCs w:val="18"/>
              </w:rPr>
              <w:t>606</w:t>
            </w:r>
          </w:p>
        </w:tc>
      </w:tr>
    </w:tbl>
    <w:p>
      <w:pPr>
        <w:spacing w:after="0" w:line="240" w:lineRule="atLeast"/>
        <w:ind w:firstLine="332" w:firstLineChars="200"/>
        <w:rPr>
          <w:rFonts w:hint="eastAsia" w:ascii="Times New Roman" w:hAnsi="Times New Roman" w:eastAsia="宋体" w:cs="Times New Roman"/>
          <w:sz w:val="18"/>
          <w:szCs w:val="18"/>
          <w14:ligatures w14:val="standardContextual"/>
        </w:rPr>
      </w:pPr>
      <w:r>
        <w:rPr>
          <w:rFonts w:hint="eastAsia" w:ascii="Times New Roman" w:hAnsi="Times New Roman" w:eastAsia="宋体" w:cs="Times New Roman"/>
          <w:sz w:val="18"/>
          <w:szCs w:val="18"/>
          <w14:ligatures w14:val="standardContextual"/>
        </w:rPr>
        <w:t>注：①***、**和*分别表示 1%、5%和 10%的显著性水平；②括号内为聚类到乡镇层面的标准误；③所有回归的控制变量与基准回归相同。</w:t>
      </w:r>
    </w:p>
    <w:p>
      <w:pPr>
        <w:rPr>
          <w:rFonts w:ascii="Times New Roman" w:hAnsi="Times New Roman" w:eastAsia="宋体" w:cs="Times New Roman"/>
          <w:sz w:val="18"/>
          <w:szCs w:val="18"/>
        </w:rPr>
      </w:pPr>
    </w:p>
    <w:p>
      <w:pPr>
        <w:pStyle w:val="2"/>
        <w:rPr>
          <w:rFonts w:hint="eastAsia"/>
        </w:rPr>
      </w:pP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Times New Roman"/>
        </w:rPr>
      </w:pPr>
      <w:r>
        <w:rPr>
          <w:rFonts w:hint="eastAsia" w:ascii="宋体" w:hAnsi="宋体" w:cs="宋体"/>
          <w:b/>
          <w:bCs/>
          <w:color w:val="FF0000"/>
          <w:kern w:val="0"/>
          <w:szCs w:val="21"/>
          <w:lang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cs="宋体"/>
          <w:color w:val="3C3C3C"/>
          <w:kern w:val="0"/>
          <w:szCs w:val="21"/>
          <w:lang w:bidi="ar"/>
        </w:rPr>
        <w:t>。</w:t>
      </w:r>
      <w:r>
        <w:rPr>
          <w:rFonts w:hint="eastAsia" w:ascii="宋体" w:hAnsi="宋体" w:cs="宋体"/>
          <w:b/>
          <w:bCs/>
          <w:color w:val="FF0000"/>
          <w:kern w:val="0"/>
          <w:szCs w:val="21"/>
          <w:lang w:bidi="ar"/>
        </w:rPr>
        <w:t xml:space="preserve"> </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Times New Roman"/>
        </w:rPr>
      </w:pPr>
      <w:r>
        <w:rPr>
          <w:rFonts w:hint="eastAsia" w:ascii="宋体" w:hAnsi="宋体" w:cs="宋体"/>
          <w:color w:val="3C3C3C"/>
          <w:kern w:val="0"/>
          <w:szCs w:val="21"/>
          <w:lang w:bidi="ar"/>
        </w:rPr>
        <w:t xml:space="preserve">引用示例： </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Times New Roman"/>
        </w:rPr>
      </w:pPr>
      <w:r>
        <w:rPr>
          <w:rFonts w:ascii="黑体" w:hAnsi="宋体" w:eastAsia="黑体" w:cs="黑体"/>
          <w:color w:val="000000"/>
          <w:kern w:val="0"/>
          <w:szCs w:val="21"/>
          <w:lang w:bidi="ar"/>
        </w:rPr>
        <w:t>参考文献引用范例</w:t>
      </w:r>
      <w:r>
        <w:rPr>
          <w:rFonts w:hint="eastAsia" w:ascii="Arial" w:hAnsi="Arial" w:cs="Arial"/>
          <w:color w:val="333333"/>
          <w:szCs w:val="21"/>
          <w:shd w:val="clear" w:color="auto" w:fill="FFFFFF"/>
        </w:rPr>
        <w:t xml:space="preserve">（具体请根据目标投稿期刊对应调整体例）： </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Times New Roman" w:hAnsi="Times New Roman" w:cs="Times New Roman"/>
          <w:color w:val="000000"/>
          <w:spacing w:val="-2"/>
          <w:kern w:val="0"/>
          <w:szCs w:val="21"/>
          <w:lang w:bidi="ar"/>
        </w:rPr>
      </w:pPr>
      <w:r>
        <w:rPr>
          <w:rFonts w:hint="eastAsia" w:ascii="宋体" w:hAnsi="宋体" w:cs="宋体"/>
          <w:color w:val="000000"/>
          <w:spacing w:val="-2"/>
          <w:kern w:val="0"/>
          <w:szCs w:val="21"/>
          <w:lang w:bidi="ar"/>
        </w:rPr>
        <w:t>[</w:t>
      </w:r>
      <w:r>
        <w:rPr>
          <w:rFonts w:ascii="Times New Roman" w:hAnsi="Times New Roman" w:cs="Times New Roman"/>
          <w:color w:val="000000"/>
          <w:spacing w:val="-2"/>
          <w:kern w:val="0"/>
          <w:szCs w:val="21"/>
          <w:lang w:bidi="ar"/>
        </w:rPr>
        <w:t>1</w:t>
      </w:r>
      <w:r>
        <w:rPr>
          <w:rFonts w:hint="eastAsia" w:ascii="宋体" w:hAnsi="宋体" w:cs="宋体"/>
          <w:color w:val="000000"/>
          <w:spacing w:val="-2"/>
          <w:kern w:val="0"/>
          <w:szCs w:val="21"/>
          <w:lang w:bidi="ar"/>
        </w:rPr>
        <w:t>]</w:t>
      </w:r>
      <w:r>
        <w:rPr>
          <w:rFonts w:ascii="Arial" w:hAnsi="Arial" w:cs="Arial"/>
          <w:color w:val="333333"/>
          <w:spacing w:val="-2"/>
          <w:szCs w:val="21"/>
          <w:shd w:val="clear" w:color="auto" w:fill="FFFFFF"/>
        </w:rPr>
        <w:t>王术坤</w:t>
      </w:r>
      <w:r>
        <w:rPr>
          <w:rFonts w:hint="eastAsia" w:ascii="Arial" w:hAnsi="Arial" w:cs="Arial"/>
          <w:color w:val="333333"/>
          <w:spacing w:val="-2"/>
          <w:szCs w:val="21"/>
          <w:shd w:val="clear" w:color="auto" w:fill="FFFFFF"/>
        </w:rPr>
        <w:t>、</w:t>
      </w:r>
      <w:r>
        <w:rPr>
          <w:rFonts w:ascii="Arial" w:hAnsi="Arial" w:cs="Arial"/>
          <w:color w:val="333333"/>
          <w:spacing w:val="-2"/>
          <w:szCs w:val="21"/>
          <w:shd w:val="clear" w:color="auto" w:fill="FFFFFF"/>
        </w:rPr>
        <w:t>林文声</w:t>
      </w:r>
      <w:r>
        <w:rPr>
          <w:rFonts w:ascii="Times New Roman" w:hAnsi="Times New Roman" w:cs="Times New Roman"/>
          <w:color w:val="333333"/>
          <w:spacing w:val="-2"/>
          <w:szCs w:val="21"/>
          <w:shd w:val="clear" w:color="auto" w:fill="FFFFFF"/>
        </w:rPr>
        <w:t>，202</w:t>
      </w:r>
      <w:r>
        <w:rPr>
          <w:rFonts w:hint="eastAsia" w:ascii="Times New Roman" w:hAnsi="Times New Roman" w:cs="Times New Roman"/>
          <w:color w:val="333333"/>
          <w:spacing w:val="-2"/>
          <w:szCs w:val="21"/>
          <w:shd w:val="clear" w:color="auto" w:fill="FFFFFF"/>
        </w:rPr>
        <w:t>3</w:t>
      </w:r>
      <w:r>
        <w:rPr>
          <w:rFonts w:ascii="Times New Roman" w:hAnsi="Times New Roman" w:cs="Times New Roman"/>
          <w:color w:val="333333"/>
          <w:spacing w:val="-2"/>
          <w:szCs w:val="21"/>
          <w:shd w:val="clear" w:color="auto" w:fill="FFFFFF"/>
        </w:rPr>
        <w:t>：《高标准农田建设的农地流转市场转型效应》，《中国农村经济》第1</w:t>
      </w:r>
      <w:r>
        <w:rPr>
          <w:rFonts w:hint="eastAsia" w:ascii="Times New Roman" w:hAnsi="Times New Roman" w:cs="Times New Roman"/>
          <w:color w:val="333333"/>
          <w:spacing w:val="-2"/>
          <w:szCs w:val="21"/>
          <w:shd w:val="clear" w:color="auto" w:fill="FFFFFF"/>
        </w:rPr>
        <w:t>2</w:t>
      </w:r>
      <w:r>
        <w:rPr>
          <w:rFonts w:ascii="Times New Roman" w:hAnsi="Times New Roman" w:cs="Times New Roman"/>
          <w:color w:val="333333"/>
          <w:spacing w:val="-2"/>
          <w:szCs w:val="21"/>
          <w:shd w:val="clear" w:color="auto" w:fill="FFFFFF"/>
        </w:rPr>
        <w:t>期，第23-43页。</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eastAsia" w:ascii="黑体" w:hAnsi="宋体" w:eastAsia="黑体" w:cs="黑体"/>
          <w:color w:val="000000"/>
          <w:kern w:val="0"/>
          <w:szCs w:val="21"/>
          <w:lang w:bidi="ar"/>
        </w:rPr>
      </w:pP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ascii="Calibri" w:hAnsi="Calibri" w:cs="Times New Roman"/>
        </w:rPr>
      </w:pPr>
      <w:r>
        <w:rPr>
          <w:rFonts w:hint="eastAsia" w:ascii="黑体" w:hAnsi="宋体" w:eastAsia="黑体" w:cs="黑体"/>
          <w:color w:val="000000"/>
          <w:kern w:val="0"/>
          <w:szCs w:val="21"/>
          <w:lang w:bidi="ar"/>
        </w:rPr>
        <w:t>如果研究中使用了未在《中国农村经济》纸质版刊发、但在杂志网站上正式公开发表的数字内容（包括数据、程序、附录文件），请务必在研究成果正文中注明：</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lang w:val="en-US" w:eastAsia="zh-CN"/>
        </w:rPr>
      </w:pPr>
      <w:r>
        <w:rPr>
          <w:rFonts w:hint="eastAsia" w:ascii="Calibri" w:hAnsi="Calibri" w:cs="Times New Roman"/>
          <w:spacing w:val="-1"/>
        </w:rPr>
        <w:t>某数据（及程序等或其他材料）来自</w:t>
      </w:r>
      <w:r>
        <w:rPr>
          <w:rFonts w:ascii="Arial" w:hAnsi="Arial" w:cs="Arial"/>
          <w:color w:val="333333"/>
          <w:spacing w:val="-1"/>
          <w:szCs w:val="21"/>
          <w:shd w:val="clear" w:color="auto" w:fill="FFFFFF"/>
        </w:rPr>
        <w:t>王术坤</w:t>
      </w:r>
      <w:r>
        <w:rPr>
          <w:rFonts w:hint="eastAsia" w:ascii="Arial" w:hAnsi="Arial" w:cs="Arial"/>
          <w:color w:val="333333"/>
          <w:spacing w:val="-1"/>
          <w:szCs w:val="21"/>
          <w:shd w:val="clear" w:color="auto" w:fill="FFFFFF"/>
        </w:rPr>
        <w:t>、</w:t>
      </w:r>
      <w:r>
        <w:rPr>
          <w:rFonts w:ascii="Arial" w:hAnsi="Arial" w:cs="Arial"/>
          <w:color w:val="333333"/>
          <w:spacing w:val="-1"/>
          <w:szCs w:val="21"/>
          <w:shd w:val="clear" w:color="auto" w:fill="FFFFFF"/>
        </w:rPr>
        <w:t>林文声</w:t>
      </w:r>
      <w:r>
        <w:rPr>
          <w:rFonts w:hint="eastAsia" w:ascii="Calibri" w:hAnsi="Calibri" w:cs="Times New Roman"/>
          <w:spacing w:val="-1"/>
        </w:rPr>
        <w:t>（</w:t>
      </w:r>
      <w:r>
        <w:rPr>
          <w:rFonts w:hint="eastAsia" w:ascii="Times New Roman" w:hAnsi="Times New Roman" w:cs="Times New Roman"/>
          <w:color w:val="333333"/>
          <w:spacing w:val="-1"/>
          <w:szCs w:val="21"/>
          <w:shd w:val="clear" w:color="auto" w:fill="FFFFFF"/>
        </w:rPr>
        <w:t>2023）</w:t>
      </w:r>
      <w:r>
        <w:rPr>
          <w:rFonts w:hint="eastAsia" w:ascii="Calibri" w:hAnsi="Calibri" w:cs="Times New Roman"/>
          <w:spacing w:val="-1"/>
        </w:rPr>
        <w:t>，详见《中国农村经济》网站（</w:t>
      </w:r>
      <w:r>
        <w:rPr>
          <w:rFonts w:ascii="Times New Roman" w:hAnsi="Times New Roman" w:cs="Times New Roman"/>
          <w:spacing w:val="-1"/>
        </w:rPr>
        <w:t>zgncjj.ajcass.</w:t>
      </w:r>
      <w:r>
        <w:rPr>
          <w:rFonts w:hint="eastAsia" w:ascii="Times New Roman" w:hAnsi="Times New Roman" w:cs="Times New Roman"/>
          <w:spacing w:val="-1"/>
        </w:rPr>
        <w:t>com</w:t>
      </w:r>
      <w:r>
        <w:rPr>
          <w:rFonts w:hint="eastAsia" w:ascii="Calibri" w:hAnsi="Calibri" w:cs="Times New Roman"/>
          <w:spacing w:val="-1"/>
        </w:rPr>
        <w:t>）该文的对应附件。</w:t>
      </w: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FangSong_GB2312">
    <w:altName w:val="仿宋"/>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Trebuchet MS">
    <w:panose1 w:val="020B0603020202020204"/>
    <w:charset w:val="00"/>
    <w:family w:val="auto"/>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ascii="Calibri" w:hAnsi="Calibri" w:cs="Times New Roman"/>
          <w:sz w:val="18"/>
        </w:rPr>
      </w:pPr>
      <w:r>
        <w:rPr>
          <w:rFonts w:ascii="Calibri" w:hAnsi="Calibri" w:cs="Times New Roman"/>
          <w:sz w:val="18"/>
          <w:vertAlign w:val="superscript"/>
        </w:rPr>
        <w:t>*</w:t>
      </w:r>
      <w:r>
        <w:rPr>
          <w:rFonts w:hint="eastAsia" w:ascii="Times New Roman" w:hAnsi="Times New Roman" w:cs="Times New Roman"/>
          <w:sz w:val="18"/>
          <w:szCs w:val="18"/>
        </w:rPr>
        <w:t>附录由作者提供，文责自负。引用该附录中的内容请注明出处，具体要求详见文末。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聂景春等  儿童早期养育质量社会支持对农村妇女生育意愿的影响：一项实验研究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hint="eastAsia" w:ascii="黑体" w:hAnsi="黑体" w:eastAsia="黑体" w:cs="黑体"/>
        <w:lang w:val="en-US" w:eastAsia="zh-CN"/>
      </w:rPr>
      <w:t xml:space="preserve">                                   </w:t>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5年第7期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4769A2"/>
    <w:multiLevelType w:val="multilevel"/>
    <w:tmpl w:val="6A4769A2"/>
    <w:lvl w:ilvl="0" w:tentative="0">
      <w:start w:val="1"/>
      <w:numFmt w:val="decimal"/>
      <w:pStyle w:val="118"/>
      <w:lvlText w:val="表%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0DE08BE"/>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A7291"/>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97661D"/>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A805F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770509"/>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C006B53"/>
    <w:rsid w:val="6C046054"/>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9F0AF3"/>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4"/>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6"/>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3"/>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99"/>
    <w:next w:val="1"/>
    <w:link w:val="100"/>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99">
    <w:name w:val="公式"/>
    <w:basedOn w:val="1"/>
    <w:unhideWhenUsed/>
    <w:qFormat/>
    <w:uiPriority w:val="0"/>
    <w:pPr>
      <w:tabs>
        <w:tab w:val="right" w:pos="10103"/>
      </w:tabs>
      <w:spacing w:line="360" w:lineRule="auto"/>
      <w:jc w:val="center"/>
    </w:pPr>
  </w:style>
  <w:style w:type="character" w:customStyle="1" w:styleId="100">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1">
    <w:name w:val="未处理的提及1"/>
    <w:basedOn w:val="19"/>
    <w:semiHidden/>
    <w:unhideWhenUsed/>
    <w:qFormat/>
    <w:uiPriority w:val="99"/>
    <w:rPr>
      <w:color w:val="605E5C"/>
      <w:shd w:val="clear" w:color="auto" w:fill="E1DFDD"/>
    </w:rPr>
  </w:style>
  <w:style w:type="paragraph" w:customStyle="1" w:styleId="102">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3">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4">
    <w:name w:val="标题 2 字符"/>
    <w:basedOn w:val="19"/>
    <w:link w:val="5"/>
    <w:qFormat/>
    <w:uiPriority w:val="0"/>
    <w:rPr>
      <w:rFonts w:ascii="宋体" w:hAnsi="宋体" w:eastAsiaTheme="minorEastAsia"/>
      <w:b/>
      <w:bCs/>
      <w:sz w:val="28"/>
      <w:szCs w:val="36"/>
    </w:rPr>
  </w:style>
  <w:style w:type="character" w:customStyle="1" w:styleId="105">
    <w:name w:val="未处理的提及2"/>
    <w:basedOn w:val="19"/>
    <w:semiHidden/>
    <w:unhideWhenUsed/>
    <w:qFormat/>
    <w:uiPriority w:val="99"/>
    <w:rPr>
      <w:color w:val="605E5C"/>
      <w:shd w:val="clear" w:color="auto" w:fill="E1DFDD"/>
    </w:rPr>
  </w:style>
  <w:style w:type="character" w:customStyle="1" w:styleId="106">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8">
    <w:name w:val="Unresolved Mention"/>
    <w:basedOn w:val="19"/>
    <w:semiHidden/>
    <w:unhideWhenUsed/>
    <w:qFormat/>
    <w:uiPriority w:val="99"/>
    <w:rPr>
      <w:color w:val="605E5C"/>
      <w:shd w:val="clear" w:color="auto" w:fill="E1DFDD"/>
    </w:rPr>
  </w:style>
  <w:style w:type="paragraph" w:customStyle="1" w:styleId="109">
    <w:name w:val="3"/>
    <w:basedOn w:val="1"/>
    <w:next w:val="91"/>
    <w:qFormat/>
    <w:uiPriority w:val="34"/>
    <w:pPr>
      <w:ind w:firstLine="420" w:firstLineChars="200"/>
    </w:pPr>
    <w:rPr>
      <w:rFonts w:ascii="等线" w:hAnsi="等线" w:eastAsia="等线"/>
    </w:rPr>
  </w:style>
  <w:style w:type="paragraph" w:customStyle="1" w:styleId="110">
    <w:name w:val="4正文"/>
    <w:basedOn w:val="1"/>
    <w:qFormat/>
    <w:uiPriority w:val="0"/>
    <w:pPr>
      <w:spacing w:line="400" w:lineRule="exact"/>
    </w:pPr>
    <w:rPr>
      <w:rFonts w:ascii="Times New Roman" w:hAnsi="Times New Roman" w:cs="Times New Roman"/>
      <w:szCs w:val="24"/>
    </w:rPr>
  </w:style>
  <w:style w:type="table" w:customStyle="1" w:styleId="111">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2">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3">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4">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5">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6">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7">
    <w:name w:val="无格式表格 21"/>
    <w:basedOn w:val="33"/>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 w:type="paragraph" w:customStyle="1" w:styleId="118">
    <w:name w:val="表标题"/>
    <w:basedOn w:val="1"/>
    <w:next w:val="1"/>
    <w:qFormat/>
    <w:uiPriority w:val="0"/>
    <w:pPr>
      <w:numPr>
        <w:ilvl w:val="0"/>
        <w:numId w:val="1"/>
      </w:numPr>
      <w:jc w:val="center"/>
      <w:outlineLvl w:val="3"/>
    </w:pPr>
    <w:rPr>
      <w:rFonts w:eastAsia="黑体" w:cs="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0</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2025-07-02T06:47:07Z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