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240" w:lineRule="atLeast"/>
        <w:ind w:left="0" w:leftChars="0" w:firstLine="0" w:firstLineChars="0"/>
        <w:jc w:val="center"/>
        <w:rPr>
          <w:rFonts w:hint="eastAsia" w:ascii="黑体" w:hAnsi="黑体" w:eastAsia="黑体" w:cs="黑体"/>
          <w:kern w:val="2"/>
          <w:sz w:val="21"/>
          <w:szCs w:val="21"/>
          <w:shd w:val="clear" w:color="auto" w:fill="FFFFFF"/>
          <w:lang w:val="en-US" w:eastAsia="zh-CN" w:bidi="ar-SA"/>
        </w:rPr>
      </w:pPr>
      <w:bookmarkStart w:id="0" w:name="_top"/>
      <w:bookmarkEnd w:id="0"/>
    </w:p>
    <w:p>
      <w:pPr>
        <w:widowControl w:val="0"/>
        <w:spacing w:after="0" w:line="240" w:lineRule="atLeast"/>
        <w:ind w:left="0" w:leftChars="0" w:firstLine="0" w:firstLineChars="0"/>
        <w:jc w:val="center"/>
        <w:rPr>
          <w:rFonts w:hint="eastAsia" w:ascii="黑体" w:hAnsi="黑体" w:eastAsia="黑体" w:cs="黑体"/>
          <w:kern w:val="2"/>
          <w:sz w:val="21"/>
          <w:szCs w:val="21"/>
          <w:shd w:val="clear" w:color="auto" w:fill="FFFFFF"/>
          <w:lang w:val="en-US" w:eastAsia="zh-CN" w:bidi="ar-SA"/>
        </w:rPr>
      </w:pPr>
    </w:p>
    <w:p>
      <w:pPr>
        <w:spacing w:after="160" w:line="240" w:lineRule="atLeast"/>
        <w:jc w:val="center"/>
        <w:rPr>
          <w:rFonts w:ascii="Times New Roman" w:hAnsi="Times New Roman" w:eastAsia="黑体" w:cs="Times New Roman"/>
          <w:sz w:val="44"/>
          <w:szCs w:val="44"/>
          <w:shd w:val="clear" w:color="auto" w:fill="FFFFFF"/>
          <w:vertAlign w:val="superscript"/>
        </w:rPr>
      </w:pPr>
      <w:r>
        <w:rPr>
          <w:rFonts w:hint="eastAsia" w:ascii="黑体" w:hAnsi="黑体" w:eastAsia="黑体" w:cs="黑体"/>
          <w:sz w:val="44"/>
          <w:szCs w:val="44"/>
          <w:shd w:val="clear" w:color="auto" w:fill="FFFFFF"/>
        </w:rPr>
        <w:t>附  录</w:t>
      </w:r>
      <w:r>
        <w:rPr>
          <w:rFonts w:ascii="Times New Roman" w:hAnsi="Times New Roman" w:eastAsia="黑体" w:cs="Times New Roman"/>
          <w:sz w:val="44"/>
          <w:szCs w:val="44"/>
          <w:shd w:val="clear" w:color="auto" w:fill="FFFFFF"/>
          <w:vertAlign w:val="superscript"/>
        </w:rPr>
        <w:footnoteReference w:id="0" w:customMarkFollows="1"/>
        <w:t>*</w:t>
      </w:r>
    </w:p>
    <w:p>
      <w:pPr>
        <w:autoSpaceDE w:val="0"/>
        <w:autoSpaceDN w:val="0"/>
        <w:spacing w:after="0" w:line="240" w:lineRule="atLeast"/>
        <w:rPr>
          <w:rFonts w:hint="eastAsia" w:ascii="Times New Roman" w:hAnsi="Times New Roman" w:eastAsia="宋体" w:cs="Times New Roman"/>
          <w:color w:val="000000"/>
          <w:szCs w:val="21"/>
          <w:highlight w:val="none"/>
        </w:rPr>
      </w:pPr>
    </w:p>
    <w:p>
      <w:pPr>
        <w:spacing w:line="480" w:lineRule="auto"/>
        <w:jc w:val="left"/>
        <w:rPr>
          <w:rFonts w:eastAsia="黑体"/>
          <w:sz w:val="24"/>
        </w:rPr>
      </w:pPr>
      <w:r>
        <w:rPr>
          <w:rFonts w:hint="eastAsia" w:ascii="黑体" w:hAnsi="黑体" w:eastAsia="黑体" w:cs="黑体"/>
          <w:sz w:val="24"/>
        </w:rPr>
        <w:t>附录</w:t>
      </w:r>
      <w:r>
        <w:rPr>
          <w:rFonts w:eastAsia="黑体"/>
          <w:sz w:val="24"/>
        </w:rPr>
        <w:t>1</w:t>
      </w:r>
      <w:r>
        <w:rPr>
          <w:rFonts w:hint="eastAsia" w:ascii="黑体" w:hAnsi="黑体" w:eastAsia="黑体" w:cs="黑体"/>
          <w:sz w:val="24"/>
        </w:rPr>
        <w:t>：计算企业创新边界变量的具体说明</w:t>
      </w:r>
    </w:p>
    <w:p>
      <w:pPr>
        <w:spacing w:line="240" w:lineRule="atLeast"/>
        <w:ind w:firstLine="392" w:firstLineChars="200"/>
        <w:rPr>
          <w:szCs w:val="21"/>
        </w:rPr>
      </w:pPr>
      <w:r>
        <w:rPr>
          <w:rFonts w:hint="eastAsia"/>
          <w:szCs w:val="21"/>
        </w:rPr>
        <w:t>专利是企业创新能力的重要表现，本文参考Byun et al.（2021）、沈坤荣等（2023）的研究，采用企业每年在新技术领域申请的专利数量作为衡量企业创新边界的标准，通过企业在新技术领域专利申请数量的增长来反映创新边界的拓展。具体而言，根据专利国际专利分类号（IPC）的前四位确定企业的技术领域，如果企业在年份</w:t>
      </w:r>
      <w:r>
        <w:rPr>
          <w:rFonts w:hint="eastAsia"/>
          <w:position w:val="-6"/>
          <w:szCs w:val="21"/>
          <w:lang w:eastAsia="zh-Hans"/>
        </w:rPr>
        <w:object>
          <v:shape id="_x0000_i1041" o:spt="75" type="#_x0000_t75" style="height:12pt;width:7pt;" o:ole="t" filled="f" o:preferrelative="t" stroked="f" coordsize="21600,21600">
            <v:path/>
            <v:fill on="f" focussize="0,0"/>
            <v:stroke on="f" joinstyle="miter"/>
            <v:imagedata r:id="rId10" o:title=""/>
            <o:lock v:ext="edit" aspectratio="t"/>
            <w10:wrap type="none"/>
            <w10:anchorlock/>
          </v:shape>
          <o:OLEObject Type="Embed" ProgID="Equation.DSMT4" ShapeID="_x0000_i1041" DrawAspect="Content" ObjectID="_1468075725" r:id="rId9">
            <o:LockedField>false</o:LockedField>
          </o:OLEObject>
        </w:object>
      </w:r>
      <w:r>
        <w:rPr>
          <w:rFonts w:hint="eastAsia"/>
          <w:szCs w:val="21"/>
        </w:rPr>
        <w:t>申请的专利所属技术领域与其在年份</w:t>
      </w:r>
      <w:r>
        <w:rPr>
          <w:rFonts w:hint="eastAsia"/>
          <w:position w:val="-6"/>
          <w:szCs w:val="21"/>
          <w:lang w:eastAsia="zh-Hans"/>
        </w:rPr>
        <w:object>
          <v:shape id="_x0000_i1042" o:spt="75" type="#_x0000_t75" style="height:12pt;width:7pt;" o:ole="t" filled="f" o:preferrelative="t" stroked="f" coordsize="21600,21600">
            <v:path/>
            <v:fill on="f" focussize="0,0"/>
            <v:stroke on="f" joinstyle="miter"/>
            <v:imagedata r:id="rId10" o:title=""/>
            <o:lock v:ext="edit" aspectratio="t"/>
            <w10:wrap type="none"/>
            <w10:anchorlock/>
          </v:shape>
          <o:OLEObject Type="Embed" ProgID="Equation.DSMT4" ShapeID="_x0000_i1042" DrawAspect="Content" ObjectID="_1468075726" r:id="rId11">
            <o:LockedField>false</o:LockedField>
          </o:OLEObject>
        </w:object>
      </w:r>
      <w:r>
        <w:rPr>
          <w:rFonts w:hint="eastAsia"/>
          <w:szCs w:val="21"/>
        </w:rPr>
        <w:t>之前已申请专利的技术领域不同，则将该专利视为新技术领域的专利，反之视为已有技术领域的专利。此外，本文还采用“与上一年的技术相似度”指标来衡量企业创新边界。该指标通过比较企业在年份</w:t>
      </w:r>
      <w:r>
        <w:rPr>
          <w:rFonts w:hint="eastAsia"/>
          <w:position w:val="-6"/>
          <w:szCs w:val="21"/>
          <w:lang w:eastAsia="zh-Hans"/>
        </w:rPr>
        <w:object>
          <v:shape id="_x0000_i1043" o:spt="75" type="#_x0000_t75" style="height:12pt;width:7pt;" o:ole="t" filled="f" o:preferrelative="t" stroked="f" coordsize="21600,21600">
            <v:path/>
            <v:fill on="f" focussize="0,0"/>
            <v:stroke on="f" joinstyle="miter"/>
            <v:imagedata r:id="rId10" o:title=""/>
            <o:lock v:ext="edit" aspectratio="t"/>
            <w10:wrap type="none"/>
            <w10:anchorlock/>
          </v:shape>
          <o:OLEObject Type="Embed" ProgID="Equation.DSMT4" ShapeID="_x0000_i1043" DrawAspect="Content" ObjectID="_1468075727" r:id="rId12">
            <o:LockedField>false</o:LockedField>
          </o:OLEObject>
        </w:object>
      </w:r>
      <w:r>
        <w:rPr>
          <w:rFonts w:hint="eastAsia"/>
          <w:szCs w:val="21"/>
        </w:rPr>
        <w:t>所申请专利形成的技术空间与其在年份</w:t>
      </w:r>
      <w:r>
        <w:rPr>
          <w:rFonts w:hint="eastAsia"/>
          <w:position w:val="-6"/>
          <w:szCs w:val="21"/>
          <w:lang w:eastAsia="zh-Hans"/>
        </w:rPr>
        <w:object>
          <v:shape id="_x0000_i1044" o:spt="75" type="#_x0000_t75" style="height:14pt;width:22pt;" o:ole="t" filled="f" o:preferrelative="t" stroked="f" coordsize="21600,21600">
            <v:path/>
            <v:fill on="f" focussize="0,0"/>
            <v:stroke on="f" joinstyle="miter"/>
            <v:imagedata r:id="rId14" o:title=""/>
            <o:lock v:ext="edit" aspectratio="t"/>
            <w10:wrap type="none"/>
            <w10:anchorlock/>
          </v:shape>
          <o:OLEObject Type="Embed" ProgID="Equation.DSMT4" ShapeID="_x0000_i1044" DrawAspect="Content" ObjectID="_1468075728" r:id="rId13">
            <o:LockedField>false</o:LockedField>
          </o:OLEObject>
        </w:object>
      </w:r>
      <w:r>
        <w:rPr>
          <w:rFonts w:hint="eastAsia"/>
          <w:szCs w:val="21"/>
        </w:rPr>
        <w:t>时所申请专利形成的技术空间之间的相似度，从而更形象地反映企业技术创新的路径。年份</w:t>
      </w:r>
      <w:r>
        <w:rPr>
          <w:rFonts w:hint="eastAsia"/>
          <w:position w:val="-6"/>
          <w:szCs w:val="21"/>
          <w:lang w:eastAsia="zh-Hans"/>
        </w:rPr>
        <w:object>
          <v:shape id="_x0000_i1045" o:spt="75" type="#_x0000_t75" style="height:12pt;width:7pt;" o:ole="t" filled="f" o:preferrelative="t" stroked="f" coordsize="21600,21600">
            <v:path/>
            <v:fill on="f" focussize="0,0"/>
            <v:stroke on="f" joinstyle="miter"/>
            <v:imagedata r:id="rId10" o:title=""/>
            <o:lock v:ext="edit" aspectratio="t"/>
            <w10:wrap type="none"/>
            <w10:anchorlock/>
          </v:shape>
          <o:OLEObject Type="Embed" ProgID="Equation.DSMT4" ShapeID="_x0000_i1045" DrawAspect="Content" ObjectID="_1468075729" r:id="rId15">
            <o:LockedField>false</o:LockedField>
          </o:OLEObject>
        </w:object>
      </w:r>
      <w:r>
        <w:rPr>
          <w:rFonts w:hint="eastAsia"/>
          <w:szCs w:val="21"/>
        </w:rPr>
        <w:t>与上一年的技术相似度越高，表明企业的技术路径与前一年越相似，反之则表明企业的技术路径越宽，创新边界正在不断拓展。具体计算公式如下：</w:t>
      </w:r>
    </w:p>
    <w:p>
      <w:pPr>
        <w:pStyle w:val="2"/>
        <w:ind w:left="2100" w:leftChars="0"/>
        <w:rPr>
          <w:rFonts w:ascii="Times New Roman" w:eastAsia="宋体" w:cs="宋体"/>
          <w:sz w:val="21"/>
          <w:szCs w:val="21"/>
        </w:rPr>
      </w:pPr>
      <w:r>
        <w:rPr>
          <w:rFonts w:hint="eastAsia" w:ascii="Times New Roman" w:eastAsia="宋体" w:cs="宋体"/>
          <w:position w:val="-42"/>
          <w:sz w:val="21"/>
          <w:szCs w:val="21"/>
        </w:rPr>
        <w:object>
          <v:shape id="_x0000_i1046" o:spt="75" type="#_x0000_t75" style="height:43pt;width:162pt;" o:ole="t" filled="f" o:preferrelative="t" stroked="f" coordsize="21600,21600">
            <v:path/>
            <v:fill on="f" focussize="0,0"/>
            <v:stroke on="f" joinstyle="miter"/>
            <v:imagedata r:id="rId17" o:title=""/>
            <o:lock v:ext="edit" aspectratio="t"/>
            <w10:wrap type="none"/>
            <w10:anchorlock/>
          </v:shape>
          <o:OLEObject Type="Embed" ProgID="Equation.DSMT4" ShapeID="_x0000_i1046" DrawAspect="Content" ObjectID="_1468075730" r:id="rId16">
            <o:LockedField>false</o:LockedField>
          </o:OLEObject>
        </w:object>
      </w:r>
      <w:r>
        <w:rPr>
          <w:rFonts w:hint="eastAsia" w:ascii="Times New Roman" w:eastAsia="宋体" w:cs="宋体"/>
          <w:sz w:val="21"/>
          <w:szCs w:val="21"/>
        </w:rPr>
        <w:tab/>
      </w:r>
      <w:r>
        <w:rPr>
          <w:rFonts w:hint="eastAsia" w:ascii="Times New Roman" w:eastAsia="宋体" w:cs="宋体"/>
          <w:sz w:val="21"/>
          <w:szCs w:val="21"/>
        </w:rPr>
        <w:tab/>
      </w:r>
      <w:r>
        <w:rPr>
          <w:rFonts w:hint="eastAsia" w:ascii="Times New Roman" w:eastAsia="宋体" w:cs="宋体"/>
          <w:sz w:val="21"/>
          <w:szCs w:val="21"/>
        </w:rPr>
        <w:tab/>
      </w:r>
      <w:r>
        <w:rPr>
          <w:rFonts w:hint="eastAsia" w:ascii="Times New Roman" w:eastAsia="宋体" w:cs="宋体"/>
          <w:sz w:val="21"/>
          <w:szCs w:val="21"/>
        </w:rPr>
        <w:tab/>
      </w:r>
      <w:r>
        <w:rPr>
          <w:rFonts w:hint="eastAsia" w:ascii="Times New Roman" w:eastAsia="宋体" w:cs="宋体"/>
          <w:sz w:val="21"/>
          <w:szCs w:val="21"/>
        </w:rPr>
        <w:tab/>
      </w:r>
      <w:r>
        <w:rPr>
          <w:rFonts w:hint="eastAsia" w:ascii="Times New Roman" w:eastAsia="宋体" w:cs="宋体"/>
          <w:sz w:val="21"/>
          <w:szCs w:val="21"/>
        </w:rPr>
        <w:tab/>
      </w:r>
      <w:r>
        <w:rPr>
          <w:rFonts w:hint="eastAsia" w:ascii="Times New Roman" w:eastAsia="宋体" w:cs="宋体"/>
          <w:sz w:val="21"/>
          <w:szCs w:val="21"/>
        </w:rPr>
        <w:t xml:space="preserve"> （1）</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DejaVu Math TeX Gyre" w:hAnsi="DejaVu Math TeX Gyre"/>
          <w:i/>
          <w:position w:val="-14"/>
          <w:szCs w:val="21"/>
        </w:rPr>
      </w:pPr>
      <w:r>
        <w:rPr>
          <w:rFonts w:hint="eastAsia"/>
          <w:szCs w:val="21"/>
        </w:rPr>
        <w:t>（1）式中：</w:t>
      </w:r>
      <w:r>
        <w:rPr>
          <w:rFonts w:ascii="DejaVu Math TeX Gyre" w:hAnsi="DejaVu Math TeX Gyre"/>
          <w:i/>
          <w:position w:val="-14"/>
          <w:szCs w:val="21"/>
        </w:rPr>
        <w:object>
          <v:shape id="_x0000_i1047" o:spt="75" type="#_x0000_t75" style="height:19pt;width:19pt;" o:ole="t" filled="f" o:preferrelative="t" stroked="f" coordsize="21600,21600">
            <v:path/>
            <v:fill on="f" focussize="0,0"/>
            <v:stroke on="f" joinstyle="miter"/>
            <v:imagedata r:id="rId19" o:title=""/>
            <o:lock v:ext="edit" aspectratio="t"/>
            <w10:wrap type="none"/>
            <w10:anchorlock/>
          </v:shape>
          <o:OLEObject Type="Embed" ProgID="Equation.DSMT4" ShapeID="_x0000_i1047" DrawAspect="Content" ObjectID="_1468075731" r:id="rId18">
            <o:LockedField>false</o:LockedField>
          </o:OLEObject>
        </w:object>
      </w:r>
      <w:r>
        <w:rPr>
          <w:rFonts w:hint="eastAsia"/>
          <w:szCs w:val="21"/>
        </w:rPr>
        <w:t>表示企业</w:t>
      </w:r>
      <w:r>
        <w:rPr>
          <w:rFonts w:hint="eastAsia"/>
          <w:position w:val="-10"/>
          <w:szCs w:val="21"/>
          <w:lang w:eastAsia="zh-Hans"/>
        </w:rPr>
        <w:object>
          <v:shape id="_x0000_i1048" o:spt="75" type="#_x0000_t75" style="height:16pt;width:12pt;" o:ole="t" filled="f" o:preferrelative="t" stroked="f" coordsize="21600,21600">
            <v:path/>
            <v:fill on="f" focussize="0,0"/>
            <v:stroke on="f" joinstyle="miter"/>
            <v:imagedata r:id="rId21" o:title=""/>
            <o:lock v:ext="edit" aspectratio="t"/>
            <w10:wrap type="none"/>
            <w10:anchorlock/>
          </v:shape>
          <o:OLEObject Type="Embed" ProgID="Equation.DSMT4" ShapeID="_x0000_i1048" DrawAspect="Content" ObjectID="_1468075732" r:id="rId20">
            <o:LockedField>false</o:LockedField>
          </o:OLEObject>
        </w:object>
      </w:r>
      <w:r>
        <w:rPr>
          <w:rFonts w:hint="eastAsia"/>
          <w:szCs w:val="21"/>
        </w:rPr>
        <w:t>在年份</w:t>
      </w:r>
      <w:r>
        <w:rPr>
          <w:rFonts w:hint="eastAsia"/>
          <w:position w:val="-6"/>
          <w:szCs w:val="21"/>
          <w:lang w:eastAsia="zh-Hans"/>
        </w:rPr>
        <w:object>
          <v:shape id="_x0000_i1049" o:spt="75" type="#_x0000_t75" style="height:12pt;width:7pt;" o:ole="t" filled="f" o:preferrelative="t" stroked="f" coordsize="21600,21600">
            <v:path/>
            <v:fill on="f" focussize="0,0"/>
            <v:stroke on="f" joinstyle="miter"/>
            <v:imagedata r:id="rId10" o:title=""/>
            <o:lock v:ext="edit" aspectratio="t"/>
            <w10:wrap type="none"/>
            <w10:anchorlock/>
          </v:shape>
          <o:OLEObject Type="Embed" ProgID="Equation.DSMT4" ShapeID="_x0000_i1049" DrawAspect="Content" ObjectID="_1468075733" r:id="rId22">
            <o:LockedField>false</o:LockedField>
          </o:OLEObject>
        </w:object>
      </w:r>
      <w:r>
        <w:rPr>
          <w:rFonts w:hint="eastAsia"/>
          <w:szCs w:val="21"/>
        </w:rPr>
        <w:t>的技术空间分布向量，</w:t>
      </w:r>
      <w:r>
        <w:rPr>
          <w:rFonts w:ascii="DejaVu Math TeX Gyre" w:hAnsi="DejaVu Math TeX Gyre"/>
          <w:i/>
          <w:position w:val="-16"/>
          <w:szCs w:val="21"/>
        </w:rPr>
        <w:object>
          <v:shape id="_x0000_i1050" o:spt="75" type="#_x0000_t75" style="height:22pt;width:135pt;" o:ole="t" filled="f" o:preferrelative="t" stroked="f" coordsize="21600,21600">
            <v:path/>
            <v:fill on="f" focussize="0,0"/>
            <v:stroke on="f" joinstyle="miter"/>
            <v:imagedata r:id="rId24" o:title=""/>
            <o:lock v:ext="edit" aspectratio="t"/>
            <w10:wrap type="none"/>
            <w10:anchorlock/>
          </v:shape>
          <o:OLEObject Type="Embed" ProgID="Equation.DSMT4" ShapeID="_x0000_i1050" DrawAspect="Content" ObjectID="_1468075734" r:id="rId23">
            <o:LockedField>false</o:LockedField>
          </o:OLEObject>
        </w:object>
      </w:r>
      <w:r>
        <w:rPr>
          <w:rFonts w:hint="eastAsia"/>
          <w:iCs/>
          <w:szCs w:val="21"/>
        </w:rPr>
        <w:t>，</w:t>
      </w:r>
      <w:r>
        <w:rPr>
          <w:rFonts w:ascii="DejaVu Math TeX Gyre" w:hAnsi="DejaVu Math TeX Gyre"/>
          <w:i/>
          <w:position w:val="-14"/>
          <w:szCs w:val="21"/>
        </w:rPr>
        <w:object>
          <v:shape id="_x0000_i1051" o:spt="75" type="#_x0000_t75" style="height:19pt;width:21pt;" o:ole="t" filled="f" o:preferrelative="t" stroked="f" coordsize="21600,21600">
            <v:path/>
            <v:fill on="f" focussize="0,0"/>
            <v:stroke on="f" joinstyle="miter"/>
            <v:imagedata r:id="rId26" o:title=""/>
            <o:lock v:ext="edit" aspectratio="t"/>
            <w10:wrap type="none"/>
            <w10:anchorlock/>
          </v:shape>
          <o:OLEObject Type="Embed" ProgID="Equation.DSMT4" ShapeID="_x0000_i1051" DrawAspect="Content" ObjectID="_1468075735" r:id="rId25">
            <o:LockedField>false</o:LockedField>
          </o:OLEObject>
        </w:object>
      </w:r>
    </w:p>
    <w:p>
      <w:pPr>
        <w:spacing w:line="240" w:lineRule="atLeast"/>
        <w:rPr>
          <w:szCs w:val="21"/>
        </w:rPr>
      </w:pPr>
      <w:r>
        <w:rPr>
          <w:rFonts w:hint="eastAsia"/>
          <w:szCs w:val="21"/>
        </w:rPr>
        <w:t>表示企业</w:t>
      </w:r>
      <w:r>
        <w:rPr>
          <w:rFonts w:hint="eastAsia"/>
          <w:position w:val="-10"/>
          <w:szCs w:val="21"/>
          <w:lang w:eastAsia="zh-Hans"/>
        </w:rPr>
        <w:object>
          <v:shape id="_x0000_i1052" o:spt="75" type="#_x0000_t75" style="height:16pt;width:12pt;" o:ole="t" filled="f" o:preferrelative="t" stroked="f" coordsize="21600,21600">
            <v:path/>
            <v:fill on="f" focussize="0,0"/>
            <v:stroke on="f" joinstyle="miter"/>
            <v:imagedata r:id="rId21" o:title=""/>
            <o:lock v:ext="edit" aspectratio="t"/>
            <w10:wrap type="none"/>
            <w10:anchorlock/>
          </v:shape>
          <o:OLEObject Type="Embed" ProgID="Equation.DSMT4" ShapeID="_x0000_i1052" DrawAspect="Content" ObjectID="_1468075736" r:id="rId27">
            <o:LockedField>false</o:LockedField>
          </o:OLEObject>
        </w:object>
      </w:r>
      <w:r>
        <w:rPr>
          <w:rFonts w:hint="eastAsia"/>
          <w:szCs w:val="21"/>
        </w:rPr>
        <w:t>第</w:t>
      </w:r>
      <w:r>
        <w:rPr>
          <w:rFonts w:hint="eastAsia"/>
          <w:position w:val="-6"/>
          <w:szCs w:val="21"/>
          <w:lang w:eastAsia="zh-Hans"/>
        </w:rPr>
        <w:object>
          <v:shape id="_x0000_i1053" o:spt="75" type="#_x0000_t75" style="height:14pt;width:10pt;" o:ole="t" filled="f" o:preferrelative="t" stroked="f" coordsize="21600,21600">
            <v:path/>
            <v:fill on="f" focussize="0,0"/>
            <v:stroke on="f" joinstyle="miter"/>
            <v:imagedata r:id="rId29" o:title=""/>
            <o:lock v:ext="edit" aspectratio="t"/>
            <w10:wrap type="none"/>
            <w10:anchorlock/>
          </v:shape>
          <o:OLEObject Type="Embed" ProgID="Equation.DSMT4" ShapeID="_x0000_i1053" DrawAspect="Content" ObjectID="_1468075737" r:id="rId28">
            <o:LockedField>false</o:LockedField>
          </o:OLEObject>
        </w:object>
      </w:r>
      <w:r>
        <w:rPr>
          <w:rFonts w:hint="eastAsia"/>
          <w:szCs w:val="21"/>
        </w:rPr>
        <w:t>类专利申请数量占该企业专利申请总数的比重，同样采用IPC分类号前四位划分专利类别。</w:t>
      </w:r>
    </w:p>
    <w:p>
      <w:pPr>
        <w:tabs>
          <w:tab w:val="left" w:pos="690"/>
        </w:tabs>
        <w:ind w:firstLine="392" w:firstLineChars="200"/>
        <w:rPr>
          <w:rFonts w:eastAsia="楷体"/>
          <w:szCs w:val="21"/>
        </w:rPr>
      </w:pPr>
    </w:p>
    <w:p>
      <w:pPr>
        <w:spacing w:line="240" w:lineRule="atLeast"/>
        <w:ind w:firstLine="332" w:firstLineChars="200"/>
        <w:rPr>
          <w:rFonts w:ascii="黑体" w:hAnsi="黑体" w:eastAsia="黑体" w:cs="黑体"/>
          <w:sz w:val="18"/>
          <w:szCs w:val="18"/>
        </w:rPr>
      </w:pPr>
      <w:r>
        <w:rPr>
          <w:rFonts w:hint="eastAsia" w:ascii="黑体" w:hAnsi="黑体" w:eastAsia="黑体" w:cs="黑体"/>
          <w:sz w:val="18"/>
          <w:szCs w:val="18"/>
        </w:rPr>
        <w:t>参考文献</w:t>
      </w:r>
    </w:p>
    <w:p>
      <w:pPr>
        <w:tabs>
          <w:tab w:val="left" w:pos="420"/>
        </w:tabs>
        <w:autoSpaceDE w:val="0"/>
        <w:spacing w:line="240" w:lineRule="atLeast"/>
        <w:ind w:firstLine="332" w:firstLineChars="200"/>
        <w:rPr>
          <w:sz w:val="18"/>
          <w:szCs w:val="18"/>
        </w:rPr>
      </w:pPr>
      <w:r>
        <w:rPr>
          <w:rFonts w:hint="eastAsia" w:cs="宋体"/>
          <w:kern w:val="0"/>
          <w:sz w:val="18"/>
          <w:szCs w:val="18"/>
        </w:rPr>
        <w:t>1.沈坤荣、林剑威、傅元海，2023：《网络基础设施建设、信息可得性与企业创新边界》，《中国工业经济》第1期，第57-75页。</w:t>
      </w:r>
    </w:p>
    <w:p>
      <w:pPr>
        <w:autoSpaceDE w:val="0"/>
        <w:spacing w:line="240" w:lineRule="atLeast"/>
        <w:ind w:firstLine="332" w:firstLineChars="200"/>
        <w:rPr>
          <w:szCs w:val="21"/>
        </w:rPr>
      </w:pPr>
      <w:r>
        <w:rPr>
          <w:rFonts w:hint="eastAsia"/>
          <w:sz w:val="18"/>
          <w:szCs w:val="18"/>
        </w:rPr>
        <w:t xml:space="preserve">2.Byun, S. K., J. M. Oh, and H. Xia, 2021, </w:t>
      </w:r>
      <w:r>
        <w:rPr>
          <w:sz w:val="18"/>
          <w:szCs w:val="18"/>
        </w:rPr>
        <w:t>“</w:t>
      </w:r>
      <w:r>
        <w:rPr>
          <w:rFonts w:hint="eastAsia"/>
          <w:sz w:val="18"/>
          <w:szCs w:val="18"/>
        </w:rPr>
        <w:t>Incremental vs. Breakthrough Innovation: The Role of Technology Spillovers</w:t>
      </w:r>
      <w:r>
        <w:rPr>
          <w:sz w:val="18"/>
          <w:szCs w:val="18"/>
        </w:rPr>
        <w:t>”</w:t>
      </w:r>
      <w:r>
        <w:rPr>
          <w:rFonts w:hint="eastAsia"/>
          <w:sz w:val="18"/>
          <w:szCs w:val="18"/>
        </w:rPr>
        <w:t xml:space="preserve">, </w:t>
      </w:r>
      <w:r>
        <w:rPr>
          <w:rFonts w:ascii="Times New Roman Italic" w:hAnsi="Times New Roman Italic" w:cs="Times New Roman Italic"/>
          <w:i/>
          <w:iCs/>
          <w:sz w:val="18"/>
          <w:szCs w:val="18"/>
        </w:rPr>
        <w:t>Management Science</w:t>
      </w:r>
      <w:r>
        <w:rPr>
          <w:rFonts w:hint="eastAsia"/>
          <w:sz w:val="18"/>
          <w:szCs w:val="18"/>
        </w:rPr>
        <w:t>, 67(3): 1779-1802.</w:t>
      </w:r>
    </w:p>
    <w:p>
      <w:pPr>
        <w:rPr>
          <w:rFonts w:hint="eastAsia" w:ascii="黑体" w:hAnsi="黑体" w:eastAsia="黑体" w:cs="黑体"/>
          <w:sz w:val="24"/>
        </w:rPr>
      </w:pPr>
      <w:r>
        <w:rPr>
          <w:rFonts w:hint="eastAsia" w:ascii="黑体" w:hAnsi="黑体" w:eastAsia="黑体" w:cs="黑体"/>
          <w:sz w:val="24"/>
        </w:rPr>
        <w:br w:type="page"/>
      </w:r>
    </w:p>
    <w:p>
      <w:pPr>
        <w:spacing w:line="480" w:lineRule="auto"/>
        <w:jc w:val="left"/>
        <w:rPr>
          <w:sz w:val="18"/>
          <w:szCs w:val="18"/>
        </w:rPr>
      </w:pPr>
      <w:r>
        <w:rPr>
          <w:rFonts w:hint="eastAsia" w:ascii="黑体" w:hAnsi="黑体" w:eastAsia="黑体" w:cs="黑体"/>
          <w:sz w:val="24"/>
        </w:rPr>
        <w:t>附录</w:t>
      </w:r>
      <w:r>
        <w:rPr>
          <w:rFonts w:hint="eastAsia" w:eastAsia="黑体"/>
          <w:sz w:val="24"/>
        </w:rPr>
        <w:t>2</w:t>
      </w:r>
      <w:r>
        <w:rPr>
          <w:rFonts w:hint="eastAsia" w:ascii="黑体" w:hAnsi="黑体" w:eastAsia="黑体" w:cs="黑体"/>
          <w:sz w:val="24"/>
        </w:rPr>
        <w:t>：计算企业非效率投资变量的具体说明</w:t>
      </w:r>
    </w:p>
    <w:p>
      <w:pPr>
        <w:spacing w:line="240" w:lineRule="atLeast"/>
        <w:ind w:firstLine="392" w:firstLineChars="200"/>
        <w:rPr>
          <w:szCs w:val="21"/>
        </w:rPr>
      </w:pPr>
      <w:r>
        <w:rPr>
          <w:rFonts w:hint="eastAsia"/>
          <w:szCs w:val="21"/>
        </w:rPr>
        <w:t>企业投资可以分为预期投资和</w:t>
      </w:r>
      <w:bookmarkStart w:id="7" w:name="_GoBack"/>
      <w:bookmarkEnd w:id="7"/>
      <w:r>
        <w:rPr>
          <w:rFonts w:hint="eastAsia"/>
          <w:szCs w:val="21"/>
        </w:rPr>
        <w:t>非效率投资，预期投资由企业规模、资产规模、现金流量等因素决定，是管理者根据企业实际经营状况做出的理性投资决策，而非效率投资则是企业管理者由于决策失误而产生的</w:t>
      </w:r>
      <w:r>
        <w:rPr>
          <w:szCs w:val="21"/>
        </w:rPr>
        <w:t>实际投资</w:t>
      </w:r>
      <w:r>
        <w:rPr>
          <w:rFonts w:hint="eastAsia"/>
          <w:szCs w:val="21"/>
        </w:rPr>
        <w:t>偏离</w:t>
      </w:r>
      <w:r>
        <w:rPr>
          <w:szCs w:val="21"/>
        </w:rPr>
        <w:t>最优投资规模</w:t>
      </w:r>
      <w:r>
        <w:rPr>
          <w:rFonts w:hint="eastAsia"/>
          <w:szCs w:val="21"/>
        </w:rPr>
        <w:t>的行为（蔡真和万兆，2023）。本文借鉴Richardson（2006）的研究，通过企业上一期的相关数据，基于预期投资模型估算出的残差来反映</w:t>
      </w:r>
      <w:r>
        <w:rPr>
          <w:szCs w:val="21"/>
        </w:rPr>
        <w:t>实际投资水平与</w:t>
      </w:r>
      <w:r>
        <w:rPr>
          <w:rFonts w:hint="eastAsia"/>
          <w:szCs w:val="21"/>
        </w:rPr>
        <w:t>最优</w:t>
      </w:r>
      <w:r>
        <w:rPr>
          <w:szCs w:val="21"/>
        </w:rPr>
        <w:t>投资水平之间的差距</w:t>
      </w:r>
      <w:r>
        <w:rPr>
          <w:rFonts w:hint="eastAsia"/>
          <w:szCs w:val="21"/>
        </w:rPr>
        <w:t>，以此表示企业非效率投资水平。本文对估算出的残差值取绝对值，残差绝对值越大，说明企业的非效率投资水平越高。具体模型设定如下：</w:t>
      </w:r>
    </w:p>
    <w:p>
      <w:pPr>
        <w:pStyle w:val="2"/>
        <w:ind w:left="2100" w:leftChars="0"/>
        <w:rPr>
          <w:rFonts w:ascii="Times New Roman" w:eastAsia="宋体"/>
          <w:sz w:val="21"/>
          <w:szCs w:val="15"/>
        </w:rPr>
      </w:pPr>
      <w:r>
        <w:rPr>
          <w:rFonts w:hint="eastAsia" w:ascii="Times New Roman" w:eastAsia="宋体"/>
          <w:position w:val="-14"/>
          <w:sz w:val="21"/>
          <w:szCs w:val="15"/>
        </w:rPr>
        <w:object>
          <v:shape id="_x0000_i1054" o:spt="75" type="#_x0000_t75" style="height:18.65pt;width:175.35pt;" o:ole="t" filled="f" o:preferrelative="t" stroked="f" coordsize="21600,21600">
            <v:path/>
            <v:fill on="f" focussize="0,0"/>
            <v:stroke on="f" joinstyle="miter"/>
            <v:imagedata r:id="rId31" o:title=""/>
            <o:lock v:ext="edit" aspectratio="t"/>
            <w10:wrap type="none"/>
            <w10:anchorlock/>
          </v:shape>
          <o:OLEObject Type="Embed" ProgID="Equation.DSMT4" ShapeID="_x0000_i1054" DrawAspect="Content" ObjectID="_1468075738" r:id="rId30">
            <o:LockedField>false</o:LockedField>
          </o:OLEObject>
        </w:object>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 xml:space="preserve">  （2）</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hint="eastAsia"/>
          <w:position w:val="-6"/>
          <w:szCs w:val="21"/>
          <w:lang w:eastAsia="zh-Hans"/>
        </w:rPr>
      </w:pPr>
      <w:r>
        <w:rPr>
          <w:rFonts w:hint="eastAsia"/>
          <w:szCs w:val="21"/>
        </w:rPr>
        <w:t>（2）式中：</w:t>
      </w:r>
      <w:r>
        <w:rPr>
          <w:rFonts w:hint="eastAsia"/>
          <w:position w:val="-14"/>
          <w:szCs w:val="15"/>
        </w:rPr>
        <w:object>
          <v:shape id="_x0000_i1055" o:spt="75" type="#_x0000_t75" style="height:18.65pt;width:42pt;" o:ole="t" filled="f" o:preferrelative="t" stroked="f" coordsize="21600,21600">
            <v:path/>
            <v:fill on="f" focussize="0,0"/>
            <v:stroke on="f" joinstyle="miter"/>
            <v:imagedata r:id="rId33" o:title=""/>
            <o:lock v:ext="edit" aspectratio="t"/>
            <w10:wrap type="none"/>
            <w10:anchorlock/>
          </v:shape>
          <o:OLEObject Type="Embed" ProgID="Equation.DSMT4" ShapeID="_x0000_i1055" DrawAspect="Content" ObjectID="_1468075739" r:id="rId32">
            <o:LockedField>false</o:LockedField>
          </o:OLEObject>
        </w:object>
      </w:r>
      <w:r>
        <w:rPr>
          <w:rFonts w:hint="eastAsia"/>
          <w:szCs w:val="21"/>
        </w:rPr>
        <w:t>表示企业</w:t>
      </w:r>
      <w:r>
        <w:rPr>
          <w:rFonts w:hint="eastAsia"/>
          <w:position w:val="-10"/>
          <w:szCs w:val="21"/>
          <w:lang w:eastAsia="zh-Hans"/>
        </w:rPr>
        <w:object>
          <v:shape id="_x0000_i1056" o:spt="75" type="#_x0000_t75" style="height:16pt;width:12pt;" o:ole="t" filled="f" o:preferrelative="t" stroked="f" coordsize="21600,21600">
            <v:path/>
            <v:fill on="f" focussize="0,0"/>
            <v:stroke on="f" joinstyle="miter"/>
            <v:imagedata r:id="rId21" o:title=""/>
            <o:lock v:ext="edit" aspectratio="t"/>
            <w10:wrap type="none"/>
            <w10:anchorlock/>
          </v:shape>
          <o:OLEObject Type="Embed" ProgID="Equation.DSMT4" ShapeID="_x0000_i1056" DrawAspect="Content" ObjectID="_1468075740" r:id="rId34">
            <o:LockedField>false</o:LockedField>
          </o:OLEObject>
        </w:object>
      </w:r>
      <w:r>
        <w:rPr>
          <w:rFonts w:hint="eastAsia"/>
          <w:szCs w:val="21"/>
        </w:rPr>
        <w:t>在年份</w:t>
      </w:r>
      <w:r>
        <w:rPr>
          <w:rFonts w:hint="eastAsia"/>
          <w:position w:val="-6"/>
          <w:szCs w:val="21"/>
          <w:lang w:eastAsia="zh-Hans"/>
        </w:rPr>
        <w:object>
          <v:shape id="_x0000_i1057" o:spt="75" type="#_x0000_t75" style="height:12pt;width:6.65pt;" o:ole="t" filled="f" o:preferrelative="t" stroked="f" coordsize="21600,21600">
            <v:path/>
            <v:fill on="f" focussize="0,0"/>
            <v:stroke on="f" joinstyle="miter"/>
            <v:imagedata r:id="rId10" o:title=""/>
            <o:lock v:ext="edit" aspectratio="t"/>
            <w10:wrap type="none"/>
            <w10:anchorlock/>
          </v:shape>
          <o:OLEObject Type="Embed" ProgID="Equation.DSMT4" ShapeID="_x0000_i1057" DrawAspect="Content" ObjectID="_1468075741" r:id="rId35">
            <o:LockedField>false</o:LockedField>
          </o:OLEObject>
        </w:object>
      </w:r>
      <w:r>
        <w:rPr>
          <w:rFonts w:hint="eastAsia"/>
          <w:szCs w:val="21"/>
        </w:rPr>
        <w:t>的实际新增投资支出；</w:t>
      </w:r>
      <w:r>
        <w:rPr>
          <w:rFonts w:hint="eastAsia"/>
          <w:position w:val="-14"/>
          <w:szCs w:val="15"/>
        </w:rPr>
        <w:object>
          <v:shape id="_x0000_i1058" o:spt="75" type="#_x0000_t75" style="height:18.65pt;width:28.65pt;" o:ole="t" filled="f" o:preferrelative="t" stroked="f" coordsize="21600,21600">
            <v:path/>
            <v:fill on="f" focussize="0,0"/>
            <v:stroke on="f" joinstyle="miter"/>
            <v:imagedata r:id="rId37" o:title=""/>
            <o:lock v:ext="edit" aspectratio="t"/>
            <w10:wrap type="none"/>
            <w10:anchorlock/>
          </v:shape>
          <o:OLEObject Type="Embed" ProgID="Equation.DSMT4" ShapeID="_x0000_i1058" DrawAspect="Content" ObjectID="_1468075742" r:id="rId36">
            <o:LockedField>false</o:LockedField>
          </o:OLEObject>
        </w:object>
      </w:r>
      <w:r>
        <w:rPr>
          <w:rFonts w:hint="eastAsia" w:cs="Times New Roman Italic"/>
          <w:iCs/>
          <w:szCs w:val="21"/>
        </w:rPr>
        <w:t>表示企业</w:t>
      </w:r>
      <w:r>
        <w:rPr>
          <w:rFonts w:hint="eastAsia"/>
          <w:position w:val="-10"/>
          <w:szCs w:val="21"/>
          <w:lang w:eastAsia="zh-Hans"/>
        </w:rPr>
        <w:object>
          <v:shape id="_x0000_i1059" o:spt="75" type="#_x0000_t75" style="height:16pt;width:12pt;" o:ole="t" filled="f" o:preferrelative="t" stroked="f" coordsize="21600,21600">
            <v:path/>
            <v:fill on="f" focussize="0,0"/>
            <v:stroke on="f" joinstyle="miter"/>
            <v:imagedata r:id="rId21" o:title=""/>
            <o:lock v:ext="edit" aspectratio="t"/>
            <w10:wrap type="none"/>
            <w10:anchorlock/>
          </v:shape>
          <o:OLEObject Type="Embed" ProgID="Equation.DSMT4" ShapeID="_x0000_i1059" DrawAspect="Content" ObjectID="_1468075743" r:id="rId38">
            <o:LockedField>false</o:LockedField>
          </o:OLEObject>
        </w:object>
      </w:r>
      <w:r>
        <w:rPr>
          <w:rFonts w:hint="eastAsia" w:cs="Times New Roman Italic"/>
          <w:iCs/>
          <w:szCs w:val="21"/>
        </w:rPr>
        <w:t>在年份</w:t>
      </w:r>
      <w:r>
        <w:rPr>
          <w:rFonts w:hint="eastAsia"/>
          <w:position w:val="-6"/>
          <w:szCs w:val="21"/>
          <w:lang w:eastAsia="zh-Hans"/>
        </w:rPr>
        <w:object>
          <v:shape id="_x0000_i1060" o:spt="75" type="#_x0000_t75" style="height:14pt;width:22pt;" o:ole="t" filled="f" o:preferrelative="t" stroked="f" coordsize="21600,21600">
            <v:path/>
            <v:fill on="f" focussize="0,0"/>
            <v:stroke on="f" joinstyle="miter"/>
            <v:imagedata r:id="rId14" o:title=""/>
            <o:lock v:ext="edit" aspectratio="t"/>
            <w10:wrap type="none"/>
            <w10:anchorlock/>
          </v:shape>
          <o:OLEObject Type="Embed" ProgID="Equation.DSMT4" ShapeID="_x0000_i1060" DrawAspect="Content" ObjectID="_1468075744" r:id="rId39">
            <o:LockedField>false</o:LockedField>
          </o:OLEObject>
        </w:object>
      </w:r>
    </w:p>
    <w:p>
      <w:pPr>
        <w:spacing w:line="240" w:lineRule="atLeast"/>
        <w:rPr>
          <w:szCs w:val="21"/>
        </w:rPr>
      </w:pPr>
      <w:r>
        <w:rPr>
          <w:rFonts w:hint="eastAsia" w:cs="Times New Roman Italic"/>
          <w:iCs/>
          <w:szCs w:val="21"/>
        </w:rPr>
        <w:t>的特征变量，包括企业的托宾Q值、年龄、资产负债率、现金流量、资产规模、股票收益率、新增投资支出</w:t>
      </w:r>
      <w:r>
        <w:rPr>
          <w:rFonts w:hint="eastAsia"/>
          <w:szCs w:val="21"/>
        </w:rPr>
        <w:t>。</w:t>
      </w:r>
    </w:p>
    <w:p>
      <w:pPr>
        <w:tabs>
          <w:tab w:val="left" w:pos="690"/>
        </w:tabs>
        <w:ind w:firstLine="392" w:firstLineChars="200"/>
        <w:rPr>
          <w:rFonts w:eastAsia="楷体"/>
          <w:szCs w:val="21"/>
        </w:rPr>
      </w:pPr>
    </w:p>
    <w:p>
      <w:pPr>
        <w:spacing w:line="240" w:lineRule="atLeast"/>
        <w:ind w:firstLine="332" w:firstLineChars="200"/>
        <w:rPr>
          <w:szCs w:val="21"/>
        </w:rPr>
      </w:pPr>
      <w:r>
        <w:rPr>
          <w:rFonts w:hint="eastAsia" w:ascii="黑体" w:hAnsi="黑体" w:eastAsia="黑体" w:cs="黑体"/>
          <w:sz w:val="18"/>
          <w:szCs w:val="18"/>
        </w:rPr>
        <w:t>参考文献</w:t>
      </w:r>
    </w:p>
    <w:p>
      <w:pPr>
        <w:tabs>
          <w:tab w:val="left" w:pos="420"/>
        </w:tabs>
        <w:autoSpaceDE w:val="0"/>
        <w:spacing w:line="240" w:lineRule="atLeast"/>
        <w:ind w:firstLine="332" w:firstLineChars="200"/>
        <w:rPr>
          <w:rFonts w:cs="宋体"/>
          <w:kern w:val="0"/>
          <w:sz w:val="18"/>
          <w:szCs w:val="18"/>
        </w:rPr>
      </w:pPr>
      <w:r>
        <w:rPr>
          <w:rFonts w:hint="eastAsia" w:cs="宋体"/>
          <w:kern w:val="0"/>
          <w:sz w:val="18"/>
          <w:szCs w:val="18"/>
        </w:rPr>
        <w:t>1.蔡真、万兆，2023：《区域市场整合与中国企业资本配置效率——基于中国A股上市公司的经验证据》，《中国农村经济》第11期，第140-163页。</w:t>
      </w:r>
    </w:p>
    <w:p>
      <w:pPr>
        <w:autoSpaceDE w:val="0"/>
        <w:spacing w:line="240" w:lineRule="atLeast"/>
        <w:ind w:firstLine="332" w:firstLineChars="200"/>
        <w:rPr>
          <w:sz w:val="18"/>
          <w:szCs w:val="18"/>
        </w:rPr>
      </w:pPr>
      <w:r>
        <w:rPr>
          <w:rFonts w:hint="eastAsia"/>
          <w:sz w:val="18"/>
          <w:szCs w:val="18"/>
        </w:rPr>
        <w:t xml:space="preserve">2.Richardson, S., 2006, </w:t>
      </w:r>
      <w:r>
        <w:rPr>
          <w:sz w:val="18"/>
          <w:szCs w:val="18"/>
        </w:rPr>
        <w:t>“</w:t>
      </w:r>
      <w:r>
        <w:rPr>
          <w:rFonts w:hint="eastAsia"/>
          <w:sz w:val="18"/>
          <w:szCs w:val="18"/>
        </w:rPr>
        <w:t>Over-investment of Free Cash Flow</w:t>
      </w:r>
      <w:r>
        <w:rPr>
          <w:sz w:val="18"/>
          <w:szCs w:val="18"/>
        </w:rPr>
        <w:t>”</w:t>
      </w:r>
      <w:r>
        <w:rPr>
          <w:rFonts w:hint="eastAsia"/>
          <w:sz w:val="18"/>
          <w:szCs w:val="18"/>
        </w:rPr>
        <w:t xml:space="preserve">, </w:t>
      </w:r>
      <w:r>
        <w:rPr>
          <w:rFonts w:ascii="Times New Roman Italic" w:hAnsi="Times New Roman Italic" w:cs="Times New Roman Italic"/>
          <w:i/>
          <w:iCs/>
          <w:sz w:val="18"/>
          <w:szCs w:val="18"/>
        </w:rPr>
        <w:t xml:space="preserve">Review of </w:t>
      </w:r>
      <w:r>
        <w:rPr>
          <w:rFonts w:hint="eastAsia" w:ascii="Times New Roman Italic" w:hAnsi="Times New Roman Italic" w:cs="Times New Roman Italic"/>
          <w:i/>
          <w:iCs/>
          <w:sz w:val="18"/>
          <w:szCs w:val="18"/>
        </w:rPr>
        <w:t>A</w:t>
      </w:r>
      <w:r>
        <w:rPr>
          <w:rFonts w:ascii="Times New Roman Italic" w:hAnsi="Times New Roman Italic" w:cs="Times New Roman Italic"/>
          <w:i/>
          <w:iCs/>
          <w:sz w:val="18"/>
          <w:szCs w:val="18"/>
        </w:rPr>
        <w:t xml:space="preserve">ccounting </w:t>
      </w:r>
      <w:r>
        <w:rPr>
          <w:rFonts w:hint="eastAsia" w:ascii="Times New Roman Italic" w:hAnsi="Times New Roman Italic" w:cs="Times New Roman Italic"/>
          <w:i/>
          <w:iCs/>
          <w:sz w:val="18"/>
          <w:szCs w:val="18"/>
        </w:rPr>
        <w:t>S</w:t>
      </w:r>
      <w:r>
        <w:rPr>
          <w:rFonts w:ascii="Times New Roman Italic" w:hAnsi="Times New Roman Italic" w:cs="Times New Roman Italic"/>
          <w:i/>
          <w:iCs/>
          <w:sz w:val="18"/>
          <w:szCs w:val="18"/>
        </w:rPr>
        <w:t>tudies</w:t>
      </w:r>
      <w:r>
        <w:rPr>
          <w:rFonts w:hint="eastAsia"/>
          <w:sz w:val="18"/>
          <w:szCs w:val="18"/>
        </w:rPr>
        <w:t>, 11(2-3): 159-189.</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sz w:val="24"/>
        </w:rPr>
      </w:pPr>
    </w:p>
    <w:p>
      <w:pPr>
        <w:spacing w:line="480" w:lineRule="auto"/>
        <w:jc w:val="left"/>
        <w:rPr>
          <w:sz w:val="18"/>
          <w:szCs w:val="18"/>
        </w:rPr>
      </w:pPr>
      <w:r>
        <w:rPr>
          <w:rFonts w:hint="eastAsia" w:ascii="黑体" w:hAnsi="黑体" w:eastAsia="黑体" w:cs="黑体"/>
          <w:sz w:val="24"/>
        </w:rPr>
        <w:t>附录</w:t>
      </w:r>
      <w:r>
        <w:rPr>
          <w:rFonts w:ascii="Times New Roman Regular" w:hAnsi="Times New Roman Regular" w:eastAsia="黑体" w:cs="Times New Roman Regular"/>
          <w:sz w:val="24"/>
        </w:rPr>
        <w:t>3</w:t>
      </w:r>
      <w:r>
        <w:rPr>
          <w:rFonts w:hint="eastAsia" w:ascii="黑体" w:hAnsi="黑体" w:eastAsia="黑体" w:cs="黑体"/>
          <w:sz w:val="24"/>
        </w:rPr>
        <w:t>：计算企业供需匹配</w:t>
      </w:r>
      <w:r>
        <w:rPr>
          <w:rFonts w:hint="eastAsia" w:ascii="黑体" w:hAnsi="黑体" w:eastAsia="黑体" w:cs="黑体"/>
          <w:sz w:val="24"/>
          <w:lang w:val="en-US" w:eastAsia="zh-CN"/>
        </w:rPr>
        <w:t>水平</w:t>
      </w:r>
      <w:r>
        <w:rPr>
          <w:rFonts w:hint="eastAsia" w:ascii="黑体" w:hAnsi="黑体" w:eastAsia="黑体" w:cs="黑体"/>
          <w:sz w:val="24"/>
        </w:rPr>
        <w:t>变量的具体说明</w:t>
      </w:r>
    </w:p>
    <w:p>
      <w:pPr>
        <w:spacing w:line="240" w:lineRule="atLeast"/>
        <w:ind w:firstLine="392" w:firstLineChars="200"/>
        <w:rPr>
          <w:szCs w:val="21"/>
        </w:rPr>
      </w:pPr>
      <w:r>
        <w:rPr>
          <w:rFonts w:hint="eastAsia"/>
          <w:szCs w:val="21"/>
        </w:rPr>
        <w:t>生产波动与需求波动之间的偏离能够反映企业的供需匹配水平，本文参考Shan et al.（2014）的思路，按照下式测度企业供需偏离度，以此反向表征企业供需匹配水平：</w:t>
      </w:r>
    </w:p>
    <w:p>
      <w:pPr>
        <w:pStyle w:val="2"/>
        <w:ind w:left="2520" w:leftChars="0"/>
        <w:rPr>
          <w:rFonts w:ascii="Times New Roman" w:eastAsia="宋体"/>
          <w:sz w:val="21"/>
          <w:szCs w:val="15"/>
        </w:rPr>
      </w:pPr>
      <w:r>
        <w:rPr>
          <w:rFonts w:hint="eastAsia" w:ascii="Times New Roman" w:eastAsia="宋体"/>
          <w:position w:val="-36"/>
          <w:sz w:val="21"/>
          <w:szCs w:val="15"/>
        </w:rPr>
        <w:object>
          <v:shape id="_x0000_i1061" o:spt="75" type="#_x0000_t75" style="height:42pt;width:132.65pt;" o:ole="t" filled="f" o:preferrelative="t" stroked="f" coordsize="21600,21600">
            <v:path/>
            <v:fill on="f" focussize="0,0"/>
            <v:stroke on="f" joinstyle="miter"/>
            <v:imagedata r:id="rId41" o:title=""/>
            <o:lock v:ext="edit" aspectratio="t"/>
            <w10:wrap type="none"/>
            <w10:anchorlock/>
          </v:shape>
          <o:OLEObject Type="Embed" ProgID="Equation.DSMT4" ShapeID="_x0000_i1061" DrawAspect="Content" ObjectID="_1468075745" r:id="rId40">
            <o:LockedField>false</o:LockedField>
          </o:OLEObject>
        </w:object>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 xml:space="preserve"> </w:t>
      </w:r>
      <w:r>
        <w:rPr>
          <w:rFonts w:hint="eastAsia" w:ascii="Times New Roman" w:eastAsia="宋体"/>
          <w:sz w:val="21"/>
          <w:szCs w:val="15"/>
        </w:rPr>
        <w:tab/>
      </w:r>
      <w:r>
        <w:rPr>
          <w:rFonts w:hint="eastAsia" w:ascii="Times New Roman" w:eastAsia="宋体"/>
          <w:sz w:val="21"/>
          <w:szCs w:val="15"/>
        </w:rPr>
        <w:t xml:space="preserve">  （3）</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hint="eastAsia"/>
          <w:szCs w:val="21"/>
        </w:rPr>
      </w:pPr>
      <w:r>
        <w:rPr>
          <w:rFonts w:hint="eastAsia"/>
          <w:szCs w:val="21"/>
        </w:rPr>
        <w:t>（3）式中：</w:t>
      </w:r>
      <w:r>
        <w:rPr>
          <w:rFonts w:hint="eastAsia"/>
          <w:position w:val="-14"/>
          <w:szCs w:val="15"/>
        </w:rPr>
        <w:object>
          <v:shape id="_x0000_i1062" o:spt="75" type="#_x0000_t75" style="height:18.65pt;width:46pt;" o:ole="t" filled="f" o:preferrelative="t" stroked="f" coordsize="21600,21600">
            <v:path/>
            <v:fill on="f" focussize="0,0"/>
            <v:stroke on="f" joinstyle="miter"/>
            <v:imagedata r:id="rId43" o:title=""/>
            <o:lock v:ext="edit" aspectratio="t"/>
            <w10:wrap type="none"/>
            <w10:anchorlock/>
          </v:shape>
          <o:OLEObject Type="Embed" ProgID="Equation.DSMT4" ShapeID="_x0000_i1062" DrawAspect="Content" ObjectID="_1468075746" r:id="rId42">
            <o:LockedField>false</o:LockedField>
          </o:OLEObject>
        </w:object>
      </w:r>
      <w:r>
        <w:rPr>
          <w:rFonts w:hint="eastAsia"/>
          <w:szCs w:val="21"/>
        </w:rPr>
        <w:t>表示企业</w:t>
      </w:r>
      <w:r>
        <w:rPr>
          <w:rFonts w:hint="eastAsia"/>
          <w:position w:val="-10"/>
          <w:szCs w:val="21"/>
          <w:lang w:eastAsia="zh-Hans"/>
        </w:rPr>
        <w:object>
          <v:shape id="_x0000_i1063" o:spt="75" type="#_x0000_t75" style="height:16pt;width:12pt;" o:ole="t" filled="f" o:preferrelative="t" stroked="f" coordsize="21600,21600">
            <v:path/>
            <v:fill on="f" focussize="0,0"/>
            <v:stroke on="f" joinstyle="miter"/>
            <v:imagedata r:id="rId21" o:title=""/>
            <o:lock v:ext="edit" aspectratio="t"/>
            <w10:wrap type="none"/>
            <w10:anchorlock/>
          </v:shape>
          <o:OLEObject Type="Embed" ProgID="Equation.DSMT4" ShapeID="_x0000_i1063" DrawAspect="Content" ObjectID="_1468075747" r:id="rId44">
            <o:LockedField>false</o:LockedField>
          </o:OLEObject>
        </w:object>
      </w:r>
      <w:r>
        <w:rPr>
          <w:rFonts w:hint="eastAsia"/>
          <w:szCs w:val="21"/>
        </w:rPr>
        <w:t>在年份</w:t>
      </w:r>
      <w:r>
        <w:rPr>
          <w:rFonts w:hint="eastAsia"/>
          <w:position w:val="-6"/>
          <w:szCs w:val="21"/>
          <w:lang w:eastAsia="zh-Hans"/>
        </w:rPr>
        <w:object>
          <v:shape id="_x0000_i1064" o:spt="75" type="#_x0000_t75" style="height:12pt;width:6.65pt;" o:ole="t" filled="f" o:preferrelative="t" stroked="f" coordsize="21600,21600">
            <v:path/>
            <v:fill on="f" focussize="0,0"/>
            <v:stroke on="f" joinstyle="miter"/>
            <v:imagedata r:id="rId10" o:title=""/>
            <o:lock v:ext="edit" aspectratio="t"/>
            <w10:wrap type="none"/>
            <w10:anchorlock/>
          </v:shape>
          <o:OLEObject Type="Embed" ProgID="Equation.DSMT4" ShapeID="_x0000_i1064" DrawAspect="Content" ObjectID="_1468075748" r:id="rId45">
            <o:LockedField>false</o:LockedField>
          </o:OLEObject>
        </w:object>
      </w:r>
      <w:r>
        <w:rPr>
          <w:rFonts w:hint="eastAsia"/>
          <w:szCs w:val="21"/>
        </w:rPr>
        <w:t>的生产量，</w:t>
      </w:r>
      <w:r>
        <w:rPr>
          <w:rFonts w:hint="eastAsia"/>
          <w:position w:val="-14"/>
          <w:szCs w:val="15"/>
        </w:rPr>
        <w:object>
          <v:shape id="_x0000_i1065" o:spt="75" type="#_x0000_t75" style="height:18.65pt;width:191.35pt;" o:ole="t" filled="f" o:preferrelative="t" stroked="f" coordsize="21600,21600">
            <v:path/>
            <v:fill on="f" focussize="0,0"/>
            <v:stroke on="f" joinstyle="miter"/>
            <v:imagedata r:id="rId47" o:title=""/>
            <o:lock v:ext="edit" aspectratio="t"/>
            <w10:wrap type="none"/>
            <w10:anchorlock/>
          </v:shape>
          <o:OLEObject Type="Embed" ProgID="Equation.DSMT4" ShapeID="_x0000_i1065" DrawAspect="Content" ObjectID="_1468075749" r:id="rId46">
            <o:LockedField>false</o:LockedField>
          </o:OLEObject>
        </w:object>
      </w:r>
      <w:r>
        <w:rPr>
          <w:rFonts w:hint="eastAsia"/>
          <w:szCs w:val="21"/>
        </w:rPr>
        <w:t>；</w:t>
      </w:r>
      <w:r>
        <w:rPr>
          <w:rFonts w:hint="eastAsia"/>
          <w:position w:val="-14"/>
          <w:szCs w:val="15"/>
        </w:rPr>
        <w:object>
          <v:shape id="_x0000_i1066" o:spt="75" type="#_x0000_t75" style="height:18.65pt;width:55.35pt;" o:ole="t" filled="f" o:preferrelative="t" stroked="f" coordsize="21600,21600">
            <v:path/>
            <v:fill on="f" focussize="0,0"/>
            <v:stroke on="f" joinstyle="miter"/>
            <v:imagedata r:id="rId49" o:title=""/>
            <o:lock v:ext="edit" aspectratio="t"/>
            <w10:wrap type="none"/>
            <w10:anchorlock/>
          </v:shape>
          <o:OLEObject Type="Embed" ProgID="Equation.DSMT4" ShapeID="_x0000_i1066" DrawAspect="Content" ObjectID="_1468075750" r:id="rId48">
            <o:LockedField>false</o:LockedField>
          </o:OLEObject>
        </w:object>
      </w:r>
      <w:r>
        <w:rPr>
          <w:rFonts w:hint="eastAsia"/>
          <w:szCs w:val="21"/>
        </w:rPr>
        <w:t>表示企业</w:t>
      </w:r>
      <w:r>
        <w:rPr>
          <w:rFonts w:hint="eastAsia"/>
          <w:position w:val="-10"/>
          <w:szCs w:val="21"/>
          <w:lang w:eastAsia="zh-Hans"/>
        </w:rPr>
        <w:object>
          <v:shape id="_x0000_i1067" o:spt="75" type="#_x0000_t75" style="height:16pt;width:12pt;" o:ole="t" filled="f" o:preferrelative="t" stroked="f" coordsize="21600,21600">
            <v:path/>
            <v:fill on="f" focussize="0,0"/>
            <v:stroke on="f" joinstyle="miter"/>
            <v:imagedata r:id="rId21" o:title=""/>
            <o:lock v:ext="edit" aspectratio="t"/>
            <w10:wrap type="none"/>
            <w10:anchorlock/>
          </v:shape>
          <o:OLEObject Type="Embed" ProgID="Equation.DSMT4" ShapeID="_x0000_i1067" DrawAspect="Content" ObjectID="_1468075751" r:id="rId50">
            <o:LockedField>false</o:LockedField>
          </o:OLEObject>
        </w:object>
      </w:r>
      <w:r>
        <w:rPr>
          <w:rFonts w:hint="eastAsia"/>
          <w:szCs w:val="21"/>
        </w:rPr>
        <w:t>在年份</w:t>
      </w:r>
      <w:r>
        <w:rPr>
          <w:rFonts w:hint="eastAsia"/>
          <w:position w:val="-6"/>
          <w:szCs w:val="21"/>
          <w:lang w:eastAsia="zh-Hans"/>
        </w:rPr>
        <w:object>
          <v:shape id="_x0000_i1068" o:spt="75" type="#_x0000_t75" style="height:12pt;width:6.65pt;" o:ole="t" filled="f" o:preferrelative="t" stroked="f" coordsize="21600,21600">
            <v:path/>
            <v:fill on="f" focussize="0,0"/>
            <v:stroke on="f" joinstyle="miter"/>
            <v:imagedata r:id="rId10" o:title=""/>
            <o:lock v:ext="edit" aspectratio="t"/>
            <w10:wrap type="none"/>
            <w10:anchorlock/>
          </v:shape>
          <o:OLEObject Type="Embed" ProgID="Equation.DSMT4" ShapeID="_x0000_i1068" DrawAspect="Content" ObjectID="_1468075752" r:id="rId51">
            <o:LockedField>false</o:LockedField>
          </o:OLEObject>
        </w:object>
      </w:r>
      <w:r>
        <w:rPr>
          <w:rFonts w:hint="eastAsia"/>
          <w:szCs w:val="21"/>
        </w:rPr>
        <w:t>的需求量，分别采用营业收入和营业成本进行衡量；</w:t>
      </w:r>
      <w:r>
        <w:rPr>
          <w:rFonts w:hint="eastAsia"/>
          <w:position w:val="-14"/>
          <w:szCs w:val="15"/>
        </w:rPr>
        <w:object>
          <v:shape id="_x0000_i1069" o:spt="75" type="#_x0000_t75" style="height:18.65pt;width:28.65pt;" o:ole="t" filled="f" o:preferrelative="t" stroked="f" coordsize="21600,21600">
            <v:path/>
            <v:fill on="f" focussize="0,0"/>
            <v:stroke on="f" joinstyle="miter"/>
            <v:imagedata r:id="rId53" o:title=""/>
            <o:lock v:ext="edit" aspectratio="t"/>
            <w10:wrap type="none"/>
            <w10:anchorlock/>
          </v:shape>
          <o:OLEObject Type="Embed" ProgID="Equation.DSMT4" ShapeID="_x0000_i1069" DrawAspect="Content" ObjectID="_1468075753" r:id="rId52">
            <o:LockedField>false</o:LockedField>
          </o:OLEObject>
        </w:object>
      </w:r>
      <w:r>
        <w:rPr>
          <w:rFonts w:hint="eastAsia"/>
          <w:szCs w:val="21"/>
        </w:rPr>
        <w:t>表示企业</w:t>
      </w:r>
      <w:r>
        <w:rPr>
          <w:rFonts w:hint="eastAsia"/>
          <w:position w:val="-10"/>
          <w:szCs w:val="21"/>
          <w:lang w:eastAsia="zh-Hans"/>
        </w:rPr>
        <w:object>
          <v:shape id="_x0000_i1070" o:spt="75" type="#_x0000_t75" style="height:16pt;width:12pt;" o:ole="t" filled="f" o:preferrelative="t" stroked="f" coordsize="21600,21600">
            <v:path/>
            <v:fill on="f" focussize="0,0"/>
            <v:stroke on="f" joinstyle="miter"/>
            <v:imagedata r:id="rId21" o:title=""/>
            <o:lock v:ext="edit" aspectratio="t"/>
            <w10:wrap type="none"/>
            <w10:anchorlock/>
          </v:shape>
          <o:OLEObject Type="Embed" ProgID="Equation.DSMT4" ShapeID="_x0000_i1070" DrawAspect="Content" ObjectID="_1468075754" r:id="rId54">
            <o:LockedField>false</o:LockedField>
          </o:OLEObject>
        </w:object>
      </w:r>
      <w:r>
        <w:rPr>
          <w:rFonts w:hint="eastAsia"/>
          <w:szCs w:val="21"/>
        </w:rPr>
        <w:t>在年份</w:t>
      </w:r>
      <w:r>
        <w:rPr>
          <w:rFonts w:hint="eastAsia"/>
          <w:position w:val="-6"/>
          <w:szCs w:val="21"/>
          <w:lang w:eastAsia="zh-Hans"/>
        </w:rPr>
        <w:object>
          <v:shape id="_x0000_i1071" o:spt="75" type="#_x0000_t75" style="height:12pt;width:6.65pt;" o:ole="t" filled="f" o:preferrelative="t" stroked="f" coordsize="21600,21600">
            <v:path/>
            <v:fill on="f" focussize="0,0"/>
            <v:stroke on="f" joinstyle="miter"/>
            <v:imagedata r:id="rId56" o:title=""/>
            <o:lock v:ext="edit" aspectratio="t"/>
            <w10:wrap type="none"/>
            <w10:anchorlock/>
          </v:shape>
          <o:OLEObject Type="Embed" ProgID="Equation.DSMT4" ShapeID="_x0000_i1071" DrawAspect="Content" ObjectID="_1468075755" r:id="rId55">
            <o:LockedField>false</o:LockedField>
          </o:OLEObject>
        </w:object>
      </w:r>
      <w:r>
        <w:rPr>
          <w:rFonts w:hint="eastAsia"/>
          <w:szCs w:val="21"/>
        </w:rPr>
        <w:t>的年末存货净值。</w:t>
      </w:r>
      <w:r>
        <w:rPr>
          <w:rFonts w:hint="eastAsia"/>
          <w:position w:val="-6"/>
          <w:szCs w:val="21"/>
          <w:lang w:eastAsia="zh-Hans"/>
        </w:rPr>
        <w:object>
          <v:shape id="_x0000_i1072" o:spt="75" type="#_x0000_t75" style="height:14pt;width:29.35pt;" o:ole="t" filled="f" o:preferrelative="t" stroked="f" coordsize="21600,21600">
            <v:path/>
            <v:fill on="f" focussize="0,0"/>
            <v:stroke on="f" joinstyle="miter"/>
            <v:imagedata r:id="rId58" o:title=""/>
            <o:lock v:ext="edit" aspectratio="t"/>
            <w10:wrap type="none"/>
            <w10:anchorlock/>
          </v:shape>
          <o:OLEObject Type="Embed" ProgID="Equation.DSMT4" ShapeID="_x0000_i1072" DrawAspect="Content" ObjectID="_1468075756" r:id="rId57">
            <o:LockedField>false</o:LockedField>
          </o:OLEObject>
        </w:object>
      </w:r>
      <w:r>
        <w:rPr>
          <w:rFonts w:hint="eastAsia"/>
          <w:szCs w:val="21"/>
        </w:rPr>
        <w:t>越小，反映生产</w:t>
      </w:r>
    </w:p>
    <w:p>
      <w:pPr>
        <w:spacing w:line="240" w:lineRule="atLeast"/>
        <w:rPr>
          <w:szCs w:val="21"/>
        </w:rPr>
      </w:pPr>
      <w:r>
        <w:rPr>
          <w:rFonts w:hint="eastAsia"/>
          <w:szCs w:val="21"/>
        </w:rPr>
        <w:t>波动与需求波动之间的偏离度越低，企业供需匹配水平越高。</w:t>
      </w:r>
    </w:p>
    <w:p>
      <w:pPr>
        <w:tabs>
          <w:tab w:val="left" w:pos="690"/>
        </w:tabs>
        <w:ind w:firstLine="392" w:firstLineChars="200"/>
        <w:rPr>
          <w:rFonts w:eastAsia="楷体"/>
          <w:szCs w:val="21"/>
        </w:rPr>
      </w:pPr>
    </w:p>
    <w:p>
      <w:pPr>
        <w:spacing w:line="240" w:lineRule="atLeast"/>
        <w:ind w:firstLine="332" w:firstLineChars="200"/>
        <w:rPr>
          <w:szCs w:val="21"/>
        </w:rPr>
      </w:pPr>
      <w:r>
        <w:rPr>
          <w:rFonts w:hint="eastAsia" w:ascii="黑体" w:hAnsi="黑体" w:eastAsia="黑体" w:cs="黑体"/>
          <w:sz w:val="18"/>
          <w:szCs w:val="18"/>
        </w:rPr>
        <w:t>参考文献</w:t>
      </w:r>
    </w:p>
    <w:p>
      <w:pPr>
        <w:autoSpaceDE w:val="0"/>
        <w:spacing w:line="240" w:lineRule="atLeast"/>
        <w:ind w:firstLine="332" w:firstLineChars="200"/>
        <w:rPr>
          <w:sz w:val="18"/>
          <w:szCs w:val="18"/>
        </w:rPr>
      </w:pPr>
      <w:r>
        <w:rPr>
          <w:rFonts w:hint="eastAsia"/>
          <w:sz w:val="18"/>
          <w:szCs w:val="18"/>
        </w:rPr>
        <w:t xml:space="preserve">1.Shan, J., S. Yang, S. Yang, and Z. Jin, 2014, </w:t>
      </w:r>
      <w:r>
        <w:rPr>
          <w:sz w:val="18"/>
          <w:szCs w:val="18"/>
        </w:rPr>
        <w:t>“</w:t>
      </w:r>
      <w:r>
        <w:rPr>
          <w:rFonts w:hint="eastAsia"/>
          <w:sz w:val="18"/>
          <w:szCs w:val="18"/>
        </w:rPr>
        <w:t>An Empirical Study of the Bullwhip Effect in China</w:t>
      </w:r>
      <w:r>
        <w:rPr>
          <w:sz w:val="18"/>
          <w:szCs w:val="18"/>
        </w:rPr>
        <w:t>”</w:t>
      </w:r>
      <w:r>
        <w:rPr>
          <w:rFonts w:hint="eastAsia"/>
          <w:sz w:val="18"/>
          <w:szCs w:val="18"/>
        </w:rPr>
        <w:t xml:space="preserve">, </w:t>
      </w:r>
      <w:r>
        <w:rPr>
          <w:rFonts w:ascii="Times New Roman Italic" w:hAnsi="Times New Roman Italic" w:cs="Times New Roman Italic"/>
          <w:i/>
          <w:iCs/>
          <w:sz w:val="18"/>
          <w:szCs w:val="18"/>
        </w:rPr>
        <w:t>Production and Operations Management</w:t>
      </w:r>
      <w:r>
        <w:rPr>
          <w:rFonts w:hint="eastAsia"/>
          <w:sz w:val="18"/>
          <w:szCs w:val="18"/>
        </w:rPr>
        <w:t>, 23(4): 537-551.</w:t>
      </w:r>
    </w:p>
    <w:p>
      <w:pPr>
        <w:spacing w:line="480" w:lineRule="auto"/>
        <w:jc w:val="left"/>
        <w:rPr>
          <w:rFonts w:ascii="黑体" w:hAnsi="黑体" w:cs="黑体"/>
          <w:szCs w:val="21"/>
        </w:rPr>
      </w:pPr>
      <w:r>
        <w:rPr>
          <w:rFonts w:hint="eastAsia" w:ascii="黑体" w:hAnsi="黑体" w:eastAsia="黑体" w:cs="黑体"/>
          <w:sz w:val="24"/>
        </w:rPr>
        <w:t>附录</w:t>
      </w:r>
      <w:r>
        <w:rPr>
          <w:rFonts w:hint="eastAsia" w:ascii="Times New Roman Regular" w:hAnsi="Times New Roman Regular" w:eastAsia="黑体" w:cs="Times New Roman Regular"/>
          <w:sz w:val="24"/>
        </w:rPr>
        <w:t>4</w:t>
      </w:r>
      <w:r>
        <w:rPr>
          <w:rFonts w:hint="eastAsia" w:ascii="黑体" w:hAnsi="黑体" w:eastAsia="黑体" w:cs="黑体"/>
          <w:sz w:val="24"/>
        </w:rPr>
        <w:t>：稳健性检验结果的具体说明</w:t>
      </w:r>
    </w:p>
    <w:p>
      <w:pPr>
        <w:spacing w:line="240" w:lineRule="atLeast"/>
        <w:ind w:firstLine="392" w:firstLineChars="200"/>
        <w:rPr>
          <w:szCs w:val="21"/>
        </w:rPr>
      </w:pPr>
      <w:bookmarkStart w:id="1" w:name="_Toc1789712526"/>
      <w:r>
        <w:rPr>
          <w:rFonts w:hint="eastAsia" w:eastAsia="楷体" w:cs="Times New Roman (正文 CS 字体)"/>
          <w:szCs w:val="21"/>
        </w:rPr>
        <w:t>1.替换被解释变量</w:t>
      </w:r>
      <w:bookmarkEnd w:id="1"/>
      <w:r>
        <w:rPr>
          <w:rFonts w:hint="eastAsia" w:eastAsia="楷体" w:cs="Times New Roman (正文 CS 字体)"/>
          <w:szCs w:val="21"/>
        </w:rPr>
        <w:t>。</w:t>
      </w:r>
      <w:r>
        <w:rPr>
          <w:rFonts w:hint="eastAsia"/>
          <w:szCs w:val="21"/>
        </w:rPr>
        <w:t>第一，本文在采用SFA法测度企业产能利用率时，将超越对数生产函数更换为柯布</w:t>
      </w:r>
      <w:r>
        <w:rPr>
          <w:rFonts w:hint="eastAsia" w:ascii="宋体" w:hAnsi="宋体" w:cs="宋体"/>
          <w:szCs w:val="21"/>
        </w:rPr>
        <w:t>-</w:t>
      </w:r>
      <w:r>
        <w:rPr>
          <w:rFonts w:hint="eastAsia"/>
          <w:szCs w:val="21"/>
        </w:rPr>
        <w:t>道格拉斯生产函数后重新测度企业产能利用率（企业产能利用率1）以进行稳健性检验，回归结果见附表1（1）列。第二，考虑到企业资产周转率与产能利用率之间密切相关（李雪松等，2017），本文将资产周转率作为企业产能利用率的代理变量（企业产能利用率2），其中，资产周转率采用企业营业收入与总资产的比值来衡量，以此作为被解释变量进行回归估计的结果见附表1（2）列。可以得出，全国统一大市场建设的估计系数均显著为正，进一步验证了本文基准回归结果的稳健性。</w:t>
      </w:r>
    </w:p>
    <w:p>
      <w:pPr>
        <w:spacing w:line="240" w:lineRule="atLeast"/>
        <w:ind w:firstLine="392" w:firstLineChars="200"/>
        <w:rPr>
          <w:szCs w:val="21"/>
        </w:rPr>
      </w:pPr>
      <w:bookmarkStart w:id="2" w:name="_Toc2042464600"/>
      <w:r>
        <w:rPr>
          <w:rFonts w:hint="eastAsia" w:eastAsia="楷体" w:cs="Times New Roman (正文 CS 字体)"/>
          <w:szCs w:val="21"/>
        </w:rPr>
        <w:t>2.替换解释变量</w:t>
      </w:r>
      <w:bookmarkEnd w:id="2"/>
      <w:r>
        <w:rPr>
          <w:rFonts w:hint="eastAsia" w:eastAsia="楷体" w:cs="Times New Roman (正文 CS 字体)"/>
          <w:szCs w:val="21"/>
        </w:rPr>
        <w:t>。</w:t>
      </w:r>
      <w:r>
        <w:rPr>
          <w:rFonts w:hint="eastAsia"/>
          <w:szCs w:val="21"/>
        </w:rPr>
        <w:t>第一，直线距离通常被用于衡量城市间的地理距离，但该指标并未考虑到交通基础设施发展对距离的影响。为更加真实地反映城市间地理距离对商品要素资源自由流动的阻碍，本文采用城市间驾车距离来代表地理距离，并以此作为权重，对城市间相对价格波动的方差进行加权平均。由此，重新测度全国统一大市场建设水平（全国统一大市场建设1），并进行稳健性检验，结果见附表1（3）列。第二，本文将全国统一大市场分项指标的赋权方法由纵横向拉开档次法替换为熵权TOPSIS法，以此作为解释变量（全国统一大市场建设2）的估计结果见附表1（4）列。总体来看，全国统一大市场建设水平的提升仍然可以提高企业产能利用率。</w:t>
      </w:r>
    </w:p>
    <w:p>
      <w:pPr>
        <w:pStyle w:val="2"/>
        <w:spacing w:line="240" w:lineRule="atLeast"/>
        <w:ind w:left="392" w:firstLine="0"/>
      </w:pPr>
      <w:r>
        <w:rPr>
          <w:rFonts w:hint="eastAsia" w:ascii="Times New Roman" w:eastAsia="黑体" w:cs="Times New Roman"/>
          <w:sz w:val="18"/>
          <w:szCs w:val="18"/>
        </w:rPr>
        <w:t>附表1                            替换核心变量的稳健性检验结果</w:t>
      </w:r>
    </w:p>
    <w:tbl>
      <w:tblPr>
        <w:tblStyle w:val="33"/>
        <w:tblW w:w="8596" w:type="dxa"/>
        <w:tblInd w:w="125" w:type="dxa"/>
        <w:tblLayout w:type="fixed"/>
        <w:tblCellMar>
          <w:top w:w="0" w:type="dxa"/>
          <w:left w:w="108" w:type="dxa"/>
          <w:bottom w:w="0" w:type="dxa"/>
          <w:right w:w="108" w:type="dxa"/>
        </w:tblCellMar>
      </w:tblPr>
      <w:tblGrid>
        <w:gridCol w:w="1855"/>
        <w:gridCol w:w="842"/>
        <w:gridCol w:w="843"/>
        <w:gridCol w:w="842"/>
        <w:gridCol w:w="843"/>
        <w:gridCol w:w="842"/>
        <w:gridCol w:w="843"/>
        <w:gridCol w:w="843"/>
        <w:gridCol w:w="843"/>
      </w:tblGrid>
      <w:tr>
        <w:tblPrEx>
          <w:tblLayout w:type="fixed"/>
          <w:tblCellMar>
            <w:top w:w="0" w:type="dxa"/>
            <w:left w:w="108" w:type="dxa"/>
            <w:bottom w:w="0" w:type="dxa"/>
            <w:right w:w="108" w:type="dxa"/>
          </w:tblCellMar>
        </w:tblPrEx>
        <w:trPr>
          <w:trHeight w:val="317" w:hRule="atLeast"/>
        </w:trPr>
        <w:tc>
          <w:tcPr>
            <w:tcW w:w="1855" w:type="dxa"/>
            <w:vMerge w:val="restart"/>
            <w:tcBorders>
              <w:top w:val="single" w:color="auto" w:sz="12" w:space="0"/>
              <w:left w:val="nil"/>
              <w:right w:val="single" w:color="auto" w:sz="4" w:space="0"/>
            </w:tcBorders>
            <w:vAlign w:val="center"/>
          </w:tcPr>
          <w:p>
            <w:pPr>
              <w:spacing w:line="300" w:lineRule="exact"/>
              <w:jc w:val="center"/>
              <w:rPr>
                <w:sz w:val="18"/>
                <w:szCs w:val="18"/>
              </w:rPr>
            </w:pPr>
            <w:r>
              <w:rPr>
                <w:rFonts w:hint="eastAsia"/>
                <w:sz w:val="18"/>
                <w:szCs w:val="18"/>
              </w:rPr>
              <w:t>变量</w:t>
            </w:r>
          </w:p>
        </w:tc>
        <w:tc>
          <w:tcPr>
            <w:tcW w:w="1685" w:type="dxa"/>
            <w:gridSpan w:val="2"/>
            <w:tcBorders>
              <w:top w:val="single" w:color="auto" w:sz="12"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（1）</w:t>
            </w:r>
          </w:p>
        </w:tc>
        <w:tc>
          <w:tcPr>
            <w:tcW w:w="1685" w:type="dxa"/>
            <w:gridSpan w:val="2"/>
            <w:tcBorders>
              <w:top w:val="single" w:color="auto" w:sz="12"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（2）</w:t>
            </w:r>
          </w:p>
        </w:tc>
        <w:tc>
          <w:tcPr>
            <w:tcW w:w="1685" w:type="dxa"/>
            <w:gridSpan w:val="2"/>
            <w:tcBorders>
              <w:top w:val="single" w:color="auto" w:sz="12"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（3）</w:t>
            </w:r>
          </w:p>
        </w:tc>
        <w:tc>
          <w:tcPr>
            <w:tcW w:w="1686" w:type="dxa"/>
            <w:gridSpan w:val="2"/>
            <w:tcBorders>
              <w:top w:val="single" w:color="auto" w:sz="12" w:space="0"/>
              <w:left w:val="single" w:color="auto" w:sz="4" w:space="0"/>
              <w:bottom w:val="nil"/>
              <w:right w:val="nil"/>
            </w:tcBorders>
            <w:vAlign w:val="center"/>
          </w:tcPr>
          <w:p>
            <w:pPr>
              <w:spacing w:line="300" w:lineRule="exact"/>
              <w:jc w:val="center"/>
              <w:rPr>
                <w:sz w:val="18"/>
                <w:szCs w:val="18"/>
              </w:rPr>
            </w:pPr>
            <w:r>
              <w:rPr>
                <w:rFonts w:hint="eastAsia"/>
                <w:sz w:val="18"/>
                <w:szCs w:val="18"/>
              </w:rPr>
              <w:t>（4）</w:t>
            </w:r>
          </w:p>
        </w:tc>
      </w:tr>
      <w:tr>
        <w:tblPrEx>
          <w:tblLayout w:type="fixed"/>
          <w:tblCellMar>
            <w:top w:w="0" w:type="dxa"/>
            <w:left w:w="108" w:type="dxa"/>
            <w:bottom w:w="0" w:type="dxa"/>
            <w:right w:w="108" w:type="dxa"/>
          </w:tblCellMar>
        </w:tblPrEx>
        <w:trPr>
          <w:trHeight w:val="317" w:hRule="atLeast"/>
        </w:trPr>
        <w:tc>
          <w:tcPr>
            <w:tcW w:w="1855" w:type="dxa"/>
            <w:vMerge w:val="continue"/>
            <w:tcBorders>
              <w:left w:val="nil"/>
              <w:right w:val="single" w:color="auto" w:sz="4" w:space="0"/>
            </w:tcBorders>
            <w:vAlign w:val="center"/>
          </w:tcPr>
          <w:p>
            <w:pPr>
              <w:spacing w:line="300" w:lineRule="exact"/>
              <w:jc w:val="center"/>
              <w:rPr>
                <w:sz w:val="18"/>
                <w:szCs w:val="18"/>
              </w:rPr>
            </w:pPr>
          </w:p>
        </w:tc>
        <w:tc>
          <w:tcPr>
            <w:tcW w:w="1685" w:type="dxa"/>
            <w:gridSpan w:val="2"/>
            <w:tcBorders>
              <w:top w:val="nil"/>
              <w:left w:val="single" w:color="auto" w:sz="4" w:space="0"/>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企业产能利用率1</w:t>
            </w:r>
          </w:p>
        </w:tc>
        <w:tc>
          <w:tcPr>
            <w:tcW w:w="1685" w:type="dxa"/>
            <w:gridSpan w:val="2"/>
            <w:tcBorders>
              <w:top w:val="nil"/>
              <w:left w:val="single" w:color="auto" w:sz="4" w:space="0"/>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企业产能利用率2</w:t>
            </w:r>
          </w:p>
        </w:tc>
        <w:tc>
          <w:tcPr>
            <w:tcW w:w="1685" w:type="dxa"/>
            <w:gridSpan w:val="2"/>
            <w:tcBorders>
              <w:top w:val="nil"/>
              <w:left w:val="single" w:color="auto" w:sz="4" w:space="0"/>
              <w:bottom w:val="single" w:color="auto" w:sz="4" w:space="0"/>
              <w:right w:val="single" w:color="auto" w:sz="4" w:space="0"/>
              <w:tl2br w:val="nil"/>
              <w:tr2bl w:val="nil"/>
            </w:tcBorders>
            <w:vAlign w:val="center"/>
          </w:tcPr>
          <w:p>
            <w:pPr>
              <w:spacing w:line="300" w:lineRule="exact"/>
              <w:jc w:val="center"/>
              <w:rPr>
                <w:i/>
                <w:iCs/>
                <w:sz w:val="18"/>
                <w:szCs w:val="18"/>
              </w:rPr>
            </w:pPr>
            <w:r>
              <w:rPr>
                <w:rFonts w:hint="eastAsia"/>
                <w:sz w:val="18"/>
                <w:szCs w:val="18"/>
              </w:rPr>
              <w:t>企业产能利用率</w:t>
            </w:r>
          </w:p>
        </w:tc>
        <w:tc>
          <w:tcPr>
            <w:tcW w:w="1686" w:type="dxa"/>
            <w:gridSpan w:val="2"/>
            <w:tcBorders>
              <w:top w:val="nil"/>
              <w:left w:val="single" w:color="auto" w:sz="4" w:space="0"/>
              <w:bottom w:val="single" w:color="auto" w:sz="4" w:space="0"/>
              <w:right w:val="nil"/>
              <w:tl2br w:val="nil"/>
              <w:tr2bl w:val="nil"/>
            </w:tcBorders>
            <w:vAlign w:val="center"/>
          </w:tcPr>
          <w:p>
            <w:pPr>
              <w:spacing w:line="300" w:lineRule="exact"/>
              <w:jc w:val="center"/>
              <w:rPr>
                <w:i/>
                <w:iCs/>
                <w:sz w:val="18"/>
                <w:szCs w:val="18"/>
              </w:rPr>
            </w:pPr>
            <w:r>
              <w:rPr>
                <w:rFonts w:hint="eastAsia"/>
                <w:sz w:val="18"/>
                <w:szCs w:val="18"/>
              </w:rPr>
              <w:t>企业产能利用率</w:t>
            </w:r>
          </w:p>
        </w:tc>
      </w:tr>
      <w:tr>
        <w:tblPrEx>
          <w:tblLayout w:type="fixed"/>
          <w:tblCellMar>
            <w:top w:w="0" w:type="dxa"/>
            <w:left w:w="108" w:type="dxa"/>
            <w:bottom w:w="0" w:type="dxa"/>
            <w:right w:w="108" w:type="dxa"/>
          </w:tblCellMar>
        </w:tblPrEx>
        <w:trPr>
          <w:trHeight w:val="317" w:hRule="atLeast"/>
        </w:trPr>
        <w:tc>
          <w:tcPr>
            <w:tcW w:w="1855" w:type="dxa"/>
            <w:vMerge w:val="continue"/>
            <w:tcBorders>
              <w:left w:val="nil"/>
              <w:bottom w:val="single" w:color="auto" w:sz="4" w:space="0"/>
              <w:right w:val="single" w:color="auto" w:sz="4" w:space="0"/>
            </w:tcBorders>
            <w:vAlign w:val="center"/>
          </w:tcPr>
          <w:p>
            <w:pPr>
              <w:spacing w:line="300" w:lineRule="exact"/>
              <w:jc w:val="center"/>
              <w:rPr>
                <w:sz w:val="18"/>
                <w:szCs w:val="18"/>
              </w:rPr>
            </w:pPr>
          </w:p>
        </w:tc>
        <w:tc>
          <w:tcPr>
            <w:tcW w:w="842" w:type="dxa"/>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843" w:type="dxa"/>
            <w:tcBorders>
              <w:top w:val="single" w:color="auto" w:sz="4" w:space="0"/>
              <w:left w:val="nil"/>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标准误</w:t>
            </w:r>
          </w:p>
        </w:tc>
        <w:tc>
          <w:tcPr>
            <w:tcW w:w="842" w:type="dxa"/>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843" w:type="dxa"/>
            <w:tcBorders>
              <w:top w:val="single" w:color="auto" w:sz="4" w:space="0"/>
              <w:left w:val="nil"/>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标准误</w:t>
            </w:r>
          </w:p>
        </w:tc>
        <w:tc>
          <w:tcPr>
            <w:tcW w:w="842" w:type="dxa"/>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843" w:type="dxa"/>
            <w:tcBorders>
              <w:top w:val="single" w:color="auto" w:sz="4" w:space="0"/>
              <w:left w:val="nil"/>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标准误</w:t>
            </w:r>
          </w:p>
        </w:tc>
        <w:tc>
          <w:tcPr>
            <w:tcW w:w="843" w:type="dxa"/>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843" w:type="dxa"/>
            <w:tcBorders>
              <w:top w:val="single" w:color="auto" w:sz="4" w:space="0"/>
              <w:left w:val="nil"/>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标准误</w:t>
            </w:r>
          </w:p>
        </w:tc>
      </w:tr>
      <w:tr>
        <w:tblPrEx>
          <w:tblLayout w:type="fixed"/>
          <w:tblCellMar>
            <w:top w:w="0" w:type="dxa"/>
            <w:left w:w="108" w:type="dxa"/>
            <w:bottom w:w="0" w:type="dxa"/>
            <w:right w:w="108" w:type="dxa"/>
          </w:tblCellMar>
        </w:tblPrEx>
        <w:trPr>
          <w:trHeight w:val="317" w:hRule="atLeast"/>
        </w:trPr>
        <w:tc>
          <w:tcPr>
            <w:tcW w:w="1855" w:type="dxa"/>
            <w:tcBorders>
              <w:top w:val="single" w:color="auto" w:sz="4" w:space="0"/>
              <w:left w:val="nil"/>
              <w:bottom w:val="nil"/>
              <w:right w:val="single" w:color="auto" w:sz="4" w:space="0"/>
              <w:tl2br w:val="nil"/>
              <w:tr2bl w:val="nil"/>
            </w:tcBorders>
            <w:vAlign w:val="center"/>
          </w:tcPr>
          <w:p>
            <w:pPr>
              <w:spacing w:line="300" w:lineRule="exact"/>
              <w:jc w:val="left"/>
              <w:rPr>
                <w:i/>
                <w:iCs/>
                <w:sz w:val="18"/>
                <w:szCs w:val="18"/>
              </w:rPr>
            </w:pPr>
            <w:r>
              <w:rPr>
                <w:rFonts w:hint="eastAsia"/>
                <w:sz w:val="18"/>
                <w:szCs w:val="18"/>
              </w:rPr>
              <w:t>全国统一大市场建设</w:t>
            </w:r>
          </w:p>
        </w:tc>
        <w:tc>
          <w:tcPr>
            <w:tcW w:w="842"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0.035</w:t>
            </w:r>
            <w:r>
              <w:rPr>
                <w:sz w:val="18"/>
                <w:szCs w:val="18"/>
                <w:vertAlign w:val="superscript"/>
              </w:rPr>
              <w:t>***</w:t>
            </w:r>
          </w:p>
        </w:tc>
        <w:tc>
          <w:tcPr>
            <w:tcW w:w="843" w:type="dxa"/>
            <w:tcBorders>
              <w:top w:val="single" w:color="auto" w:sz="4" w:space="0"/>
              <w:left w:val="nil"/>
              <w:bottom w:val="nil"/>
              <w:right w:val="single" w:color="auto" w:sz="4" w:space="0"/>
              <w:tl2br w:val="nil"/>
              <w:tr2bl w:val="nil"/>
            </w:tcBorders>
            <w:vAlign w:val="center"/>
          </w:tcPr>
          <w:p>
            <w:pPr>
              <w:spacing w:line="300" w:lineRule="exact"/>
              <w:jc w:val="center"/>
              <w:rPr>
                <w:sz w:val="18"/>
                <w:szCs w:val="18"/>
              </w:rPr>
            </w:pPr>
            <w:r>
              <w:rPr>
                <w:sz w:val="18"/>
                <w:szCs w:val="18"/>
              </w:rPr>
              <w:t>0.013</w:t>
            </w:r>
          </w:p>
        </w:tc>
        <w:tc>
          <w:tcPr>
            <w:tcW w:w="842"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0.158</w:t>
            </w:r>
            <w:r>
              <w:rPr>
                <w:sz w:val="18"/>
                <w:szCs w:val="18"/>
                <w:vertAlign w:val="superscript"/>
              </w:rPr>
              <w:t>*</w:t>
            </w:r>
          </w:p>
        </w:tc>
        <w:tc>
          <w:tcPr>
            <w:tcW w:w="843" w:type="dxa"/>
            <w:tcBorders>
              <w:top w:val="single" w:color="auto" w:sz="4" w:space="0"/>
              <w:left w:val="nil"/>
              <w:bottom w:val="nil"/>
              <w:right w:val="single" w:color="auto" w:sz="4" w:space="0"/>
              <w:tl2br w:val="nil"/>
              <w:tr2bl w:val="nil"/>
            </w:tcBorders>
            <w:vAlign w:val="center"/>
          </w:tcPr>
          <w:p>
            <w:pPr>
              <w:spacing w:line="300" w:lineRule="exact"/>
              <w:jc w:val="center"/>
              <w:rPr>
                <w:sz w:val="18"/>
                <w:szCs w:val="18"/>
              </w:rPr>
            </w:pPr>
            <w:r>
              <w:rPr>
                <w:sz w:val="18"/>
                <w:szCs w:val="18"/>
              </w:rPr>
              <w:t>0.088</w:t>
            </w:r>
          </w:p>
        </w:tc>
        <w:tc>
          <w:tcPr>
            <w:tcW w:w="842"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single" w:color="auto" w:sz="4" w:space="0"/>
              <w:left w:val="nil"/>
              <w:bottom w:val="nil"/>
              <w:right w:val="single" w:color="auto" w:sz="4" w:space="0"/>
              <w:tl2br w:val="nil"/>
              <w:tr2bl w:val="nil"/>
            </w:tcBorders>
            <w:vAlign w:val="center"/>
          </w:tcPr>
          <w:p>
            <w:pPr>
              <w:spacing w:line="300" w:lineRule="exact"/>
              <w:jc w:val="center"/>
              <w:rPr>
                <w:sz w:val="18"/>
                <w:szCs w:val="18"/>
              </w:rPr>
            </w:pPr>
          </w:p>
        </w:tc>
        <w:tc>
          <w:tcPr>
            <w:tcW w:w="843"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single" w:color="auto" w:sz="4" w:space="0"/>
              <w:left w:val="nil"/>
              <w:bottom w:val="nil"/>
              <w:right w:val="nil"/>
              <w:tl2br w:val="nil"/>
              <w:tr2bl w:val="nil"/>
            </w:tcBorders>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全国统一大市场建设1</w:t>
            </w:r>
          </w:p>
        </w:tc>
        <w:tc>
          <w:tcPr>
            <w:tcW w:w="842"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nil"/>
              <w:left w:val="nil"/>
              <w:bottom w:val="nil"/>
              <w:right w:val="single" w:color="auto" w:sz="4" w:space="0"/>
              <w:tl2br w:val="nil"/>
              <w:tr2bl w:val="nil"/>
            </w:tcBorders>
            <w:vAlign w:val="center"/>
          </w:tcPr>
          <w:p>
            <w:pPr>
              <w:spacing w:line="300" w:lineRule="exact"/>
              <w:jc w:val="center"/>
              <w:rPr>
                <w:sz w:val="18"/>
                <w:szCs w:val="18"/>
              </w:rPr>
            </w:pPr>
          </w:p>
        </w:tc>
        <w:tc>
          <w:tcPr>
            <w:tcW w:w="842"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nil"/>
              <w:left w:val="nil"/>
              <w:bottom w:val="nil"/>
              <w:right w:val="single" w:color="auto" w:sz="4" w:space="0"/>
              <w:tl2br w:val="nil"/>
              <w:tr2bl w:val="nil"/>
            </w:tcBorders>
            <w:vAlign w:val="center"/>
          </w:tcPr>
          <w:p>
            <w:pPr>
              <w:spacing w:line="300" w:lineRule="exact"/>
              <w:jc w:val="center"/>
              <w:rPr>
                <w:sz w:val="18"/>
                <w:szCs w:val="18"/>
              </w:rPr>
            </w:pPr>
          </w:p>
        </w:tc>
        <w:tc>
          <w:tcPr>
            <w:tcW w:w="842" w:type="dxa"/>
            <w:tcBorders>
              <w:top w:val="nil"/>
              <w:left w:val="single" w:color="auto" w:sz="4" w:space="0"/>
              <w:bottom w:val="nil"/>
              <w:right w:val="nil"/>
              <w:tl2br w:val="nil"/>
              <w:tr2bl w:val="nil"/>
            </w:tcBorders>
            <w:vAlign w:val="center"/>
          </w:tcPr>
          <w:p>
            <w:pPr>
              <w:spacing w:line="300" w:lineRule="exact"/>
              <w:jc w:val="center"/>
              <w:rPr>
                <w:sz w:val="18"/>
                <w:szCs w:val="18"/>
              </w:rPr>
            </w:pPr>
            <w:r>
              <w:rPr>
                <w:sz w:val="18"/>
                <w:szCs w:val="18"/>
              </w:rPr>
              <w:t>0.025</w:t>
            </w:r>
            <w:r>
              <w:rPr>
                <w:sz w:val="18"/>
                <w:szCs w:val="18"/>
                <w:vertAlign w:val="superscript"/>
              </w:rPr>
              <w:t>***</w:t>
            </w:r>
          </w:p>
        </w:tc>
        <w:tc>
          <w:tcPr>
            <w:tcW w:w="843" w:type="dxa"/>
            <w:tcBorders>
              <w:top w:val="nil"/>
              <w:left w:val="nil"/>
              <w:bottom w:val="nil"/>
              <w:right w:val="single" w:color="auto" w:sz="4" w:space="0"/>
              <w:tl2br w:val="nil"/>
              <w:tr2bl w:val="nil"/>
            </w:tcBorders>
            <w:vAlign w:val="center"/>
          </w:tcPr>
          <w:p>
            <w:pPr>
              <w:spacing w:line="300" w:lineRule="exact"/>
              <w:jc w:val="center"/>
              <w:rPr>
                <w:sz w:val="18"/>
                <w:szCs w:val="18"/>
              </w:rPr>
            </w:pPr>
            <w:r>
              <w:rPr>
                <w:sz w:val="18"/>
                <w:szCs w:val="18"/>
              </w:rPr>
              <w:t>0.008</w:t>
            </w:r>
          </w:p>
        </w:tc>
        <w:tc>
          <w:tcPr>
            <w:tcW w:w="843"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nil"/>
              <w:left w:val="nil"/>
              <w:bottom w:val="nil"/>
              <w:right w:val="nil"/>
              <w:tl2br w:val="nil"/>
              <w:tr2bl w:val="nil"/>
            </w:tcBorders>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全国统一大市场建设2</w:t>
            </w:r>
          </w:p>
        </w:tc>
        <w:tc>
          <w:tcPr>
            <w:tcW w:w="842"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nil"/>
              <w:left w:val="nil"/>
              <w:bottom w:val="nil"/>
              <w:right w:val="single" w:color="auto" w:sz="4" w:space="0"/>
              <w:tl2br w:val="nil"/>
              <w:tr2bl w:val="nil"/>
            </w:tcBorders>
            <w:vAlign w:val="center"/>
          </w:tcPr>
          <w:p>
            <w:pPr>
              <w:spacing w:line="300" w:lineRule="exact"/>
              <w:jc w:val="center"/>
              <w:rPr>
                <w:sz w:val="18"/>
                <w:szCs w:val="18"/>
              </w:rPr>
            </w:pPr>
          </w:p>
        </w:tc>
        <w:tc>
          <w:tcPr>
            <w:tcW w:w="842"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nil"/>
              <w:left w:val="nil"/>
              <w:bottom w:val="nil"/>
              <w:right w:val="single" w:color="auto" w:sz="4" w:space="0"/>
              <w:tl2br w:val="nil"/>
              <w:tr2bl w:val="nil"/>
            </w:tcBorders>
            <w:vAlign w:val="center"/>
          </w:tcPr>
          <w:p>
            <w:pPr>
              <w:spacing w:line="300" w:lineRule="exact"/>
              <w:jc w:val="center"/>
              <w:rPr>
                <w:sz w:val="18"/>
                <w:szCs w:val="18"/>
              </w:rPr>
            </w:pPr>
          </w:p>
        </w:tc>
        <w:tc>
          <w:tcPr>
            <w:tcW w:w="842"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843" w:type="dxa"/>
            <w:tcBorders>
              <w:top w:val="nil"/>
              <w:left w:val="nil"/>
              <w:bottom w:val="nil"/>
              <w:right w:val="single" w:color="auto" w:sz="4" w:space="0"/>
              <w:tl2br w:val="nil"/>
              <w:tr2bl w:val="nil"/>
            </w:tcBorders>
            <w:vAlign w:val="center"/>
          </w:tcPr>
          <w:p>
            <w:pPr>
              <w:spacing w:line="300" w:lineRule="exact"/>
              <w:jc w:val="center"/>
              <w:rPr>
                <w:sz w:val="18"/>
                <w:szCs w:val="18"/>
              </w:rPr>
            </w:pPr>
          </w:p>
        </w:tc>
        <w:tc>
          <w:tcPr>
            <w:tcW w:w="843" w:type="dxa"/>
            <w:tcBorders>
              <w:top w:val="nil"/>
              <w:left w:val="single" w:color="auto" w:sz="4" w:space="0"/>
              <w:bottom w:val="nil"/>
              <w:right w:val="nil"/>
              <w:tl2br w:val="nil"/>
              <w:tr2bl w:val="nil"/>
            </w:tcBorders>
            <w:vAlign w:val="center"/>
          </w:tcPr>
          <w:p>
            <w:pPr>
              <w:spacing w:line="300" w:lineRule="exact"/>
              <w:jc w:val="center"/>
              <w:rPr>
                <w:sz w:val="18"/>
                <w:szCs w:val="18"/>
              </w:rPr>
            </w:pPr>
            <w:r>
              <w:rPr>
                <w:sz w:val="18"/>
                <w:szCs w:val="18"/>
              </w:rPr>
              <w:t>0.034</w:t>
            </w:r>
            <w:r>
              <w:rPr>
                <w:sz w:val="18"/>
                <w:szCs w:val="18"/>
                <w:vertAlign w:val="superscript"/>
              </w:rPr>
              <w:t>**</w:t>
            </w:r>
          </w:p>
        </w:tc>
        <w:tc>
          <w:tcPr>
            <w:tcW w:w="843" w:type="dxa"/>
            <w:tcBorders>
              <w:top w:val="nil"/>
              <w:left w:val="nil"/>
              <w:bottom w:val="nil"/>
              <w:right w:val="nil"/>
              <w:tl2br w:val="nil"/>
              <w:tr2bl w:val="nil"/>
            </w:tcBorders>
            <w:vAlign w:val="center"/>
          </w:tcPr>
          <w:p>
            <w:pPr>
              <w:spacing w:line="300" w:lineRule="exact"/>
              <w:jc w:val="center"/>
              <w:rPr>
                <w:sz w:val="18"/>
                <w:szCs w:val="18"/>
              </w:rPr>
            </w:pPr>
            <w:r>
              <w:rPr>
                <w:sz w:val="18"/>
                <w:szCs w:val="18"/>
              </w:rPr>
              <w:t>0.015</w:t>
            </w: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企业控制变量</w:t>
            </w:r>
          </w:p>
        </w:tc>
        <w:tc>
          <w:tcPr>
            <w:tcW w:w="1685" w:type="dxa"/>
            <w:gridSpan w:val="2"/>
            <w:tcBorders>
              <w:top w:val="nil"/>
              <w:left w:val="single" w:color="auto" w:sz="4" w:space="0"/>
              <w:bottom w:val="nil"/>
              <w:right w:val="single" w:color="auto" w:sz="4" w:space="0"/>
              <w:tl2br w:val="nil"/>
              <w:tr2bl w:val="nil"/>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l2br w:val="nil"/>
              <w:tr2bl w:val="nil"/>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l2br w:val="nil"/>
              <w:tr2bl w:val="nil"/>
            </w:tcBorders>
            <w:vAlign w:val="center"/>
          </w:tcPr>
          <w:p>
            <w:pPr>
              <w:spacing w:line="300" w:lineRule="exact"/>
              <w:jc w:val="center"/>
              <w:rPr>
                <w:rFonts w:ascii="Calibri" w:hAnsi="Calibri"/>
              </w:rPr>
            </w:pPr>
            <w:r>
              <w:rPr>
                <w:rFonts w:hint="eastAsia"/>
                <w:sz w:val="18"/>
                <w:szCs w:val="18"/>
              </w:rPr>
              <w:t>已控制</w:t>
            </w:r>
          </w:p>
        </w:tc>
        <w:tc>
          <w:tcPr>
            <w:tcW w:w="1686" w:type="dxa"/>
            <w:gridSpan w:val="2"/>
            <w:tcBorders>
              <w:top w:val="nil"/>
              <w:left w:val="single" w:color="auto" w:sz="4" w:space="0"/>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城市控制变量</w:t>
            </w:r>
          </w:p>
        </w:tc>
        <w:tc>
          <w:tcPr>
            <w:tcW w:w="1685" w:type="dxa"/>
            <w:gridSpan w:val="2"/>
            <w:tcBorders>
              <w:top w:val="nil"/>
              <w:left w:val="single" w:color="auto" w:sz="4" w:space="0"/>
              <w:bottom w:val="nil"/>
              <w:right w:val="single" w:color="auto" w:sz="4" w:space="0"/>
              <w:tl2br w:val="nil"/>
              <w:tr2bl w:val="nil"/>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l2br w:val="nil"/>
              <w:tr2bl w:val="nil"/>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l2br w:val="nil"/>
              <w:tr2bl w:val="nil"/>
            </w:tcBorders>
            <w:vAlign w:val="center"/>
          </w:tcPr>
          <w:p>
            <w:pPr>
              <w:spacing w:line="300" w:lineRule="exact"/>
              <w:jc w:val="center"/>
              <w:rPr>
                <w:rFonts w:ascii="Calibri" w:hAnsi="Calibri"/>
              </w:rPr>
            </w:pPr>
            <w:r>
              <w:rPr>
                <w:rFonts w:hint="eastAsia"/>
                <w:sz w:val="18"/>
                <w:szCs w:val="18"/>
              </w:rPr>
              <w:t>已控制</w:t>
            </w:r>
          </w:p>
        </w:tc>
        <w:tc>
          <w:tcPr>
            <w:tcW w:w="1686" w:type="dxa"/>
            <w:gridSpan w:val="2"/>
            <w:tcBorders>
              <w:top w:val="nil"/>
              <w:left w:val="single" w:color="auto" w:sz="4" w:space="0"/>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1685"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6" w:type="dxa"/>
            <w:gridSpan w:val="2"/>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1685"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6" w:type="dxa"/>
            <w:gridSpan w:val="2"/>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1685" w:type="dxa"/>
            <w:gridSpan w:val="2"/>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5" w:type="dxa"/>
            <w:gridSpan w:val="2"/>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686" w:type="dxa"/>
            <w:gridSpan w:val="2"/>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55" w:type="dxa"/>
            <w:tcBorders>
              <w:top w:val="single" w:color="auto" w:sz="4" w:space="0"/>
              <w:left w:val="nil"/>
              <w:bottom w:val="nil"/>
              <w:right w:val="single" w:color="auto" w:sz="4" w:space="0"/>
            </w:tcBorders>
            <w:vAlign w:val="center"/>
          </w:tcPr>
          <w:p>
            <w:pPr>
              <w:spacing w:line="300" w:lineRule="exact"/>
              <w:jc w:val="left"/>
              <w:rPr>
                <w:sz w:val="18"/>
                <w:szCs w:val="18"/>
              </w:rPr>
            </w:pPr>
            <w:r>
              <w:rPr>
                <w:rFonts w:hint="eastAsia"/>
                <w:sz w:val="18"/>
                <w:szCs w:val="18"/>
              </w:rPr>
              <w:t>观测值</w:t>
            </w:r>
          </w:p>
        </w:tc>
        <w:tc>
          <w:tcPr>
            <w:tcW w:w="1685" w:type="dxa"/>
            <w:gridSpan w:val="2"/>
            <w:tcBorders>
              <w:top w:val="single" w:color="auto" w:sz="4" w:space="0"/>
              <w:left w:val="single" w:color="auto" w:sz="4" w:space="0"/>
              <w:bottom w:val="nil"/>
              <w:right w:val="single" w:color="auto" w:sz="4" w:space="0"/>
            </w:tcBorders>
            <w:vAlign w:val="center"/>
          </w:tcPr>
          <w:p>
            <w:pPr>
              <w:spacing w:line="300" w:lineRule="exact"/>
              <w:jc w:val="center"/>
              <w:rPr>
                <w:sz w:val="18"/>
                <w:szCs w:val="18"/>
              </w:rPr>
            </w:pPr>
            <w:r>
              <w:rPr>
                <w:sz w:val="18"/>
                <w:szCs w:val="18"/>
              </w:rPr>
              <w:t>31903</w:t>
            </w:r>
          </w:p>
        </w:tc>
        <w:tc>
          <w:tcPr>
            <w:tcW w:w="1685" w:type="dxa"/>
            <w:gridSpan w:val="2"/>
            <w:tcBorders>
              <w:top w:val="single" w:color="auto" w:sz="4" w:space="0"/>
              <w:left w:val="single" w:color="auto" w:sz="4" w:space="0"/>
              <w:bottom w:val="nil"/>
              <w:right w:val="single" w:color="auto" w:sz="4" w:space="0"/>
            </w:tcBorders>
            <w:vAlign w:val="center"/>
          </w:tcPr>
          <w:p>
            <w:pPr>
              <w:spacing w:line="300" w:lineRule="exact"/>
              <w:jc w:val="center"/>
              <w:rPr>
                <w:sz w:val="18"/>
                <w:szCs w:val="18"/>
              </w:rPr>
            </w:pPr>
            <w:r>
              <w:rPr>
                <w:sz w:val="18"/>
                <w:szCs w:val="18"/>
              </w:rPr>
              <w:t>31845</w:t>
            </w:r>
          </w:p>
        </w:tc>
        <w:tc>
          <w:tcPr>
            <w:tcW w:w="1685" w:type="dxa"/>
            <w:gridSpan w:val="2"/>
            <w:tcBorders>
              <w:top w:val="single" w:color="auto" w:sz="4" w:space="0"/>
              <w:left w:val="single" w:color="auto" w:sz="4" w:space="0"/>
              <w:bottom w:val="nil"/>
              <w:right w:val="single" w:color="auto" w:sz="4" w:space="0"/>
            </w:tcBorders>
            <w:vAlign w:val="center"/>
          </w:tcPr>
          <w:p>
            <w:pPr>
              <w:spacing w:line="300" w:lineRule="exact"/>
              <w:jc w:val="center"/>
              <w:rPr>
                <w:sz w:val="18"/>
                <w:szCs w:val="18"/>
              </w:rPr>
            </w:pPr>
            <w:r>
              <w:rPr>
                <w:sz w:val="18"/>
                <w:szCs w:val="18"/>
              </w:rPr>
              <w:t>31903</w:t>
            </w:r>
          </w:p>
        </w:tc>
        <w:tc>
          <w:tcPr>
            <w:tcW w:w="1686" w:type="dxa"/>
            <w:gridSpan w:val="2"/>
            <w:tcBorders>
              <w:top w:val="single" w:color="auto" w:sz="4" w:space="0"/>
              <w:left w:val="single" w:color="auto" w:sz="4" w:space="0"/>
              <w:bottom w:val="nil"/>
              <w:right w:val="nil"/>
            </w:tcBorders>
            <w:vAlign w:val="center"/>
          </w:tcPr>
          <w:p>
            <w:pPr>
              <w:spacing w:line="300" w:lineRule="exact"/>
              <w:jc w:val="center"/>
              <w:rPr>
                <w:sz w:val="18"/>
                <w:szCs w:val="18"/>
              </w:rPr>
            </w:pPr>
            <w:r>
              <w:rPr>
                <w:sz w:val="18"/>
                <w:szCs w:val="18"/>
              </w:rPr>
              <w:t>31903</w:t>
            </w:r>
          </w:p>
        </w:tc>
      </w:tr>
      <w:tr>
        <w:tblPrEx>
          <w:tblLayout w:type="fixed"/>
          <w:tblCellMar>
            <w:top w:w="0" w:type="dxa"/>
            <w:left w:w="108" w:type="dxa"/>
            <w:bottom w:w="0" w:type="dxa"/>
            <w:right w:w="108" w:type="dxa"/>
          </w:tblCellMar>
        </w:tblPrEx>
        <w:trPr>
          <w:trHeight w:val="317" w:hRule="atLeast"/>
        </w:trPr>
        <w:tc>
          <w:tcPr>
            <w:tcW w:w="1855" w:type="dxa"/>
            <w:tcBorders>
              <w:top w:val="nil"/>
              <w:left w:val="nil"/>
              <w:bottom w:val="single" w:color="auto" w:sz="12" w:space="0"/>
              <w:right w:val="single" w:color="auto" w:sz="4" w:space="0"/>
            </w:tcBorders>
            <w:vAlign w:val="center"/>
          </w:tcPr>
          <w:p>
            <w:pPr>
              <w:spacing w:line="300" w:lineRule="exact"/>
              <w:jc w:val="left"/>
              <w:rPr>
                <w:sz w:val="18"/>
                <w:szCs w:val="18"/>
              </w:rPr>
            </w:pPr>
            <w:r>
              <w:rPr>
                <w:rFonts w:hint="eastAsia"/>
                <w:sz w:val="18"/>
                <w:szCs w:val="18"/>
              </w:rPr>
              <w:t>R</w:t>
            </w:r>
            <w:r>
              <w:rPr>
                <w:rFonts w:hint="eastAsia"/>
                <w:sz w:val="18"/>
                <w:szCs w:val="18"/>
                <w:vertAlign w:val="superscript"/>
              </w:rPr>
              <w:t>2</w:t>
            </w:r>
          </w:p>
        </w:tc>
        <w:tc>
          <w:tcPr>
            <w:tcW w:w="1685" w:type="dxa"/>
            <w:gridSpan w:val="2"/>
            <w:tcBorders>
              <w:top w:val="nil"/>
              <w:left w:val="single" w:color="auto" w:sz="4" w:space="0"/>
              <w:bottom w:val="single" w:color="auto" w:sz="12" w:space="0"/>
              <w:right w:val="single" w:color="auto" w:sz="4" w:space="0"/>
            </w:tcBorders>
            <w:vAlign w:val="center"/>
          </w:tcPr>
          <w:p>
            <w:pPr>
              <w:spacing w:line="300" w:lineRule="exact"/>
              <w:jc w:val="center"/>
              <w:rPr>
                <w:sz w:val="18"/>
                <w:szCs w:val="18"/>
              </w:rPr>
            </w:pPr>
            <w:r>
              <w:rPr>
                <w:sz w:val="18"/>
                <w:szCs w:val="18"/>
              </w:rPr>
              <w:t>0.938</w:t>
            </w:r>
          </w:p>
        </w:tc>
        <w:tc>
          <w:tcPr>
            <w:tcW w:w="1685" w:type="dxa"/>
            <w:gridSpan w:val="2"/>
            <w:tcBorders>
              <w:top w:val="nil"/>
              <w:left w:val="single" w:color="auto" w:sz="4" w:space="0"/>
              <w:bottom w:val="single" w:color="auto" w:sz="12" w:space="0"/>
              <w:right w:val="single" w:color="auto" w:sz="4" w:space="0"/>
            </w:tcBorders>
            <w:vAlign w:val="center"/>
          </w:tcPr>
          <w:p>
            <w:pPr>
              <w:spacing w:line="300" w:lineRule="exact"/>
              <w:jc w:val="center"/>
              <w:rPr>
                <w:sz w:val="18"/>
                <w:szCs w:val="18"/>
              </w:rPr>
            </w:pPr>
            <w:r>
              <w:rPr>
                <w:sz w:val="18"/>
                <w:szCs w:val="18"/>
              </w:rPr>
              <w:t>0.788</w:t>
            </w:r>
          </w:p>
        </w:tc>
        <w:tc>
          <w:tcPr>
            <w:tcW w:w="1685" w:type="dxa"/>
            <w:gridSpan w:val="2"/>
            <w:tcBorders>
              <w:top w:val="nil"/>
              <w:left w:val="single" w:color="auto" w:sz="4" w:space="0"/>
              <w:bottom w:val="single" w:color="auto" w:sz="12" w:space="0"/>
              <w:right w:val="single" w:color="auto" w:sz="4" w:space="0"/>
            </w:tcBorders>
            <w:vAlign w:val="center"/>
          </w:tcPr>
          <w:p>
            <w:pPr>
              <w:spacing w:line="300" w:lineRule="exact"/>
              <w:jc w:val="center"/>
              <w:rPr>
                <w:sz w:val="18"/>
                <w:szCs w:val="18"/>
              </w:rPr>
            </w:pPr>
            <w:r>
              <w:rPr>
                <w:sz w:val="18"/>
                <w:szCs w:val="18"/>
              </w:rPr>
              <w:t>0.966</w:t>
            </w:r>
          </w:p>
        </w:tc>
        <w:tc>
          <w:tcPr>
            <w:tcW w:w="1686" w:type="dxa"/>
            <w:gridSpan w:val="2"/>
            <w:tcBorders>
              <w:top w:val="nil"/>
              <w:left w:val="single" w:color="auto" w:sz="4" w:space="0"/>
              <w:bottom w:val="single" w:color="auto" w:sz="12" w:space="0"/>
              <w:right w:val="nil"/>
            </w:tcBorders>
            <w:vAlign w:val="center"/>
          </w:tcPr>
          <w:p>
            <w:pPr>
              <w:spacing w:line="300" w:lineRule="exact"/>
              <w:jc w:val="center"/>
              <w:rPr>
                <w:sz w:val="18"/>
                <w:szCs w:val="18"/>
              </w:rPr>
            </w:pPr>
            <w:r>
              <w:rPr>
                <w:sz w:val="18"/>
                <w:szCs w:val="18"/>
              </w:rPr>
              <w:t>0.966</w:t>
            </w:r>
          </w:p>
        </w:tc>
      </w:tr>
    </w:tbl>
    <w:p>
      <w:pPr>
        <w:spacing w:line="240" w:lineRule="atLeast"/>
        <w:ind w:firstLine="332" w:firstLineChars="200"/>
        <w:rPr>
          <w:sz w:val="18"/>
          <w:szCs w:val="18"/>
        </w:rPr>
      </w:pPr>
      <w:bookmarkStart w:id="3" w:name="_Toc176434905"/>
      <w:r>
        <w:rPr>
          <w:rFonts w:hint="eastAsia"/>
          <w:sz w:val="18"/>
          <w:szCs w:val="18"/>
        </w:rPr>
        <w:t>注：①***、**和*分别表示1%、5%和10%的显著性水平；②标准误为聚类至城市层面的稳健标准误。</w:t>
      </w:r>
    </w:p>
    <w:p>
      <w:pPr>
        <w:spacing w:line="240" w:lineRule="atLeast"/>
        <w:ind w:firstLine="392" w:firstLineChars="200"/>
        <w:rPr>
          <w:szCs w:val="21"/>
        </w:rPr>
      </w:pPr>
      <w:r>
        <w:rPr>
          <w:rFonts w:hint="eastAsia" w:eastAsia="楷体" w:cs="Times New Roman (正文 CS 字体)"/>
          <w:szCs w:val="21"/>
        </w:rPr>
        <w:t>3.排除特殊事件影响</w:t>
      </w:r>
      <w:bookmarkEnd w:id="3"/>
      <w:r>
        <w:rPr>
          <w:rFonts w:hint="eastAsia" w:eastAsia="楷体" w:cs="Times New Roman (正文 CS 字体)"/>
          <w:szCs w:val="21"/>
        </w:rPr>
        <w:t>。</w:t>
      </w:r>
      <w:r>
        <w:rPr>
          <w:rFonts w:hint="eastAsia"/>
          <w:szCs w:val="21"/>
        </w:rPr>
        <w:t>第一，周期性产能过剩观点认为企业产能利用率会随着经济周期的波动而变化。当经济处于衰退期时，企业产能利用率往往偏低，而当经济逐渐复苏时，企业产能利用率随之提升。为排除经济周期对企业产能利用率的影响，本文参考陈冬等（2016）的做法，将中国每年的GDP增长速度与样本期内的均值相比较来测度经济周期变量。具体来说，如果当年的GDP增长速度高于样本期内的均值，则将该年视为经济扩张期，经济周期变量取值为1；若低于均值，则将该年视为经济衰退期，经济周期变量取值为0。本文在基准模型中引入全国统一大市场建设与经济周期变量的交乘项进行回归估计，结果见附表2（1）列。第二，由于企业的生产经营会受到重大事件冲击的影响，本文考虑2008年全球金融危机、2015年中国股市危机和2020年新冠疫情可能给企业产能利用率带来的外部冲击，</w:t>
      </w:r>
      <w:r>
        <w:rPr>
          <w:rFonts w:hint="eastAsia"/>
          <w:szCs w:val="21"/>
          <w:lang w:val="en-US" w:eastAsia="zh-CN"/>
        </w:rPr>
        <w:t>依次</w:t>
      </w:r>
      <w:r>
        <w:rPr>
          <w:rFonts w:hint="eastAsia"/>
          <w:szCs w:val="21"/>
        </w:rPr>
        <w:t>对剔除2008－2009年、2015年、2020－2021年以及上述</w:t>
      </w:r>
      <w:r>
        <w:rPr>
          <w:rFonts w:hint="eastAsia"/>
          <w:szCs w:val="21"/>
          <w:lang w:val="en-US" w:eastAsia="zh-CN"/>
        </w:rPr>
        <w:t>三个</w:t>
      </w:r>
      <w:r>
        <w:rPr>
          <w:rFonts w:hint="eastAsia"/>
          <w:szCs w:val="21"/>
        </w:rPr>
        <w:t>时间段的样本予以重新检验，估计结果分别见附表2（2）列～（5）列。可以发现，全国统一大市场建设促进企业产能利用率提升的结论仍然成立。</w:t>
      </w:r>
    </w:p>
    <w:p>
      <w:pPr>
        <w:pStyle w:val="2"/>
        <w:ind w:leftChars="0" w:firstLine="332" w:firstLineChars="200"/>
      </w:pPr>
      <w:r>
        <w:rPr>
          <w:rFonts w:hint="eastAsia" w:ascii="Times New Roman" w:eastAsia="黑体" w:cs="Times New Roman"/>
          <w:sz w:val="18"/>
          <w:szCs w:val="18"/>
        </w:rPr>
        <w:t>附表2                           排除特殊事件影响的稳健性检验结果</w:t>
      </w:r>
    </w:p>
    <w:tbl>
      <w:tblPr>
        <w:tblStyle w:val="33"/>
        <w:tblW w:w="8607" w:type="dxa"/>
        <w:tblInd w:w="102" w:type="dxa"/>
        <w:tblLayout w:type="fixed"/>
        <w:tblCellMar>
          <w:top w:w="0" w:type="dxa"/>
          <w:left w:w="108" w:type="dxa"/>
          <w:bottom w:w="0" w:type="dxa"/>
          <w:right w:w="108" w:type="dxa"/>
        </w:tblCellMar>
      </w:tblPr>
      <w:tblGrid>
        <w:gridCol w:w="1892"/>
        <w:gridCol w:w="1331"/>
        <w:gridCol w:w="1346"/>
        <w:gridCol w:w="1346"/>
        <w:gridCol w:w="1346"/>
        <w:gridCol w:w="1346"/>
      </w:tblGrid>
      <w:tr>
        <w:tblPrEx>
          <w:tblLayout w:type="fixed"/>
          <w:tblCellMar>
            <w:top w:w="0" w:type="dxa"/>
            <w:left w:w="108" w:type="dxa"/>
            <w:bottom w:w="0" w:type="dxa"/>
            <w:right w:w="108" w:type="dxa"/>
          </w:tblCellMar>
        </w:tblPrEx>
        <w:trPr>
          <w:trHeight w:val="317" w:hRule="atLeast"/>
        </w:trPr>
        <w:tc>
          <w:tcPr>
            <w:tcW w:w="1892" w:type="dxa"/>
            <w:vMerge w:val="restart"/>
            <w:tcBorders>
              <w:top w:val="single" w:color="auto" w:sz="12"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变量</w:t>
            </w:r>
          </w:p>
        </w:tc>
        <w:tc>
          <w:tcPr>
            <w:tcW w:w="6715" w:type="dxa"/>
            <w:gridSpan w:val="5"/>
            <w:tcBorders>
              <w:top w:val="single" w:color="auto" w:sz="12" w:space="0"/>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企业产能利用率</w:t>
            </w:r>
          </w:p>
        </w:tc>
      </w:tr>
      <w:tr>
        <w:tblPrEx>
          <w:tblLayout w:type="fixed"/>
          <w:tblCellMar>
            <w:top w:w="0" w:type="dxa"/>
            <w:left w:w="108" w:type="dxa"/>
            <w:bottom w:w="0" w:type="dxa"/>
            <w:right w:w="108" w:type="dxa"/>
          </w:tblCellMar>
        </w:tblPrEx>
        <w:trPr>
          <w:trHeight w:val="317" w:hRule="atLeast"/>
        </w:trPr>
        <w:tc>
          <w:tcPr>
            <w:tcW w:w="1892"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1331" w:type="dxa"/>
            <w:tcBorders>
              <w:top w:val="single" w:color="auto" w:sz="4" w:space="0"/>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（1）</w:t>
            </w:r>
          </w:p>
        </w:tc>
        <w:tc>
          <w:tcPr>
            <w:tcW w:w="1346" w:type="dxa"/>
            <w:tcBorders>
              <w:top w:val="single" w:color="auto" w:sz="4" w:space="0"/>
              <w:left w:val="nil"/>
              <w:bottom w:val="single" w:color="auto" w:sz="4" w:space="0"/>
              <w:right w:val="nil"/>
            </w:tcBorders>
            <w:vAlign w:val="center"/>
          </w:tcPr>
          <w:p>
            <w:pPr>
              <w:spacing w:line="300" w:lineRule="exact"/>
              <w:jc w:val="center"/>
              <w:rPr>
                <w:sz w:val="18"/>
                <w:szCs w:val="18"/>
              </w:rPr>
            </w:pPr>
            <w:r>
              <w:rPr>
                <w:rFonts w:hint="eastAsia"/>
                <w:sz w:val="18"/>
                <w:szCs w:val="18"/>
              </w:rPr>
              <w:t>（2）</w:t>
            </w:r>
          </w:p>
        </w:tc>
        <w:tc>
          <w:tcPr>
            <w:tcW w:w="1346" w:type="dxa"/>
            <w:tcBorders>
              <w:top w:val="single" w:color="auto" w:sz="4" w:space="0"/>
              <w:left w:val="nil"/>
              <w:bottom w:val="single" w:color="auto" w:sz="4" w:space="0"/>
              <w:right w:val="nil"/>
            </w:tcBorders>
            <w:vAlign w:val="center"/>
          </w:tcPr>
          <w:p>
            <w:pPr>
              <w:spacing w:line="300" w:lineRule="exact"/>
              <w:jc w:val="center"/>
              <w:rPr>
                <w:sz w:val="18"/>
                <w:szCs w:val="18"/>
              </w:rPr>
            </w:pPr>
            <w:r>
              <w:rPr>
                <w:rFonts w:hint="eastAsia"/>
                <w:sz w:val="18"/>
                <w:szCs w:val="18"/>
              </w:rPr>
              <w:t>（3）</w:t>
            </w:r>
          </w:p>
        </w:tc>
        <w:tc>
          <w:tcPr>
            <w:tcW w:w="1346" w:type="dxa"/>
            <w:tcBorders>
              <w:top w:val="single" w:color="auto" w:sz="4" w:space="0"/>
              <w:left w:val="nil"/>
              <w:bottom w:val="single" w:color="auto" w:sz="4" w:space="0"/>
              <w:right w:val="nil"/>
            </w:tcBorders>
            <w:vAlign w:val="center"/>
          </w:tcPr>
          <w:p>
            <w:pPr>
              <w:spacing w:line="300" w:lineRule="exact"/>
              <w:jc w:val="center"/>
              <w:rPr>
                <w:sz w:val="18"/>
                <w:szCs w:val="18"/>
              </w:rPr>
            </w:pPr>
            <w:r>
              <w:rPr>
                <w:rFonts w:hint="eastAsia"/>
                <w:sz w:val="18"/>
                <w:szCs w:val="18"/>
              </w:rPr>
              <w:t>（4）</w:t>
            </w:r>
          </w:p>
        </w:tc>
        <w:tc>
          <w:tcPr>
            <w:tcW w:w="1346" w:type="dxa"/>
            <w:tcBorders>
              <w:top w:val="single" w:color="auto" w:sz="4" w:space="0"/>
              <w:left w:val="nil"/>
              <w:bottom w:val="single" w:color="auto" w:sz="4" w:space="0"/>
              <w:right w:val="nil"/>
            </w:tcBorders>
            <w:vAlign w:val="center"/>
          </w:tcPr>
          <w:p>
            <w:pPr>
              <w:spacing w:line="300" w:lineRule="exact"/>
              <w:jc w:val="center"/>
              <w:rPr>
                <w:sz w:val="18"/>
                <w:szCs w:val="18"/>
              </w:rPr>
            </w:pPr>
            <w:r>
              <w:rPr>
                <w:rFonts w:hint="eastAsia"/>
                <w:sz w:val="18"/>
                <w:szCs w:val="18"/>
              </w:rPr>
              <w:t>（5）</w:t>
            </w:r>
          </w:p>
        </w:tc>
      </w:tr>
      <w:tr>
        <w:tblPrEx>
          <w:tblLayout w:type="fixed"/>
          <w:tblCellMar>
            <w:top w:w="0" w:type="dxa"/>
            <w:left w:w="108" w:type="dxa"/>
            <w:bottom w:w="0" w:type="dxa"/>
            <w:right w:w="108" w:type="dxa"/>
          </w:tblCellMar>
        </w:tblPrEx>
        <w:trPr>
          <w:trHeight w:val="317" w:hRule="atLeast"/>
        </w:trPr>
        <w:tc>
          <w:tcPr>
            <w:tcW w:w="1892" w:type="dxa"/>
            <w:tcBorders>
              <w:top w:val="single" w:color="auto" w:sz="4" w:space="0"/>
              <w:left w:val="nil"/>
              <w:bottom w:val="nil"/>
              <w:right w:val="single" w:color="auto" w:sz="4" w:space="0"/>
              <w:tl2br w:val="nil"/>
              <w:tr2bl w:val="nil"/>
            </w:tcBorders>
            <w:vAlign w:val="center"/>
          </w:tcPr>
          <w:p>
            <w:pPr>
              <w:spacing w:line="300" w:lineRule="exact"/>
              <w:jc w:val="left"/>
              <w:rPr>
                <w:i/>
                <w:iCs/>
                <w:sz w:val="18"/>
                <w:szCs w:val="18"/>
              </w:rPr>
            </w:pPr>
            <w:r>
              <w:rPr>
                <w:rFonts w:hint="eastAsia"/>
                <w:sz w:val="18"/>
                <w:szCs w:val="18"/>
              </w:rPr>
              <w:t>全国统一大市场建设</w:t>
            </w:r>
          </w:p>
        </w:tc>
        <w:tc>
          <w:tcPr>
            <w:tcW w:w="1331"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0.017</w:t>
            </w:r>
            <w:r>
              <w:rPr>
                <w:sz w:val="18"/>
                <w:szCs w:val="18"/>
                <w:vertAlign w:val="superscript"/>
              </w:rPr>
              <w:t>***</w:t>
            </w:r>
          </w:p>
        </w:tc>
        <w:tc>
          <w:tcPr>
            <w:tcW w:w="1346" w:type="dxa"/>
            <w:tcBorders>
              <w:top w:val="single" w:color="auto" w:sz="4" w:space="0"/>
              <w:left w:val="nil"/>
              <w:bottom w:val="nil"/>
              <w:right w:val="nil"/>
              <w:tl2br w:val="nil"/>
              <w:tr2bl w:val="nil"/>
            </w:tcBorders>
            <w:vAlign w:val="center"/>
          </w:tcPr>
          <w:p>
            <w:pPr>
              <w:spacing w:line="300" w:lineRule="exact"/>
              <w:jc w:val="center"/>
              <w:rPr>
                <w:sz w:val="18"/>
                <w:szCs w:val="18"/>
              </w:rPr>
            </w:pPr>
            <w:r>
              <w:rPr>
                <w:sz w:val="18"/>
                <w:szCs w:val="18"/>
              </w:rPr>
              <w:t>0.022</w:t>
            </w:r>
            <w:r>
              <w:rPr>
                <w:sz w:val="18"/>
                <w:szCs w:val="18"/>
                <w:vertAlign w:val="superscript"/>
              </w:rPr>
              <w:t>***</w:t>
            </w:r>
          </w:p>
        </w:tc>
        <w:tc>
          <w:tcPr>
            <w:tcW w:w="1346" w:type="dxa"/>
            <w:tcBorders>
              <w:top w:val="single" w:color="auto" w:sz="4" w:space="0"/>
              <w:left w:val="nil"/>
              <w:bottom w:val="nil"/>
              <w:right w:val="nil"/>
              <w:tl2br w:val="nil"/>
              <w:tr2bl w:val="nil"/>
            </w:tcBorders>
            <w:vAlign w:val="center"/>
          </w:tcPr>
          <w:p>
            <w:pPr>
              <w:spacing w:line="300" w:lineRule="exact"/>
              <w:jc w:val="center"/>
              <w:rPr>
                <w:sz w:val="18"/>
                <w:szCs w:val="18"/>
              </w:rPr>
            </w:pPr>
            <w:r>
              <w:rPr>
                <w:sz w:val="18"/>
                <w:szCs w:val="18"/>
              </w:rPr>
              <w:t>0.026</w:t>
            </w:r>
            <w:r>
              <w:rPr>
                <w:sz w:val="18"/>
                <w:szCs w:val="18"/>
                <w:vertAlign w:val="superscript"/>
              </w:rPr>
              <w:t>***</w:t>
            </w:r>
          </w:p>
        </w:tc>
        <w:tc>
          <w:tcPr>
            <w:tcW w:w="1346" w:type="dxa"/>
            <w:tcBorders>
              <w:top w:val="single" w:color="auto" w:sz="4" w:space="0"/>
              <w:left w:val="nil"/>
              <w:bottom w:val="nil"/>
              <w:right w:val="nil"/>
              <w:tl2br w:val="nil"/>
              <w:tr2bl w:val="nil"/>
            </w:tcBorders>
            <w:vAlign w:val="center"/>
          </w:tcPr>
          <w:p>
            <w:pPr>
              <w:spacing w:line="300" w:lineRule="exact"/>
              <w:jc w:val="center"/>
              <w:rPr>
                <w:sz w:val="18"/>
                <w:szCs w:val="18"/>
              </w:rPr>
            </w:pPr>
            <w:r>
              <w:rPr>
                <w:sz w:val="18"/>
                <w:szCs w:val="18"/>
              </w:rPr>
              <w:t>0.028</w:t>
            </w:r>
            <w:r>
              <w:rPr>
                <w:sz w:val="18"/>
                <w:szCs w:val="18"/>
                <w:vertAlign w:val="superscript"/>
              </w:rPr>
              <w:t>***</w:t>
            </w:r>
          </w:p>
        </w:tc>
        <w:tc>
          <w:tcPr>
            <w:tcW w:w="1346" w:type="dxa"/>
            <w:tcBorders>
              <w:top w:val="single" w:color="auto" w:sz="4" w:space="0"/>
              <w:left w:val="nil"/>
              <w:bottom w:val="nil"/>
              <w:right w:val="nil"/>
            </w:tcBorders>
            <w:vAlign w:val="center"/>
          </w:tcPr>
          <w:p>
            <w:pPr>
              <w:spacing w:line="300" w:lineRule="exact"/>
              <w:jc w:val="center"/>
              <w:rPr>
                <w:sz w:val="18"/>
                <w:szCs w:val="18"/>
              </w:rPr>
            </w:pPr>
            <w:r>
              <w:rPr>
                <w:sz w:val="18"/>
                <w:szCs w:val="18"/>
              </w:rPr>
              <w:t>0.026</w:t>
            </w:r>
            <w:r>
              <w:rPr>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1892" w:type="dxa"/>
            <w:tcBorders>
              <w:top w:val="nil"/>
              <w:left w:val="nil"/>
              <w:bottom w:val="nil"/>
              <w:right w:val="single" w:color="auto" w:sz="4" w:space="0"/>
              <w:tl2br w:val="nil"/>
              <w:tr2bl w:val="nil"/>
            </w:tcBorders>
            <w:vAlign w:val="center"/>
          </w:tcPr>
          <w:p>
            <w:pPr>
              <w:spacing w:line="300" w:lineRule="exact"/>
              <w:jc w:val="left"/>
              <w:rPr>
                <w:i/>
                <w:iCs/>
                <w:sz w:val="18"/>
                <w:szCs w:val="18"/>
              </w:rPr>
            </w:pPr>
          </w:p>
        </w:tc>
        <w:tc>
          <w:tcPr>
            <w:tcW w:w="1331"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0.007</w:t>
            </w:r>
            <w:r>
              <w:rPr>
                <w:rFonts w:hint="eastAsia"/>
                <w:sz w:val="18"/>
                <w:szCs w:val="18"/>
              </w:rPr>
              <w:t>）</w:t>
            </w:r>
          </w:p>
        </w:tc>
        <w:tc>
          <w:tcPr>
            <w:tcW w:w="1346" w:type="dxa"/>
            <w:tcBorders>
              <w:top w:val="nil"/>
              <w:left w:val="nil"/>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0.006</w:t>
            </w:r>
            <w:r>
              <w:rPr>
                <w:rFonts w:hint="eastAsia"/>
                <w:sz w:val="18"/>
                <w:szCs w:val="18"/>
              </w:rPr>
              <w:t>）</w:t>
            </w:r>
          </w:p>
        </w:tc>
        <w:tc>
          <w:tcPr>
            <w:tcW w:w="1346" w:type="dxa"/>
            <w:tcBorders>
              <w:top w:val="nil"/>
              <w:left w:val="nil"/>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0.008</w:t>
            </w:r>
            <w:r>
              <w:rPr>
                <w:rFonts w:hint="eastAsia"/>
                <w:sz w:val="18"/>
                <w:szCs w:val="18"/>
              </w:rPr>
              <w:t>）</w:t>
            </w:r>
          </w:p>
        </w:tc>
        <w:tc>
          <w:tcPr>
            <w:tcW w:w="1346" w:type="dxa"/>
            <w:tcBorders>
              <w:top w:val="nil"/>
              <w:left w:val="nil"/>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0.008</w:t>
            </w:r>
            <w:r>
              <w:rPr>
                <w:rFonts w:hint="eastAsia"/>
                <w:sz w:val="18"/>
                <w:szCs w:val="18"/>
              </w:rPr>
              <w:t>）</w:t>
            </w:r>
          </w:p>
        </w:tc>
        <w:tc>
          <w:tcPr>
            <w:tcW w:w="1346" w:type="dxa"/>
            <w:tcBorders>
              <w:top w:val="nil"/>
              <w:left w:val="nil"/>
              <w:bottom w:val="nil"/>
              <w:right w:val="nil"/>
            </w:tcBorders>
            <w:vAlign w:val="center"/>
          </w:tcPr>
          <w:p>
            <w:pPr>
              <w:spacing w:line="300" w:lineRule="exact"/>
              <w:jc w:val="center"/>
              <w:rPr>
                <w:sz w:val="18"/>
                <w:szCs w:val="18"/>
              </w:rPr>
            </w:pPr>
            <w:r>
              <w:rPr>
                <w:rFonts w:hint="eastAsia"/>
                <w:sz w:val="18"/>
                <w:szCs w:val="18"/>
              </w:rPr>
              <w:t>（</w:t>
            </w:r>
            <w:r>
              <w:rPr>
                <w:sz w:val="18"/>
                <w:szCs w:val="18"/>
              </w:rPr>
              <w:t>0.007</w:t>
            </w:r>
            <w:r>
              <w:rPr>
                <w:rFonts w:hint="eastAsia"/>
                <w:sz w:val="18"/>
                <w:szCs w:val="18"/>
              </w:rPr>
              <w:t>）</w:t>
            </w:r>
          </w:p>
        </w:tc>
      </w:tr>
      <w:tr>
        <w:tblPrEx>
          <w:tblLayout w:type="fixed"/>
          <w:tblCellMar>
            <w:top w:w="0" w:type="dxa"/>
            <w:left w:w="108" w:type="dxa"/>
            <w:bottom w:w="0" w:type="dxa"/>
            <w:right w:w="108" w:type="dxa"/>
          </w:tblCellMar>
        </w:tblPrEx>
        <w:trPr>
          <w:trHeight w:val="317" w:hRule="atLeast"/>
        </w:trPr>
        <w:tc>
          <w:tcPr>
            <w:tcW w:w="1892" w:type="dxa"/>
            <w:vMerge w:val="restart"/>
            <w:tcBorders>
              <w:top w:val="nil"/>
              <w:left w:val="nil"/>
              <w:right w:val="single" w:color="auto" w:sz="4" w:space="0"/>
              <w:tl2br w:val="nil"/>
              <w:tr2bl w:val="nil"/>
            </w:tcBorders>
            <w:vAlign w:val="center"/>
          </w:tcPr>
          <w:p>
            <w:pPr>
              <w:spacing w:line="300" w:lineRule="exact"/>
              <w:jc w:val="left"/>
              <w:rPr>
                <w:sz w:val="18"/>
                <w:szCs w:val="18"/>
              </w:rPr>
            </w:pPr>
            <w:r>
              <w:rPr>
                <w:rFonts w:hint="eastAsia"/>
                <w:sz w:val="18"/>
                <w:szCs w:val="18"/>
              </w:rPr>
              <w:t>全国统一大市场建设×</w:t>
            </w:r>
          </w:p>
          <w:p>
            <w:pPr>
              <w:spacing w:line="300" w:lineRule="exact"/>
              <w:jc w:val="left"/>
              <w:rPr>
                <w:i/>
                <w:iCs/>
                <w:sz w:val="18"/>
                <w:szCs w:val="18"/>
              </w:rPr>
            </w:pPr>
            <w:r>
              <w:rPr>
                <w:rFonts w:hint="eastAsia"/>
                <w:sz w:val="18"/>
                <w:szCs w:val="18"/>
              </w:rPr>
              <w:t>经济周期</w:t>
            </w:r>
          </w:p>
        </w:tc>
        <w:tc>
          <w:tcPr>
            <w:tcW w:w="1331" w:type="dxa"/>
            <w:tcBorders>
              <w:top w:val="nil"/>
              <w:left w:val="single" w:color="auto" w:sz="4" w:space="0"/>
              <w:bottom w:val="nil"/>
              <w:right w:val="nil"/>
              <w:tl2br w:val="nil"/>
              <w:tr2bl w:val="nil"/>
            </w:tcBorders>
            <w:vAlign w:val="center"/>
          </w:tcPr>
          <w:p>
            <w:pPr>
              <w:spacing w:line="300" w:lineRule="exact"/>
              <w:jc w:val="center"/>
              <w:rPr>
                <w:sz w:val="18"/>
                <w:szCs w:val="18"/>
              </w:rPr>
            </w:pPr>
            <w:r>
              <w:rPr>
                <w:sz w:val="18"/>
                <w:szCs w:val="18"/>
              </w:rPr>
              <w:t>0.024</w:t>
            </w:r>
            <w:r>
              <w:rPr>
                <w:sz w:val="18"/>
                <w:szCs w:val="18"/>
                <w:vertAlign w:val="superscript"/>
              </w:rPr>
              <w:t>**</w:t>
            </w:r>
          </w:p>
        </w:tc>
        <w:tc>
          <w:tcPr>
            <w:tcW w:w="1346" w:type="dxa"/>
            <w:tcBorders>
              <w:top w:val="nil"/>
              <w:left w:val="nil"/>
              <w:bottom w:val="nil"/>
              <w:right w:val="nil"/>
              <w:tl2br w:val="nil"/>
              <w:tr2bl w:val="nil"/>
            </w:tcBorders>
            <w:vAlign w:val="center"/>
          </w:tcPr>
          <w:p>
            <w:pPr>
              <w:spacing w:line="300" w:lineRule="exact"/>
              <w:jc w:val="center"/>
              <w:rPr>
                <w:sz w:val="18"/>
                <w:szCs w:val="18"/>
              </w:rPr>
            </w:pPr>
          </w:p>
        </w:tc>
        <w:tc>
          <w:tcPr>
            <w:tcW w:w="1346" w:type="dxa"/>
            <w:tcBorders>
              <w:top w:val="nil"/>
              <w:left w:val="nil"/>
              <w:bottom w:val="nil"/>
              <w:right w:val="nil"/>
              <w:tl2br w:val="nil"/>
              <w:tr2bl w:val="nil"/>
            </w:tcBorders>
            <w:vAlign w:val="center"/>
          </w:tcPr>
          <w:p>
            <w:pPr>
              <w:spacing w:line="300" w:lineRule="exact"/>
              <w:jc w:val="center"/>
              <w:rPr>
                <w:sz w:val="18"/>
                <w:szCs w:val="18"/>
              </w:rPr>
            </w:pPr>
          </w:p>
        </w:tc>
        <w:tc>
          <w:tcPr>
            <w:tcW w:w="1346" w:type="dxa"/>
            <w:tcBorders>
              <w:top w:val="nil"/>
              <w:left w:val="nil"/>
              <w:bottom w:val="nil"/>
              <w:right w:val="nil"/>
              <w:tl2br w:val="nil"/>
              <w:tr2bl w:val="nil"/>
            </w:tcBorders>
            <w:vAlign w:val="center"/>
          </w:tcPr>
          <w:p>
            <w:pPr>
              <w:spacing w:line="300" w:lineRule="exact"/>
              <w:jc w:val="center"/>
              <w:rPr>
                <w:sz w:val="18"/>
                <w:szCs w:val="18"/>
              </w:rPr>
            </w:pPr>
          </w:p>
        </w:tc>
        <w:tc>
          <w:tcPr>
            <w:tcW w:w="1346" w:type="dxa"/>
            <w:tcBorders>
              <w:top w:val="nil"/>
              <w:left w:val="nil"/>
              <w:bottom w:val="nil"/>
              <w:right w:val="nil"/>
            </w:tcBorders>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892" w:type="dxa"/>
            <w:vMerge w:val="continue"/>
            <w:tcBorders>
              <w:left w:val="nil"/>
              <w:bottom w:val="nil"/>
              <w:right w:val="single" w:color="auto" w:sz="4" w:space="0"/>
              <w:tl2br w:val="nil"/>
              <w:tr2bl w:val="nil"/>
            </w:tcBorders>
            <w:vAlign w:val="center"/>
          </w:tcPr>
          <w:p>
            <w:pPr>
              <w:spacing w:line="300" w:lineRule="exact"/>
              <w:jc w:val="left"/>
              <w:rPr>
                <w:i/>
                <w:iCs/>
                <w:sz w:val="18"/>
                <w:szCs w:val="18"/>
              </w:rPr>
            </w:pPr>
          </w:p>
        </w:tc>
        <w:tc>
          <w:tcPr>
            <w:tcW w:w="1331"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0.010</w:t>
            </w:r>
            <w:r>
              <w:rPr>
                <w:rFonts w:hint="eastAsia"/>
                <w:sz w:val="18"/>
                <w:szCs w:val="18"/>
              </w:rPr>
              <w:t>）</w:t>
            </w:r>
          </w:p>
        </w:tc>
        <w:tc>
          <w:tcPr>
            <w:tcW w:w="1346" w:type="dxa"/>
            <w:tcBorders>
              <w:top w:val="nil"/>
              <w:left w:val="nil"/>
              <w:bottom w:val="nil"/>
              <w:right w:val="nil"/>
              <w:tl2br w:val="nil"/>
              <w:tr2bl w:val="nil"/>
            </w:tcBorders>
            <w:vAlign w:val="center"/>
          </w:tcPr>
          <w:p>
            <w:pPr>
              <w:spacing w:line="300" w:lineRule="exact"/>
              <w:jc w:val="center"/>
              <w:rPr>
                <w:sz w:val="18"/>
                <w:szCs w:val="18"/>
              </w:rPr>
            </w:pPr>
          </w:p>
        </w:tc>
        <w:tc>
          <w:tcPr>
            <w:tcW w:w="1346" w:type="dxa"/>
            <w:tcBorders>
              <w:top w:val="nil"/>
              <w:left w:val="nil"/>
              <w:bottom w:val="nil"/>
              <w:right w:val="nil"/>
              <w:tl2br w:val="nil"/>
              <w:tr2bl w:val="nil"/>
            </w:tcBorders>
            <w:vAlign w:val="center"/>
          </w:tcPr>
          <w:p>
            <w:pPr>
              <w:spacing w:line="300" w:lineRule="exact"/>
              <w:jc w:val="center"/>
              <w:rPr>
                <w:sz w:val="18"/>
                <w:szCs w:val="18"/>
              </w:rPr>
            </w:pPr>
          </w:p>
        </w:tc>
        <w:tc>
          <w:tcPr>
            <w:tcW w:w="1346" w:type="dxa"/>
            <w:tcBorders>
              <w:top w:val="nil"/>
              <w:left w:val="nil"/>
              <w:bottom w:val="nil"/>
              <w:right w:val="nil"/>
              <w:tl2br w:val="nil"/>
              <w:tr2bl w:val="nil"/>
            </w:tcBorders>
            <w:vAlign w:val="center"/>
          </w:tcPr>
          <w:p>
            <w:pPr>
              <w:spacing w:line="300" w:lineRule="exact"/>
              <w:jc w:val="center"/>
              <w:rPr>
                <w:sz w:val="18"/>
                <w:szCs w:val="18"/>
              </w:rPr>
            </w:pPr>
          </w:p>
        </w:tc>
        <w:tc>
          <w:tcPr>
            <w:tcW w:w="1346" w:type="dxa"/>
            <w:tcBorders>
              <w:top w:val="nil"/>
              <w:left w:val="nil"/>
              <w:bottom w:val="nil"/>
              <w:right w:val="nil"/>
            </w:tcBorders>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892"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企业控制变量</w:t>
            </w:r>
          </w:p>
        </w:tc>
        <w:tc>
          <w:tcPr>
            <w:tcW w:w="1331" w:type="dxa"/>
            <w:tcBorders>
              <w:top w:val="nil"/>
              <w:left w:val="single" w:color="auto" w:sz="4" w:space="0"/>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92"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城市控制变量</w:t>
            </w:r>
          </w:p>
        </w:tc>
        <w:tc>
          <w:tcPr>
            <w:tcW w:w="1331" w:type="dxa"/>
            <w:tcBorders>
              <w:top w:val="nil"/>
              <w:left w:val="single" w:color="auto" w:sz="4" w:space="0"/>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l2br w:val="nil"/>
              <w:tr2bl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92"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133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92"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133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92"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1331"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346" w:type="dxa"/>
            <w:tcBorders>
              <w:top w:val="nil"/>
              <w:left w:val="nil"/>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892" w:type="dxa"/>
            <w:tcBorders>
              <w:top w:val="single" w:color="auto" w:sz="4" w:space="0"/>
              <w:left w:val="nil"/>
              <w:right w:val="single" w:color="auto" w:sz="4" w:space="0"/>
            </w:tcBorders>
            <w:vAlign w:val="center"/>
          </w:tcPr>
          <w:p>
            <w:pPr>
              <w:spacing w:line="300" w:lineRule="exact"/>
              <w:jc w:val="left"/>
              <w:rPr>
                <w:sz w:val="18"/>
                <w:szCs w:val="18"/>
              </w:rPr>
            </w:pPr>
            <w:r>
              <w:rPr>
                <w:rFonts w:hint="eastAsia"/>
                <w:sz w:val="18"/>
                <w:szCs w:val="18"/>
              </w:rPr>
              <w:t>观测值</w:t>
            </w:r>
          </w:p>
        </w:tc>
        <w:tc>
          <w:tcPr>
            <w:tcW w:w="1331" w:type="dxa"/>
            <w:tcBorders>
              <w:top w:val="single" w:color="auto" w:sz="4" w:space="0"/>
              <w:left w:val="single" w:color="auto" w:sz="4" w:space="0"/>
              <w:right w:val="nil"/>
            </w:tcBorders>
            <w:vAlign w:val="center"/>
          </w:tcPr>
          <w:p>
            <w:pPr>
              <w:spacing w:line="300" w:lineRule="exact"/>
              <w:jc w:val="center"/>
              <w:rPr>
                <w:sz w:val="18"/>
                <w:szCs w:val="18"/>
              </w:rPr>
            </w:pPr>
            <w:r>
              <w:rPr>
                <w:sz w:val="18"/>
                <w:szCs w:val="18"/>
              </w:rPr>
              <w:t>31903</w:t>
            </w:r>
          </w:p>
        </w:tc>
        <w:tc>
          <w:tcPr>
            <w:tcW w:w="1346" w:type="dxa"/>
            <w:tcBorders>
              <w:top w:val="single" w:color="auto" w:sz="4" w:space="0"/>
              <w:left w:val="nil"/>
              <w:right w:val="nil"/>
            </w:tcBorders>
            <w:vAlign w:val="center"/>
          </w:tcPr>
          <w:p>
            <w:pPr>
              <w:spacing w:line="300" w:lineRule="exact"/>
              <w:jc w:val="center"/>
              <w:rPr>
                <w:sz w:val="18"/>
                <w:szCs w:val="18"/>
              </w:rPr>
            </w:pPr>
            <w:r>
              <w:rPr>
                <w:sz w:val="18"/>
                <w:szCs w:val="18"/>
              </w:rPr>
              <w:t>29786</w:t>
            </w:r>
          </w:p>
        </w:tc>
        <w:tc>
          <w:tcPr>
            <w:tcW w:w="1346" w:type="dxa"/>
            <w:tcBorders>
              <w:top w:val="single" w:color="auto" w:sz="4" w:space="0"/>
              <w:left w:val="nil"/>
              <w:right w:val="nil"/>
            </w:tcBorders>
            <w:vAlign w:val="center"/>
          </w:tcPr>
          <w:p>
            <w:pPr>
              <w:spacing w:line="300" w:lineRule="exact"/>
              <w:jc w:val="center"/>
              <w:rPr>
                <w:sz w:val="18"/>
                <w:szCs w:val="18"/>
              </w:rPr>
            </w:pPr>
            <w:r>
              <w:rPr>
                <w:sz w:val="18"/>
                <w:szCs w:val="18"/>
              </w:rPr>
              <w:t>29932</w:t>
            </w:r>
          </w:p>
        </w:tc>
        <w:tc>
          <w:tcPr>
            <w:tcW w:w="1346" w:type="dxa"/>
            <w:tcBorders>
              <w:top w:val="single" w:color="auto" w:sz="4" w:space="0"/>
              <w:left w:val="nil"/>
              <w:right w:val="nil"/>
            </w:tcBorders>
            <w:vAlign w:val="center"/>
          </w:tcPr>
          <w:p>
            <w:pPr>
              <w:spacing w:line="300" w:lineRule="exact"/>
              <w:jc w:val="center"/>
              <w:rPr>
                <w:sz w:val="18"/>
                <w:szCs w:val="18"/>
              </w:rPr>
            </w:pPr>
            <w:r>
              <w:rPr>
                <w:sz w:val="18"/>
                <w:szCs w:val="18"/>
              </w:rPr>
              <w:t>25544</w:t>
            </w:r>
          </w:p>
        </w:tc>
        <w:tc>
          <w:tcPr>
            <w:tcW w:w="1346" w:type="dxa"/>
            <w:tcBorders>
              <w:top w:val="single" w:color="auto" w:sz="4" w:space="0"/>
              <w:left w:val="nil"/>
              <w:bottom w:val="nil"/>
              <w:right w:val="nil"/>
            </w:tcBorders>
            <w:vAlign w:val="center"/>
          </w:tcPr>
          <w:p>
            <w:pPr>
              <w:spacing w:line="300" w:lineRule="exact"/>
              <w:jc w:val="center"/>
              <w:rPr>
                <w:sz w:val="18"/>
                <w:szCs w:val="18"/>
              </w:rPr>
            </w:pPr>
            <w:r>
              <w:rPr>
                <w:sz w:val="18"/>
                <w:szCs w:val="18"/>
              </w:rPr>
              <w:t>21455</w:t>
            </w:r>
          </w:p>
        </w:tc>
      </w:tr>
      <w:tr>
        <w:tblPrEx>
          <w:tblLayout w:type="fixed"/>
          <w:tblCellMar>
            <w:top w:w="0" w:type="dxa"/>
            <w:left w:w="108" w:type="dxa"/>
            <w:bottom w:w="0" w:type="dxa"/>
            <w:right w:w="108" w:type="dxa"/>
          </w:tblCellMar>
        </w:tblPrEx>
        <w:trPr>
          <w:trHeight w:val="317" w:hRule="atLeast"/>
        </w:trPr>
        <w:tc>
          <w:tcPr>
            <w:tcW w:w="1892" w:type="dxa"/>
            <w:tcBorders>
              <w:top w:val="nil"/>
              <w:left w:val="nil"/>
              <w:bottom w:val="single" w:color="auto" w:sz="12" w:space="0"/>
              <w:right w:val="single" w:color="auto" w:sz="4" w:space="0"/>
            </w:tcBorders>
            <w:vAlign w:val="center"/>
          </w:tcPr>
          <w:p>
            <w:pPr>
              <w:spacing w:line="300" w:lineRule="exact"/>
              <w:jc w:val="left"/>
              <w:rPr>
                <w:sz w:val="18"/>
                <w:szCs w:val="18"/>
              </w:rPr>
            </w:pPr>
            <w:r>
              <w:rPr>
                <w:rFonts w:hint="eastAsia"/>
                <w:sz w:val="18"/>
                <w:szCs w:val="18"/>
              </w:rPr>
              <w:t>R</w:t>
            </w:r>
            <w:r>
              <w:rPr>
                <w:rFonts w:hint="eastAsia"/>
                <w:sz w:val="18"/>
                <w:szCs w:val="18"/>
                <w:vertAlign w:val="superscript"/>
              </w:rPr>
              <w:t>2</w:t>
            </w:r>
          </w:p>
        </w:tc>
        <w:tc>
          <w:tcPr>
            <w:tcW w:w="1331" w:type="dxa"/>
            <w:tcBorders>
              <w:top w:val="nil"/>
              <w:left w:val="single" w:color="auto" w:sz="4" w:space="0"/>
              <w:bottom w:val="single" w:color="auto" w:sz="12" w:space="0"/>
              <w:right w:val="nil"/>
            </w:tcBorders>
            <w:vAlign w:val="center"/>
          </w:tcPr>
          <w:p>
            <w:pPr>
              <w:spacing w:line="300" w:lineRule="exact"/>
              <w:jc w:val="center"/>
              <w:rPr>
                <w:sz w:val="18"/>
                <w:szCs w:val="18"/>
              </w:rPr>
            </w:pPr>
            <w:r>
              <w:rPr>
                <w:sz w:val="18"/>
                <w:szCs w:val="18"/>
              </w:rPr>
              <w:t>0.966</w:t>
            </w:r>
          </w:p>
        </w:tc>
        <w:tc>
          <w:tcPr>
            <w:tcW w:w="1346" w:type="dxa"/>
            <w:tcBorders>
              <w:top w:val="nil"/>
              <w:left w:val="nil"/>
              <w:bottom w:val="single" w:color="auto" w:sz="12" w:space="0"/>
              <w:right w:val="nil"/>
            </w:tcBorders>
            <w:vAlign w:val="center"/>
          </w:tcPr>
          <w:p>
            <w:pPr>
              <w:spacing w:line="300" w:lineRule="exact"/>
              <w:jc w:val="center"/>
              <w:rPr>
                <w:sz w:val="18"/>
                <w:szCs w:val="18"/>
              </w:rPr>
            </w:pPr>
            <w:r>
              <w:rPr>
                <w:sz w:val="18"/>
                <w:szCs w:val="18"/>
              </w:rPr>
              <w:t>0.966</w:t>
            </w:r>
          </w:p>
        </w:tc>
        <w:tc>
          <w:tcPr>
            <w:tcW w:w="1346" w:type="dxa"/>
            <w:tcBorders>
              <w:top w:val="nil"/>
              <w:left w:val="nil"/>
              <w:bottom w:val="single" w:color="auto" w:sz="12" w:space="0"/>
              <w:right w:val="nil"/>
            </w:tcBorders>
            <w:vAlign w:val="center"/>
          </w:tcPr>
          <w:p>
            <w:pPr>
              <w:spacing w:line="300" w:lineRule="exact"/>
              <w:jc w:val="center"/>
              <w:rPr>
                <w:sz w:val="18"/>
                <w:szCs w:val="18"/>
              </w:rPr>
            </w:pPr>
            <w:r>
              <w:rPr>
                <w:sz w:val="18"/>
                <w:szCs w:val="18"/>
              </w:rPr>
              <w:t>0.967</w:t>
            </w:r>
          </w:p>
        </w:tc>
        <w:tc>
          <w:tcPr>
            <w:tcW w:w="1346" w:type="dxa"/>
            <w:tcBorders>
              <w:top w:val="nil"/>
              <w:left w:val="nil"/>
              <w:bottom w:val="single" w:color="auto" w:sz="12" w:space="0"/>
              <w:right w:val="nil"/>
            </w:tcBorders>
            <w:vAlign w:val="center"/>
          </w:tcPr>
          <w:p>
            <w:pPr>
              <w:spacing w:line="300" w:lineRule="exact"/>
              <w:jc w:val="center"/>
              <w:rPr>
                <w:sz w:val="18"/>
                <w:szCs w:val="18"/>
              </w:rPr>
            </w:pPr>
            <w:r>
              <w:rPr>
                <w:sz w:val="18"/>
                <w:szCs w:val="18"/>
              </w:rPr>
              <w:t>0.963</w:t>
            </w:r>
          </w:p>
        </w:tc>
        <w:tc>
          <w:tcPr>
            <w:tcW w:w="1346" w:type="dxa"/>
            <w:tcBorders>
              <w:top w:val="nil"/>
              <w:left w:val="nil"/>
              <w:bottom w:val="single" w:color="auto" w:sz="12" w:space="0"/>
              <w:right w:val="nil"/>
            </w:tcBorders>
            <w:vAlign w:val="center"/>
          </w:tcPr>
          <w:p>
            <w:pPr>
              <w:spacing w:line="300" w:lineRule="exact"/>
              <w:jc w:val="center"/>
              <w:rPr>
                <w:sz w:val="18"/>
                <w:szCs w:val="18"/>
              </w:rPr>
            </w:pPr>
            <w:r>
              <w:rPr>
                <w:sz w:val="18"/>
                <w:szCs w:val="18"/>
              </w:rPr>
              <w:t>0.963</w:t>
            </w:r>
          </w:p>
        </w:tc>
      </w:tr>
    </w:tbl>
    <w:p>
      <w:pPr>
        <w:spacing w:line="240" w:lineRule="atLeast"/>
        <w:ind w:firstLine="332" w:firstLineChars="200"/>
        <w:rPr>
          <w:rFonts w:eastAsia="楷体" w:cs="Times New Roman (正文 CS 字体)"/>
          <w:szCs w:val="21"/>
        </w:rPr>
      </w:pPr>
      <w:bookmarkStart w:id="4" w:name="_Toc1814015475"/>
      <w:r>
        <w:rPr>
          <w:rFonts w:hint="eastAsia"/>
          <w:sz w:val="18"/>
          <w:szCs w:val="18"/>
        </w:rPr>
        <w:t>注：①***和**分别表示1%和5%的显著性水平；②标准误为聚类至城市层面的稳健标准误。</w:t>
      </w:r>
    </w:p>
    <w:p>
      <w:pPr>
        <w:spacing w:line="240" w:lineRule="atLeast"/>
        <w:ind w:firstLine="392" w:firstLineChars="200"/>
        <w:rPr>
          <w:szCs w:val="21"/>
        </w:rPr>
      </w:pPr>
      <w:r>
        <w:rPr>
          <w:rFonts w:hint="eastAsia" w:eastAsia="楷体" w:cs="Times New Roman (正文 CS 字体)"/>
          <w:szCs w:val="21"/>
        </w:rPr>
        <w:t>4.其他稳健性检验</w:t>
      </w:r>
      <w:bookmarkEnd w:id="4"/>
      <w:r>
        <w:rPr>
          <w:rFonts w:hint="eastAsia" w:eastAsia="楷体" w:cs="Times New Roman (正文 CS 字体)"/>
          <w:szCs w:val="21"/>
        </w:rPr>
        <w:t>。</w:t>
      </w:r>
      <w:r>
        <w:rPr>
          <w:rFonts w:hint="eastAsia"/>
          <w:szCs w:val="21"/>
        </w:rPr>
        <w:t>第一，考虑到城市特征变量对企业产能利用率的影响，本文在加入企业、行业与年份固定效应的基础上，进一步控制城市固定效应，回归结果见附表3（1）列。第二，本文将原有标准误的聚类层级从城市层面调整至企业层面进行估计，回归结果见附表3（2）列。第三，为了减少极端值对估计结果的影响，本文对所有连续变量进行上下1%的缩尾处理，回归结果见附表3（3）列。第四，鉴于全国统一大市场建设对企业产能利用率的影响存在滞后效应，本文对全国统一大市场建设进行滞后一期、滞后二期处理，结果见附表3（4）列和（5）列。第五，由于本文测算的企业产能利用率处于0到1之间，为了使被解释变量适当分散且符合线性分布的特征，本文对企业产能利用率指标进行对数处理，回归结果见附表3（6）列。同时，为了排除被解释变量双边限制可能给最小二乘法估计带来的偏差，本文采用Tobit模型来研究全国统一大市场建设对企业产能利用率的影响，回归结果见附表3（7）列。可以发现，全国统一大市场建设对企业产能利用率依旧呈现显著的正向影响。</w:t>
      </w:r>
    </w:p>
    <w:p>
      <w:pPr>
        <w:spacing w:line="240" w:lineRule="atLeast"/>
        <w:ind w:firstLine="392" w:firstLineChars="200"/>
        <w:rPr>
          <w:szCs w:val="21"/>
        </w:rPr>
      </w:pPr>
    </w:p>
    <w:p>
      <w:pPr>
        <w:spacing w:line="240" w:lineRule="atLeast"/>
        <w:ind w:firstLine="392" w:firstLineChars="200"/>
        <w:rPr>
          <w:szCs w:val="21"/>
        </w:rPr>
      </w:pPr>
    </w:p>
    <w:p>
      <w:pPr>
        <w:spacing w:line="240" w:lineRule="atLeast"/>
        <w:ind w:firstLine="392" w:firstLineChars="200"/>
        <w:rPr>
          <w:szCs w:val="21"/>
        </w:rPr>
      </w:pPr>
    </w:p>
    <w:p>
      <w:pPr>
        <w:spacing w:line="240" w:lineRule="atLeast"/>
        <w:ind w:firstLine="392" w:firstLineChars="200"/>
        <w:rPr>
          <w:szCs w:val="21"/>
        </w:rPr>
      </w:pPr>
    </w:p>
    <w:p>
      <w:pPr>
        <w:pStyle w:val="2"/>
        <w:spacing w:line="240" w:lineRule="atLeast"/>
        <w:ind w:left="392" w:firstLine="0"/>
      </w:pPr>
      <w:r>
        <w:rPr>
          <w:rFonts w:hint="eastAsia" w:ascii="Times New Roman" w:eastAsia="黑体" w:cs="Times New Roman"/>
          <w:sz w:val="18"/>
          <w:szCs w:val="18"/>
        </w:rPr>
        <w:t>附表3                                其他稳健性检验结果</w:t>
      </w:r>
    </w:p>
    <w:tbl>
      <w:tblPr>
        <w:tblStyle w:val="33"/>
        <w:tblW w:w="8587" w:type="dxa"/>
        <w:tblInd w:w="160" w:type="dxa"/>
        <w:tblLayout w:type="fixed"/>
        <w:tblCellMar>
          <w:top w:w="0" w:type="dxa"/>
          <w:left w:w="108" w:type="dxa"/>
          <w:bottom w:w="0" w:type="dxa"/>
          <w:right w:w="108" w:type="dxa"/>
        </w:tblCellMar>
      </w:tblPr>
      <w:tblGrid>
        <w:gridCol w:w="1382"/>
        <w:gridCol w:w="1031"/>
        <w:gridCol w:w="1034"/>
        <w:gridCol w:w="1038"/>
        <w:gridCol w:w="1038"/>
        <w:gridCol w:w="1038"/>
        <w:gridCol w:w="1038"/>
        <w:gridCol w:w="988"/>
      </w:tblGrid>
      <w:tr>
        <w:tblPrEx>
          <w:tblLayout w:type="fixed"/>
          <w:tblCellMar>
            <w:top w:w="0" w:type="dxa"/>
            <w:left w:w="108" w:type="dxa"/>
            <w:bottom w:w="0" w:type="dxa"/>
            <w:right w:w="108" w:type="dxa"/>
          </w:tblCellMar>
        </w:tblPrEx>
        <w:trPr>
          <w:trHeight w:val="317" w:hRule="atLeast"/>
        </w:trPr>
        <w:tc>
          <w:tcPr>
            <w:tcW w:w="1382" w:type="dxa"/>
            <w:vMerge w:val="restart"/>
            <w:tcBorders>
              <w:top w:val="single" w:color="auto" w:sz="12" w:space="0"/>
              <w:left w:val="nil"/>
              <w:right w:val="single" w:color="auto" w:sz="4" w:space="0"/>
            </w:tcBorders>
            <w:vAlign w:val="center"/>
          </w:tcPr>
          <w:p>
            <w:pPr>
              <w:spacing w:line="300" w:lineRule="exact"/>
              <w:jc w:val="center"/>
              <w:rPr>
                <w:sz w:val="18"/>
                <w:szCs w:val="18"/>
              </w:rPr>
            </w:pPr>
            <w:r>
              <w:rPr>
                <w:rFonts w:hint="eastAsia"/>
                <w:sz w:val="18"/>
                <w:szCs w:val="18"/>
              </w:rPr>
              <w:t>变量</w:t>
            </w:r>
          </w:p>
        </w:tc>
        <w:tc>
          <w:tcPr>
            <w:tcW w:w="7205" w:type="dxa"/>
            <w:gridSpan w:val="7"/>
            <w:tcBorders>
              <w:top w:val="single" w:color="auto" w:sz="12" w:space="0"/>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企业产能利用率</w:t>
            </w:r>
          </w:p>
        </w:tc>
      </w:tr>
      <w:tr>
        <w:tblPrEx>
          <w:tblLayout w:type="fixed"/>
          <w:tblCellMar>
            <w:top w:w="0" w:type="dxa"/>
            <w:left w:w="108" w:type="dxa"/>
            <w:bottom w:w="0" w:type="dxa"/>
            <w:right w:w="108" w:type="dxa"/>
          </w:tblCellMar>
        </w:tblPrEx>
        <w:trPr>
          <w:trHeight w:val="317" w:hRule="atLeast"/>
        </w:trPr>
        <w:tc>
          <w:tcPr>
            <w:tcW w:w="1382" w:type="dxa"/>
            <w:vMerge w:val="continue"/>
            <w:tcBorders>
              <w:left w:val="nil"/>
              <w:bottom w:val="single" w:color="auto" w:sz="4" w:space="0"/>
              <w:right w:val="single" w:color="auto" w:sz="4" w:space="0"/>
            </w:tcBorders>
            <w:vAlign w:val="center"/>
          </w:tcPr>
          <w:p>
            <w:pPr>
              <w:spacing w:line="300" w:lineRule="exact"/>
              <w:jc w:val="center"/>
              <w:rPr>
                <w:sz w:val="18"/>
                <w:szCs w:val="18"/>
              </w:rPr>
            </w:pPr>
          </w:p>
        </w:tc>
        <w:tc>
          <w:tcPr>
            <w:tcW w:w="1031" w:type="dxa"/>
            <w:tcBorders>
              <w:top w:val="single" w:color="auto" w:sz="4" w:space="0"/>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（1）</w:t>
            </w:r>
          </w:p>
        </w:tc>
        <w:tc>
          <w:tcPr>
            <w:tcW w:w="1034" w:type="dxa"/>
            <w:tcBorders>
              <w:top w:val="single" w:color="auto" w:sz="4" w:space="0"/>
              <w:left w:val="nil"/>
              <w:bottom w:val="single" w:color="auto" w:sz="4" w:space="0"/>
              <w:right w:val="nil"/>
            </w:tcBorders>
            <w:shd w:val="clear" w:color="auto" w:fill="auto"/>
            <w:vAlign w:val="center"/>
          </w:tcPr>
          <w:p>
            <w:pPr>
              <w:spacing w:line="300" w:lineRule="exact"/>
              <w:jc w:val="center"/>
              <w:rPr>
                <w:sz w:val="18"/>
                <w:szCs w:val="18"/>
              </w:rPr>
            </w:pPr>
            <w:r>
              <w:rPr>
                <w:rFonts w:hint="eastAsia"/>
                <w:sz w:val="18"/>
                <w:szCs w:val="18"/>
              </w:rPr>
              <w:t>（2）</w:t>
            </w:r>
          </w:p>
        </w:tc>
        <w:tc>
          <w:tcPr>
            <w:tcW w:w="1038" w:type="dxa"/>
            <w:tcBorders>
              <w:top w:val="single" w:color="auto" w:sz="4" w:space="0"/>
              <w:left w:val="nil"/>
              <w:bottom w:val="single" w:color="auto" w:sz="4" w:space="0"/>
              <w:right w:val="nil"/>
            </w:tcBorders>
            <w:shd w:val="clear" w:color="auto" w:fill="auto"/>
            <w:vAlign w:val="center"/>
          </w:tcPr>
          <w:p>
            <w:pPr>
              <w:spacing w:line="300" w:lineRule="exact"/>
              <w:jc w:val="center"/>
              <w:rPr>
                <w:sz w:val="18"/>
                <w:szCs w:val="18"/>
              </w:rPr>
            </w:pPr>
            <w:r>
              <w:rPr>
                <w:rFonts w:hint="eastAsia"/>
                <w:sz w:val="18"/>
                <w:szCs w:val="18"/>
              </w:rPr>
              <w:t>（3）</w:t>
            </w:r>
          </w:p>
        </w:tc>
        <w:tc>
          <w:tcPr>
            <w:tcW w:w="1038" w:type="dxa"/>
            <w:tcBorders>
              <w:top w:val="single" w:color="auto" w:sz="4" w:space="0"/>
              <w:left w:val="nil"/>
              <w:bottom w:val="single" w:color="auto" w:sz="4" w:space="0"/>
              <w:right w:val="nil"/>
            </w:tcBorders>
            <w:shd w:val="clear" w:color="auto" w:fill="auto"/>
            <w:vAlign w:val="center"/>
          </w:tcPr>
          <w:p>
            <w:pPr>
              <w:spacing w:line="300" w:lineRule="exact"/>
              <w:jc w:val="center"/>
              <w:rPr>
                <w:sz w:val="18"/>
                <w:szCs w:val="18"/>
              </w:rPr>
            </w:pPr>
            <w:r>
              <w:rPr>
                <w:rFonts w:hint="eastAsia"/>
                <w:sz w:val="18"/>
                <w:szCs w:val="18"/>
              </w:rPr>
              <w:t>（4）</w:t>
            </w:r>
          </w:p>
        </w:tc>
        <w:tc>
          <w:tcPr>
            <w:tcW w:w="1038" w:type="dxa"/>
            <w:tcBorders>
              <w:top w:val="single" w:color="auto" w:sz="4" w:space="0"/>
              <w:left w:val="nil"/>
              <w:bottom w:val="single" w:color="auto" w:sz="4" w:space="0"/>
              <w:right w:val="nil"/>
            </w:tcBorders>
            <w:shd w:val="clear" w:color="auto" w:fill="auto"/>
            <w:vAlign w:val="center"/>
          </w:tcPr>
          <w:p>
            <w:pPr>
              <w:spacing w:line="300" w:lineRule="exact"/>
              <w:jc w:val="center"/>
              <w:rPr>
                <w:sz w:val="18"/>
                <w:szCs w:val="18"/>
              </w:rPr>
            </w:pPr>
            <w:r>
              <w:rPr>
                <w:rFonts w:hint="eastAsia"/>
                <w:sz w:val="18"/>
                <w:szCs w:val="18"/>
              </w:rPr>
              <w:t>（5）</w:t>
            </w:r>
          </w:p>
        </w:tc>
        <w:tc>
          <w:tcPr>
            <w:tcW w:w="1038" w:type="dxa"/>
            <w:tcBorders>
              <w:top w:val="single" w:color="auto" w:sz="4" w:space="0"/>
              <w:left w:val="nil"/>
              <w:bottom w:val="single" w:color="auto" w:sz="4" w:space="0"/>
              <w:right w:val="nil"/>
            </w:tcBorders>
            <w:shd w:val="clear" w:color="auto" w:fill="auto"/>
            <w:vAlign w:val="center"/>
          </w:tcPr>
          <w:p>
            <w:pPr>
              <w:spacing w:line="300" w:lineRule="exact"/>
              <w:jc w:val="center"/>
              <w:rPr>
                <w:sz w:val="18"/>
                <w:szCs w:val="18"/>
              </w:rPr>
            </w:pPr>
            <w:r>
              <w:rPr>
                <w:rFonts w:hint="eastAsia"/>
                <w:sz w:val="18"/>
                <w:szCs w:val="18"/>
              </w:rPr>
              <w:t>（6）</w:t>
            </w:r>
          </w:p>
        </w:tc>
        <w:tc>
          <w:tcPr>
            <w:tcW w:w="988" w:type="dxa"/>
            <w:tcBorders>
              <w:top w:val="single" w:color="auto" w:sz="4" w:space="0"/>
              <w:left w:val="nil"/>
              <w:bottom w:val="single" w:color="auto" w:sz="4" w:space="0"/>
              <w:right w:val="nil"/>
            </w:tcBorders>
            <w:shd w:val="clear" w:color="auto" w:fill="auto"/>
            <w:vAlign w:val="center"/>
          </w:tcPr>
          <w:p>
            <w:pPr>
              <w:spacing w:line="300" w:lineRule="exact"/>
              <w:jc w:val="center"/>
              <w:rPr>
                <w:sz w:val="18"/>
                <w:szCs w:val="18"/>
              </w:rPr>
            </w:pPr>
            <w:r>
              <w:rPr>
                <w:rFonts w:hint="eastAsia"/>
                <w:sz w:val="18"/>
                <w:szCs w:val="18"/>
              </w:rPr>
              <w:t>（7）</w:t>
            </w:r>
          </w:p>
        </w:tc>
      </w:tr>
      <w:tr>
        <w:tblPrEx>
          <w:tblLayout w:type="fixed"/>
          <w:tblCellMar>
            <w:top w:w="0" w:type="dxa"/>
            <w:left w:w="108" w:type="dxa"/>
            <w:bottom w:w="0" w:type="dxa"/>
            <w:right w:w="108" w:type="dxa"/>
          </w:tblCellMar>
        </w:tblPrEx>
        <w:trPr>
          <w:trHeight w:val="317" w:hRule="atLeast"/>
        </w:trPr>
        <w:tc>
          <w:tcPr>
            <w:tcW w:w="1382" w:type="dxa"/>
            <w:vMerge w:val="restart"/>
            <w:tcBorders>
              <w:top w:val="single" w:color="auto" w:sz="4" w:space="0"/>
              <w:left w:val="nil"/>
              <w:right w:val="single" w:color="auto" w:sz="4" w:space="0"/>
              <w:tl2br w:val="nil"/>
              <w:tr2bl w:val="nil"/>
            </w:tcBorders>
            <w:vAlign w:val="center"/>
          </w:tcPr>
          <w:p>
            <w:pPr>
              <w:spacing w:line="300" w:lineRule="exact"/>
              <w:jc w:val="left"/>
              <w:rPr>
                <w:sz w:val="18"/>
                <w:szCs w:val="18"/>
              </w:rPr>
            </w:pPr>
            <w:r>
              <w:rPr>
                <w:rFonts w:hint="eastAsia"/>
                <w:sz w:val="18"/>
                <w:szCs w:val="18"/>
              </w:rPr>
              <w:t>全国统一大市场建设</w:t>
            </w:r>
          </w:p>
        </w:tc>
        <w:tc>
          <w:tcPr>
            <w:tcW w:w="1031"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0.027</w:t>
            </w:r>
            <w:r>
              <w:rPr>
                <w:sz w:val="18"/>
                <w:szCs w:val="18"/>
                <w:vertAlign w:val="superscript"/>
              </w:rPr>
              <w:t>***</w:t>
            </w:r>
          </w:p>
        </w:tc>
        <w:tc>
          <w:tcPr>
            <w:tcW w:w="1034" w:type="dxa"/>
            <w:tcBorders>
              <w:top w:val="single" w:color="auto" w:sz="4" w:space="0"/>
              <w:left w:val="nil"/>
              <w:bottom w:val="nil"/>
              <w:right w:val="nil"/>
              <w:tl2br w:val="nil"/>
              <w:tr2bl w:val="nil"/>
            </w:tcBorders>
            <w:shd w:val="clear" w:color="auto" w:fill="auto"/>
            <w:vAlign w:val="center"/>
          </w:tcPr>
          <w:p>
            <w:pPr>
              <w:spacing w:line="300" w:lineRule="exact"/>
              <w:jc w:val="center"/>
              <w:rPr>
                <w:sz w:val="18"/>
                <w:szCs w:val="18"/>
              </w:rPr>
            </w:pPr>
            <w:r>
              <w:rPr>
                <w:sz w:val="18"/>
                <w:szCs w:val="18"/>
              </w:rPr>
              <w:t>0.026</w:t>
            </w:r>
            <w:r>
              <w:rPr>
                <w:sz w:val="18"/>
                <w:szCs w:val="18"/>
                <w:vertAlign w:val="superscript"/>
              </w:rPr>
              <w:t>***</w:t>
            </w:r>
          </w:p>
        </w:tc>
        <w:tc>
          <w:tcPr>
            <w:tcW w:w="1038" w:type="dxa"/>
            <w:tcBorders>
              <w:top w:val="single" w:color="auto" w:sz="4" w:space="0"/>
              <w:left w:val="nil"/>
              <w:bottom w:val="nil"/>
              <w:right w:val="nil"/>
              <w:tl2br w:val="nil"/>
              <w:tr2bl w:val="nil"/>
            </w:tcBorders>
            <w:shd w:val="clear" w:color="auto" w:fill="auto"/>
            <w:vAlign w:val="center"/>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0.015</w:t>
            </w:r>
            <w:r>
              <w:rPr>
                <w:rFonts w:ascii="Times New Roman Regular" w:hAnsi="Times New Roman Regular" w:cs="Times New Roman Regular"/>
                <w:sz w:val="18"/>
                <w:szCs w:val="18"/>
                <w:vertAlign w:val="superscript"/>
              </w:rPr>
              <w:t>**</w:t>
            </w:r>
          </w:p>
        </w:tc>
        <w:tc>
          <w:tcPr>
            <w:tcW w:w="1038" w:type="dxa"/>
            <w:tcBorders>
              <w:top w:val="single" w:color="auto" w:sz="4" w:space="0"/>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single" w:color="auto" w:sz="4" w:space="0"/>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single" w:color="auto" w:sz="4" w:space="0"/>
              <w:left w:val="nil"/>
              <w:bottom w:val="nil"/>
              <w:right w:val="nil"/>
              <w:tl2br w:val="nil"/>
              <w:tr2bl w:val="nil"/>
            </w:tcBorders>
            <w:shd w:val="clear" w:color="auto" w:fill="auto"/>
            <w:vAlign w:val="center"/>
          </w:tcPr>
          <w:p>
            <w:pPr>
              <w:spacing w:line="300" w:lineRule="exact"/>
              <w:jc w:val="center"/>
              <w:rPr>
                <w:sz w:val="18"/>
                <w:szCs w:val="18"/>
              </w:rPr>
            </w:pPr>
            <w:r>
              <w:rPr>
                <w:sz w:val="18"/>
                <w:szCs w:val="18"/>
              </w:rPr>
              <w:t>0.041</w:t>
            </w:r>
            <w:r>
              <w:rPr>
                <w:sz w:val="18"/>
                <w:szCs w:val="18"/>
                <w:vertAlign w:val="superscript"/>
              </w:rPr>
              <w:t>***</w:t>
            </w:r>
          </w:p>
        </w:tc>
        <w:tc>
          <w:tcPr>
            <w:tcW w:w="988" w:type="dxa"/>
            <w:tcBorders>
              <w:top w:val="single" w:color="auto" w:sz="4" w:space="0"/>
              <w:left w:val="nil"/>
              <w:bottom w:val="nil"/>
              <w:right w:val="nil"/>
              <w:tl2br w:val="nil"/>
              <w:tr2bl w:val="nil"/>
            </w:tcBorders>
            <w:shd w:val="clear" w:color="auto" w:fill="auto"/>
            <w:vAlign w:val="center"/>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0.026</w:t>
            </w:r>
            <w:r>
              <w:rPr>
                <w:rFonts w:ascii="Times New Roman Regular" w:hAnsi="Times New Roman Regular" w:cs="Times New Roman Regular"/>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1382" w:type="dxa"/>
            <w:vMerge w:val="continue"/>
            <w:tcBorders>
              <w:left w:val="nil"/>
              <w:bottom w:val="nil"/>
              <w:right w:val="single" w:color="auto" w:sz="4" w:space="0"/>
              <w:tl2br w:val="nil"/>
              <w:tr2bl w:val="nil"/>
            </w:tcBorders>
            <w:vAlign w:val="center"/>
          </w:tcPr>
          <w:p>
            <w:pPr>
              <w:spacing w:line="300" w:lineRule="exact"/>
              <w:jc w:val="left"/>
              <w:rPr>
                <w:sz w:val="18"/>
                <w:szCs w:val="18"/>
              </w:rPr>
            </w:pPr>
          </w:p>
        </w:tc>
        <w:tc>
          <w:tcPr>
            <w:tcW w:w="1031"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0.009</w:t>
            </w:r>
            <w:r>
              <w:rPr>
                <w:rFonts w:hint="eastAsia"/>
                <w:sz w:val="18"/>
                <w:szCs w:val="18"/>
              </w:rPr>
              <w:t>）</w:t>
            </w:r>
          </w:p>
        </w:tc>
        <w:tc>
          <w:tcPr>
            <w:tcW w:w="1034" w:type="dxa"/>
            <w:tcBorders>
              <w:top w:val="nil"/>
              <w:left w:val="nil"/>
              <w:bottom w:val="nil"/>
              <w:right w:val="nil"/>
              <w:tl2br w:val="nil"/>
              <w:tr2bl w:val="nil"/>
            </w:tcBorders>
            <w:shd w:val="clear" w:color="auto" w:fill="auto"/>
            <w:vAlign w:val="center"/>
          </w:tcPr>
          <w:p>
            <w:pPr>
              <w:spacing w:line="300" w:lineRule="exact"/>
              <w:jc w:val="center"/>
              <w:rPr>
                <w:sz w:val="18"/>
                <w:szCs w:val="18"/>
              </w:rPr>
            </w:pPr>
            <w:r>
              <w:rPr>
                <w:rFonts w:hint="eastAsia"/>
                <w:sz w:val="18"/>
                <w:szCs w:val="18"/>
              </w:rPr>
              <w:t>（</w:t>
            </w:r>
            <w:r>
              <w:rPr>
                <w:sz w:val="18"/>
                <w:szCs w:val="18"/>
              </w:rPr>
              <w:t>0.005</w:t>
            </w:r>
            <w:r>
              <w:rPr>
                <w:rFonts w:hint="eastAsia"/>
                <w:sz w:val="18"/>
                <w:szCs w:val="18"/>
              </w:rPr>
              <w:t>）</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Times New Roman Regular" w:hAnsi="Times New Roman Regular" w:cs="Times New Roman Regular"/>
                <w:sz w:val="18"/>
                <w:szCs w:val="18"/>
              </w:rPr>
            </w:pPr>
            <w:r>
              <w:rPr>
                <w:rFonts w:hint="eastAsia"/>
                <w:sz w:val="18"/>
                <w:szCs w:val="18"/>
              </w:rPr>
              <w:t>（</w:t>
            </w:r>
            <w:r>
              <w:rPr>
                <w:rFonts w:ascii="Times New Roman Regular" w:hAnsi="Times New Roman Regular" w:cs="Times New Roman Regular"/>
                <w:sz w:val="18"/>
                <w:szCs w:val="18"/>
              </w:rPr>
              <w:t>0.007</w:t>
            </w:r>
            <w:r>
              <w:rPr>
                <w:rFonts w:hint="eastAsia"/>
                <w:sz w:val="18"/>
                <w:szCs w:val="18"/>
              </w:rPr>
              <w:t>）</w:t>
            </w: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r>
              <w:rPr>
                <w:rFonts w:hint="eastAsia"/>
                <w:sz w:val="18"/>
                <w:szCs w:val="18"/>
              </w:rPr>
              <w:t>（</w:t>
            </w:r>
            <w:r>
              <w:rPr>
                <w:sz w:val="18"/>
                <w:szCs w:val="18"/>
              </w:rPr>
              <w:t>0.012</w:t>
            </w:r>
            <w:r>
              <w:rPr>
                <w:rFonts w:hint="eastAsia"/>
                <w:sz w:val="18"/>
                <w:szCs w:val="18"/>
              </w:rPr>
              <w:t>）</w:t>
            </w:r>
          </w:p>
        </w:tc>
        <w:tc>
          <w:tcPr>
            <w:tcW w:w="988" w:type="dxa"/>
            <w:tcBorders>
              <w:top w:val="nil"/>
              <w:left w:val="nil"/>
              <w:bottom w:val="nil"/>
              <w:right w:val="nil"/>
              <w:tl2br w:val="nil"/>
              <w:tr2bl w:val="nil"/>
            </w:tcBorders>
            <w:shd w:val="clear" w:color="auto" w:fill="auto"/>
            <w:vAlign w:val="center"/>
          </w:tcPr>
          <w:p>
            <w:pPr>
              <w:spacing w:line="30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w:t>
            </w:r>
            <w:r>
              <w:rPr>
                <w:rFonts w:ascii="Times New Roman Regular" w:hAnsi="Times New Roman Regular" w:cs="Times New Roman Regular"/>
                <w:sz w:val="18"/>
                <w:szCs w:val="18"/>
              </w:rPr>
              <w:t>0.007</w:t>
            </w:r>
            <w:r>
              <w:rPr>
                <w:rFonts w:hint="eastAsia" w:ascii="Times New Roman Regular" w:hAnsi="Times New Roman Regular" w:cs="Times New Roman Regular"/>
                <w:sz w:val="18"/>
                <w:szCs w:val="18"/>
              </w:rPr>
              <w:t>）</w:t>
            </w:r>
          </w:p>
        </w:tc>
      </w:tr>
      <w:tr>
        <w:tblPrEx>
          <w:tblLayout w:type="fixed"/>
          <w:tblCellMar>
            <w:top w:w="0" w:type="dxa"/>
            <w:left w:w="108" w:type="dxa"/>
            <w:bottom w:w="0" w:type="dxa"/>
            <w:right w:w="108" w:type="dxa"/>
          </w:tblCellMar>
        </w:tblPrEx>
        <w:trPr>
          <w:trHeight w:val="317" w:hRule="atLeast"/>
        </w:trPr>
        <w:tc>
          <w:tcPr>
            <w:tcW w:w="1382" w:type="dxa"/>
            <w:vMerge w:val="restart"/>
            <w:tcBorders>
              <w:top w:val="nil"/>
              <w:left w:val="nil"/>
              <w:right w:val="single" w:color="auto" w:sz="4" w:space="0"/>
              <w:tl2br w:val="nil"/>
              <w:tr2bl w:val="nil"/>
            </w:tcBorders>
            <w:vAlign w:val="center"/>
          </w:tcPr>
          <w:p>
            <w:pPr>
              <w:spacing w:line="300" w:lineRule="exact"/>
              <w:jc w:val="left"/>
              <w:rPr>
                <w:sz w:val="18"/>
                <w:szCs w:val="18"/>
              </w:rPr>
            </w:pPr>
            <w:r>
              <w:rPr>
                <w:rFonts w:hint="eastAsia"/>
                <w:sz w:val="18"/>
                <w:szCs w:val="18"/>
              </w:rPr>
              <w:t>滞后一期的全国统一大市场建设</w:t>
            </w:r>
          </w:p>
        </w:tc>
        <w:tc>
          <w:tcPr>
            <w:tcW w:w="1031"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1034"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r>
              <w:rPr>
                <w:sz w:val="18"/>
                <w:szCs w:val="18"/>
              </w:rPr>
              <w:t>0.019</w:t>
            </w:r>
            <w:r>
              <w:rPr>
                <w:sz w:val="18"/>
                <w:szCs w:val="18"/>
                <w:vertAlign w:val="superscript"/>
              </w:rPr>
              <w:t>***</w:t>
            </w: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98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382" w:type="dxa"/>
            <w:vMerge w:val="continue"/>
            <w:tcBorders>
              <w:left w:val="nil"/>
              <w:bottom w:val="nil"/>
              <w:right w:val="single" w:color="auto" w:sz="4" w:space="0"/>
              <w:tl2br w:val="nil"/>
              <w:tr2bl w:val="nil"/>
            </w:tcBorders>
            <w:vAlign w:val="center"/>
          </w:tcPr>
          <w:p>
            <w:pPr>
              <w:spacing w:line="300" w:lineRule="exact"/>
              <w:jc w:val="left"/>
              <w:rPr>
                <w:sz w:val="18"/>
                <w:szCs w:val="18"/>
              </w:rPr>
            </w:pPr>
          </w:p>
        </w:tc>
        <w:tc>
          <w:tcPr>
            <w:tcW w:w="1031"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1034"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r>
              <w:rPr>
                <w:rFonts w:hint="eastAsia"/>
                <w:sz w:val="18"/>
                <w:szCs w:val="18"/>
              </w:rPr>
              <w:t>（</w:t>
            </w:r>
            <w:r>
              <w:rPr>
                <w:sz w:val="18"/>
                <w:szCs w:val="18"/>
              </w:rPr>
              <w:t>0.007</w:t>
            </w:r>
            <w:r>
              <w:rPr>
                <w:rFonts w:hint="eastAsia"/>
                <w:sz w:val="18"/>
                <w:szCs w:val="18"/>
              </w:rPr>
              <w:t>）</w:t>
            </w: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98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382" w:type="dxa"/>
            <w:vMerge w:val="restart"/>
            <w:tcBorders>
              <w:top w:val="nil"/>
              <w:left w:val="nil"/>
              <w:right w:val="single" w:color="auto" w:sz="4" w:space="0"/>
              <w:tl2br w:val="nil"/>
              <w:tr2bl w:val="nil"/>
            </w:tcBorders>
            <w:vAlign w:val="center"/>
          </w:tcPr>
          <w:p>
            <w:pPr>
              <w:spacing w:line="300" w:lineRule="exact"/>
              <w:jc w:val="left"/>
              <w:rPr>
                <w:sz w:val="18"/>
                <w:szCs w:val="18"/>
              </w:rPr>
            </w:pPr>
            <w:r>
              <w:rPr>
                <w:rFonts w:hint="eastAsia"/>
                <w:sz w:val="18"/>
                <w:szCs w:val="18"/>
              </w:rPr>
              <w:t>滞后两期的全国统一大市场建设</w:t>
            </w:r>
          </w:p>
        </w:tc>
        <w:tc>
          <w:tcPr>
            <w:tcW w:w="1031"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1034"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r>
              <w:rPr>
                <w:sz w:val="18"/>
                <w:szCs w:val="18"/>
              </w:rPr>
              <w:t>0.016</w:t>
            </w:r>
            <w:r>
              <w:rPr>
                <w:sz w:val="18"/>
                <w:szCs w:val="18"/>
                <w:vertAlign w:val="superscript"/>
              </w:rPr>
              <w:t>***</w:t>
            </w: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98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382" w:type="dxa"/>
            <w:vMerge w:val="continue"/>
            <w:tcBorders>
              <w:left w:val="nil"/>
              <w:bottom w:val="nil"/>
              <w:right w:val="single" w:color="auto" w:sz="4" w:space="0"/>
              <w:tl2br w:val="nil"/>
              <w:tr2bl w:val="nil"/>
            </w:tcBorders>
            <w:vAlign w:val="center"/>
          </w:tcPr>
          <w:p>
            <w:pPr>
              <w:spacing w:line="300" w:lineRule="exact"/>
              <w:jc w:val="left"/>
              <w:rPr>
                <w:sz w:val="18"/>
                <w:szCs w:val="18"/>
              </w:rPr>
            </w:pPr>
          </w:p>
        </w:tc>
        <w:tc>
          <w:tcPr>
            <w:tcW w:w="1031" w:type="dxa"/>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1034"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r>
              <w:rPr>
                <w:rFonts w:hint="eastAsia"/>
                <w:sz w:val="18"/>
                <w:szCs w:val="18"/>
              </w:rPr>
              <w:t>（</w:t>
            </w:r>
            <w:r>
              <w:rPr>
                <w:sz w:val="18"/>
                <w:szCs w:val="18"/>
              </w:rPr>
              <w:t>0.006</w:t>
            </w:r>
            <w:r>
              <w:rPr>
                <w:rFonts w:hint="eastAsia"/>
                <w:sz w:val="18"/>
                <w:szCs w:val="18"/>
              </w:rPr>
              <w:t>）</w:t>
            </w:r>
          </w:p>
        </w:tc>
        <w:tc>
          <w:tcPr>
            <w:tcW w:w="103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c>
          <w:tcPr>
            <w:tcW w:w="988" w:type="dxa"/>
            <w:tcBorders>
              <w:top w:val="nil"/>
              <w:left w:val="nil"/>
              <w:bottom w:val="nil"/>
              <w:right w:val="nil"/>
              <w:tl2br w:val="nil"/>
              <w:tr2bl w:val="nil"/>
            </w:tcBorders>
            <w:shd w:val="clear" w:color="auto" w:fill="auto"/>
            <w:vAlign w:val="center"/>
          </w:tcPr>
          <w:p>
            <w:pPr>
              <w:spacing w:line="300" w:lineRule="exact"/>
              <w:jc w:val="center"/>
              <w:rPr>
                <w:sz w:val="18"/>
                <w:szCs w:val="18"/>
              </w:rPr>
            </w:pPr>
          </w:p>
        </w:tc>
      </w:tr>
      <w:tr>
        <w:tblPrEx>
          <w:tblLayout w:type="fixed"/>
          <w:tblCellMar>
            <w:top w:w="0" w:type="dxa"/>
            <w:left w:w="108" w:type="dxa"/>
            <w:bottom w:w="0" w:type="dxa"/>
            <w:right w:w="108" w:type="dxa"/>
          </w:tblCellMar>
        </w:tblPrEx>
        <w:trPr>
          <w:trHeight w:val="317" w:hRule="atLeast"/>
        </w:trPr>
        <w:tc>
          <w:tcPr>
            <w:tcW w:w="1382"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企业控制变量</w:t>
            </w:r>
          </w:p>
        </w:tc>
        <w:tc>
          <w:tcPr>
            <w:tcW w:w="1031" w:type="dxa"/>
            <w:tcBorders>
              <w:top w:val="nil"/>
              <w:left w:val="single" w:color="auto" w:sz="4" w:space="0"/>
              <w:bottom w:val="nil"/>
              <w:right w:val="nil"/>
              <w:tl2br w:val="nil"/>
              <w:tr2bl w:val="nil"/>
            </w:tcBorders>
            <w:vAlign w:val="center"/>
          </w:tcPr>
          <w:p>
            <w:pPr>
              <w:spacing w:line="300" w:lineRule="exact"/>
              <w:jc w:val="center"/>
              <w:rPr>
                <w:rFonts w:ascii="Calibri" w:hAnsi="Calibri"/>
                <w:sz w:val="18"/>
                <w:szCs w:val="18"/>
              </w:rPr>
            </w:pPr>
            <w:r>
              <w:rPr>
                <w:rFonts w:hint="eastAsia"/>
                <w:sz w:val="18"/>
                <w:szCs w:val="18"/>
              </w:rPr>
              <w:t>已控制</w:t>
            </w:r>
          </w:p>
        </w:tc>
        <w:tc>
          <w:tcPr>
            <w:tcW w:w="1034"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98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382" w:type="dxa"/>
            <w:tcBorders>
              <w:top w:val="nil"/>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城市控制变量</w:t>
            </w:r>
          </w:p>
        </w:tc>
        <w:tc>
          <w:tcPr>
            <w:tcW w:w="1031" w:type="dxa"/>
            <w:tcBorders>
              <w:top w:val="nil"/>
              <w:left w:val="single" w:color="auto" w:sz="4" w:space="0"/>
              <w:bottom w:val="nil"/>
              <w:right w:val="nil"/>
              <w:tl2br w:val="nil"/>
              <w:tr2bl w:val="nil"/>
            </w:tcBorders>
            <w:vAlign w:val="center"/>
          </w:tcPr>
          <w:p>
            <w:pPr>
              <w:spacing w:line="300" w:lineRule="exact"/>
              <w:jc w:val="center"/>
              <w:rPr>
                <w:rFonts w:ascii="Calibri" w:hAnsi="Calibri"/>
                <w:sz w:val="18"/>
                <w:szCs w:val="18"/>
              </w:rPr>
            </w:pPr>
            <w:r>
              <w:rPr>
                <w:rFonts w:hint="eastAsia"/>
                <w:sz w:val="18"/>
                <w:szCs w:val="18"/>
              </w:rPr>
              <w:t>已控制</w:t>
            </w:r>
          </w:p>
        </w:tc>
        <w:tc>
          <w:tcPr>
            <w:tcW w:w="1034"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988" w:type="dxa"/>
            <w:tcBorders>
              <w:top w:val="nil"/>
              <w:left w:val="nil"/>
              <w:bottom w:val="nil"/>
              <w:right w:val="nil"/>
              <w:tl2br w:val="nil"/>
              <w:tr2bl w:val="nil"/>
            </w:tcBorders>
            <w:shd w:val="clear" w:color="auto" w:fill="auto"/>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382"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1031" w:type="dxa"/>
            <w:tcBorders>
              <w:top w:val="nil"/>
              <w:left w:val="single" w:color="auto" w:sz="4" w:space="0"/>
              <w:bottom w:val="nil"/>
              <w:right w:val="nil"/>
            </w:tcBorders>
            <w:vAlign w:val="center"/>
          </w:tcPr>
          <w:p>
            <w:pPr>
              <w:spacing w:line="300" w:lineRule="exact"/>
              <w:jc w:val="center"/>
              <w:rPr>
                <w:rFonts w:ascii="Calibri" w:hAnsi="Calibri"/>
                <w:sz w:val="18"/>
                <w:szCs w:val="18"/>
              </w:rPr>
            </w:pPr>
            <w:r>
              <w:rPr>
                <w:rFonts w:hint="eastAsia"/>
                <w:sz w:val="18"/>
                <w:szCs w:val="18"/>
              </w:rPr>
              <w:t>已控制</w:t>
            </w:r>
          </w:p>
        </w:tc>
        <w:tc>
          <w:tcPr>
            <w:tcW w:w="1034"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98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382"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1031" w:type="dxa"/>
            <w:tcBorders>
              <w:top w:val="nil"/>
              <w:left w:val="single" w:color="auto" w:sz="4" w:space="0"/>
              <w:bottom w:val="nil"/>
              <w:right w:val="nil"/>
            </w:tcBorders>
            <w:vAlign w:val="center"/>
          </w:tcPr>
          <w:p>
            <w:pPr>
              <w:spacing w:line="300" w:lineRule="exact"/>
              <w:jc w:val="center"/>
              <w:rPr>
                <w:rFonts w:ascii="Calibri" w:hAnsi="Calibri"/>
                <w:sz w:val="18"/>
                <w:szCs w:val="18"/>
              </w:rPr>
            </w:pPr>
            <w:r>
              <w:rPr>
                <w:rFonts w:hint="eastAsia"/>
                <w:sz w:val="18"/>
                <w:szCs w:val="18"/>
              </w:rPr>
              <w:t>已控制</w:t>
            </w:r>
          </w:p>
        </w:tc>
        <w:tc>
          <w:tcPr>
            <w:tcW w:w="1034"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98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382"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1031" w:type="dxa"/>
            <w:tcBorders>
              <w:top w:val="nil"/>
              <w:left w:val="single" w:color="auto" w:sz="4" w:space="0"/>
              <w:bottom w:val="nil"/>
              <w:right w:val="nil"/>
            </w:tcBorders>
            <w:vAlign w:val="center"/>
          </w:tcPr>
          <w:p>
            <w:pPr>
              <w:spacing w:line="300" w:lineRule="exact"/>
              <w:jc w:val="center"/>
              <w:rPr>
                <w:rFonts w:ascii="Calibri" w:hAnsi="Calibri"/>
                <w:sz w:val="18"/>
                <w:szCs w:val="18"/>
              </w:rPr>
            </w:pPr>
            <w:r>
              <w:rPr>
                <w:rFonts w:hint="eastAsia"/>
                <w:sz w:val="18"/>
                <w:szCs w:val="18"/>
              </w:rPr>
              <w:t>已控制</w:t>
            </w:r>
          </w:p>
        </w:tc>
        <w:tc>
          <w:tcPr>
            <w:tcW w:w="1034"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103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c>
          <w:tcPr>
            <w:tcW w:w="988" w:type="dxa"/>
            <w:tcBorders>
              <w:top w:val="nil"/>
              <w:left w:val="nil"/>
              <w:bottom w:val="nil"/>
              <w:right w:val="nil"/>
            </w:tcBorders>
            <w:shd w:val="clear" w:color="auto" w:fill="auto"/>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382"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城市固定效应</w:t>
            </w:r>
          </w:p>
        </w:tc>
        <w:tc>
          <w:tcPr>
            <w:tcW w:w="1031" w:type="dxa"/>
            <w:tcBorders>
              <w:top w:val="nil"/>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已控制</w:t>
            </w:r>
          </w:p>
        </w:tc>
        <w:tc>
          <w:tcPr>
            <w:tcW w:w="1034" w:type="dxa"/>
            <w:tcBorders>
              <w:top w:val="nil"/>
              <w:left w:val="nil"/>
              <w:bottom w:val="single" w:color="auto" w:sz="4" w:space="0"/>
              <w:right w:val="nil"/>
            </w:tcBorders>
            <w:shd w:val="clear" w:color="auto" w:fill="auto"/>
            <w:vAlign w:val="center"/>
          </w:tcPr>
          <w:p>
            <w:pPr>
              <w:spacing w:line="300" w:lineRule="exact"/>
              <w:jc w:val="center"/>
              <w:rPr>
                <w:rFonts w:ascii="Calibri" w:hAnsi="Calibri"/>
              </w:rPr>
            </w:pPr>
            <w:r>
              <w:rPr>
                <w:rFonts w:hint="eastAsia"/>
                <w:sz w:val="18"/>
                <w:szCs w:val="18"/>
              </w:rPr>
              <w:t>未控制</w:t>
            </w:r>
          </w:p>
        </w:tc>
        <w:tc>
          <w:tcPr>
            <w:tcW w:w="1038" w:type="dxa"/>
            <w:tcBorders>
              <w:top w:val="nil"/>
              <w:left w:val="nil"/>
              <w:bottom w:val="single" w:color="auto" w:sz="4" w:space="0"/>
              <w:right w:val="nil"/>
            </w:tcBorders>
            <w:shd w:val="clear" w:color="auto" w:fill="auto"/>
            <w:vAlign w:val="center"/>
          </w:tcPr>
          <w:p>
            <w:pPr>
              <w:spacing w:line="300" w:lineRule="exact"/>
              <w:jc w:val="center"/>
              <w:rPr>
                <w:rFonts w:ascii="Calibri" w:hAnsi="Calibri"/>
              </w:rPr>
            </w:pPr>
            <w:r>
              <w:rPr>
                <w:rFonts w:hint="eastAsia"/>
                <w:sz w:val="18"/>
                <w:szCs w:val="18"/>
              </w:rPr>
              <w:t>未控制</w:t>
            </w:r>
          </w:p>
        </w:tc>
        <w:tc>
          <w:tcPr>
            <w:tcW w:w="1038" w:type="dxa"/>
            <w:tcBorders>
              <w:top w:val="nil"/>
              <w:left w:val="nil"/>
              <w:bottom w:val="single" w:color="auto" w:sz="4" w:space="0"/>
              <w:right w:val="nil"/>
            </w:tcBorders>
            <w:shd w:val="clear" w:color="auto" w:fill="auto"/>
            <w:vAlign w:val="center"/>
          </w:tcPr>
          <w:p>
            <w:pPr>
              <w:spacing w:line="300" w:lineRule="exact"/>
              <w:jc w:val="center"/>
              <w:rPr>
                <w:rFonts w:ascii="Calibri" w:hAnsi="Calibri"/>
              </w:rPr>
            </w:pPr>
            <w:r>
              <w:rPr>
                <w:rFonts w:hint="eastAsia"/>
                <w:sz w:val="18"/>
                <w:szCs w:val="18"/>
              </w:rPr>
              <w:t>未控制</w:t>
            </w:r>
          </w:p>
        </w:tc>
        <w:tc>
          <w:tcPr>
            <w:tcW w:w="1038" w:type="dxa"/>
            <w:tcBorders>
              <w:top w:val="nil"/>
              <w:left w:val="nil"/>
              <w:bottom w:val="single" w:color="auto" w:sz="4" w:space="0"/>
              <w:right w:val="nil"/>
            </w:tcBorders>
            <w:shd w:val="clear" w:color="auto" w:fill="auto"/>
            <w:vAlign w:val="center"/>
          </w:tcPr>
          <w:p>
            <w:pPr>
              <w:spacing w:line="300" w:lineRule="exact"/>
              <w:jc w:val="center"/>
              <w:rPr>
                <w:rFonts w:ascii="Calibri" w:hAnsi="Calibri"/>
              </w:rPr>
            </w:pPr>
            <w:r>
              <w:rPr>
                <w:rFonts w:hint="eastAsia"/>
                <w:sz w:val="18"/>
                <w:szCs w:val="18"/>
              </w:rPr>
              <w:t>未控制</w:t>
            </w:r>
          </w:p>
        </w:tc>
        <w:tc>
          <w:tcPr>
            <w:tcW w:w="1038" w:type="dxa"/>
            <w:tcBorders>
              <w:top w:val="nil"/>
              <w:left w:val="nil"/>
              <w:bottom w:val="single" w:color="auto" w:sz="4" w:space="0"/>
              <w:right w:val="nil"/>
            </w:tcBorders>
            <w:shd w:val="clear" w:color="auto" w:fill="auto"/>
            <w:vAlign w:val="center"/>
          </w:tcPr>
          <w:p>
            <w:pPr>
              <w:spacing w:line="300" w:lineRule="exact"/>
              <w:jc w:val="center"/>
              <w:rPr>
                <w:rFonts w:ascii="Calibri" w:hAnsi="Calibri"/>
              </w:rPr>
            </w:pPr>
            <w:r>
              <w:rPr>
                <w:rFonts w:hint="eastAsia"/>
                <w:sz w:val="18"/>
                <w:szCs w:val="18"/>
              </w:rPr>
              <w:t>未控制</w:t>
            </w:r>
          </w:p>
        </w:tc>
        <w:tc>
          <w:tcPr>
            <w:tcW w:w="988" w:type="dxa"/>
            <w:tcBorders>
              <w:top w:val="nil"/>
              <w:left w:val="nil"/>
              <w:bottom w:val="single" w:color="auto" w:sz="4" w:space="0"/>
              <w:right w:val="nil"/>
            </w:tcBorders>
            <w:shd w:val="clear" w:color="auto" w:fill="auto"/>
            <w:vAlign w:val="center"/>
          </w:tcPr>
          <w:p>
            <w:pPr>
              <w:spacing w:line="300" w:lineRule="exact"/>
              <w:jc w:val="center"/>
              <w:rPr>
                <w:rFonts w:ascii="Calibri" w:hAnsi="Calibri"/>
              </w:rPr>
            </w:pPr>
            <w:r>
              <w:rPr>
                <w:rFonts w:hint="eastAsia"/>
                <w:sz w:val="18"/>
                <w:szCs w:val="18"/>
              </w:rPr>
              <w:t>未控制</w:t>
            </w:r>
          </w:p>
        </w:tc>
      </w:tr>
      <w:tr>
        <w:tblPrEx>
          <w:tblLayout w:type="fixed"/>
          <w:tblCellMar>
            <w:top w:w="0" w:type="dxa"/>
            <w:left w:w="108" w:type="dxa"/>
            <w:bottom w:w="0" w:type="dxa"/>
            <w:right w:w="108" w:type="dxa"/>
          </w:tblCellMar>
        </w:tblPrEx>
        <w:trPr>
          <w:trHeight w:val="317" w:hRule="atLeast"/>
        </w:trPr>
        <w:tc>
          <w:tcPr>
            <w:tcW w:w="1382" w:type="dxa"/>
            <w:tcBorders>
              <w:top w:val="single" w:color="auto" w:sz="4" w:space="0"/>
              <w:left w:val="nil"/>
              <w:right w:val="single" w:color="auto" w:sz="4" w:space="0"/>
            </w:tcBorders>
            <w:vAlign w:val="center"/>
          </w:tcPr>
          <w:p>
            <w:pPr>
              <w:spacing w:line="300" w:lineRule="exact"/>
              <w:jc w:val="left"/>
              <w:rPr>
                <w:sz w:val="18"/>
                <w:szCs w:val="18"/>
              </w:rPr>
            </w:pPr>
            <w:r>
              <w:rPr>
                <w:rFonts w:hint="eastAsia"/>
                <w:sz w:val="18"/>
                <w:szCs w:val="18"/>
              </w:rPr>
              <w:t>观测值</w:t>
            </w:r>
          </w:p>
        </w:tc>
        <w:tc>
          <w:tcPr>
            <w:tcW w:w="1031" w:type="dxa"/>
            <w:tcBorders>
              <w:top w:val="single" w:color="auto" w:sz="4" w:space="0"/>
              <w:left w:val="single" w:color="auto" w:sz="4" w:space="0"/>
              <w:right w:val="nil"/>
            </w:tcBorders>
            <w:vAlign w:val="center"/>
          </w:tcPr>
          <w:p>
            <w:pPr>
              <w:spacing w:line="300" w:lineRule="exact"/>
              <w:jc w:val="center"/>
              <w:rPr>
                <w:sz w:val="18"/>
                <w:szCs w:val="18"/>
              </w:rPr>
            </w:pPr>
            <w:r>
              <w:rPr>
                <w:sz w:val="18"/>
                <w:szCs w:val="18"/>
              </w:rPr>
              <w:t>31902</w:t>
            </w:r>
          </w:p>
        </w:tc>
        <w:tc>
          <w:tcPr>
            <w:tcW w:w="1034" w:type="dxa"/>
            <w:tcBorders>
              <w:top w:val="single" w:color="auto" w:sz="4" w:space="0"/>
              <w:left w:val="nil"/>
              <w:right w:val="nil"/>
            </w:tcBorders>
            <w:shd w:val="clear" w:color="auto" w:fill="auto"/>
            <w:vAlign w:val="center"/>
          </w:tcPr>
          <w:p>
            <w:pPr>
              <w:spacing w:line="300" w:lineRule="exact"/>
              <w:jc w:val="center"/>
              <w:rPr>
                <w:sz w:val="18"/>
                <w:szCs w:val="18"/>
              </w:rPr>
            </w:pPr>
            <w:r>
              <w:rPr>
                <w:sz w:val="18"/>
                <w:szCs w:val="18"/>
              </w:rPr>
              <w:t>31903</w:t>
            </w:r>
          </w:p>
        </w:tc>
        <w:tc>
          <w:tcPr>
            <w:tcW w:w="1038" w:type="dxa"/>
            <w:tcBorders>
              <w:top w:val="single" w:color="auto" w:sz="4" w:space="0"/>
              <w:left w:val="nil"/>
              <w:right w:val="nil"/>
            </w:tcBorders>
            <w:shd w:val="clear" w:color="auto" w:fill="auto"/>
            <w:vAlign w:val="center"/>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31903</w:t>
            </w:r>
          </w:p>
        </w:tc>
        <w:tc>
          <w:tcPr>
            <w:tcW w:w="1038" w:type="dxa"/>
            <w:tcBorders>
              <w:top w:val="single" w:color="auto" w:sz="4" w:space="0"/>
              <w:left w:val="nil"/>
              <w:right w:val="nil"/>
            </w:tcBorders>
            <w:shd w:val="clear" w:color="auto" w:fill="auto"/>
            <w:vAlign w:val="center"/>
          </w:tcPr>
          <w:p>
            <w:pPr>
              <w:spacing w:line="300" w:lineRule="exact"/>
              <w:jc w:val="center"/>
              <w:rPr>
                <w:sz w:val="18"/>
                <w:szCs w:val="18"/>
              </w:rPr>
            </w:pPr>
            <w:r>
              <w:rPr>
                <w:sz w:val="18"/>
                <w:szCs w:val="18"/>
              </w:rPr>
              <w:t>27666</w:t>
            </w:r>
          </w:p>
        </w:tc>
        <w:tc>
          <w:tcPr>
            <w:tcW w:w="1038" w:type="dxa"/>
            <w:tcBorders>
              <w:top w:val="single" w:color="auto" w:sz="4" w:space="0"/>
              <w:left w:val="nil"/>
              <w:right w:val="nil"/>
            </w:tcBorders>
            <w:shd w:val="clear" w:color="auto" w:fill="auto"/>
            <w:vAlign w:val="center"/>
          </w:tcPr>
          <w:p>
            <w:pPr>
              <w:spacing w:line="300" w:lineRule="exact"/>
              <w:jc w:val="center"/>
              <w:rPr>
                <w:sz w:val="18"/>
                <w:szCs w:val="18"/>
              </w:rPr>
            </w:pPr>
            <w:r>
              <w:rPr>
                <w:sz w:val="18"/>
                <w:szCs w:val="18"/>
              </w:rPr>
              <w:t>24223</w:t>
            </w:r>
          </w:p>
        </w:tc>
        <w:tc>
          <w:tcPr>
            <w:tcW w:w="1038" w:type="dxa"/>
            <w:tcBorders>
              <w:top w:val="single" w:color="auto" w:sz="4" w:space="0"/>
              <w:left w:val="nil"/>
              <w:right w:val="nil"/>
            </w:tcBorders>
            <w:shd w:val="clear" w:color="auto" w:fill="auto"/>
            <w:vAlign w:val="center"/>
          </w:tcPr>
          <w:p>
            <w:pPr>
              <w:spacing w:line="300" w:lineRule="exact"/>
              <w:jc w:val="center"/>
              <w:rPr>
                <w:sz w:val="18"/>
                <w:szCs w:val="18"/>
              </w:rPr>
            </w:pPr>
            <w:r>
              <w:rPr>
                <w:sz w:val="18"/>
                <w:szCs w:val="18"/>
              </w:rPr>
              <w:t>31903</w:t>
            </w:r>
          </w:p>
        </w:tc>
        <w:tc>
          <w:tcPr>
            <w:tcW w:w="988" w:type="dxa"/>
            <w:tcBorders>
              <w:top w:val="single" w:color="auto" w:sz="4" w:space="0"/>
              <w:left w:val="nil"/>
              <w:right w:val="nil"/>
            </w:tcBorders>
            <w:shd w:val="clear" w:color="auto" w:fill="auto"/>
            <w:vAlign w:val="center"/>
          </w:tcPr>
          <w:p>
            <w:pPr>
              <w:spacing w:line="300" w:lineRule="exact"/>
              <w:jc w:val="center"/>
              <w:rPr>
                <w:sz w:val="18"/>
                <w:szCs w:val="18"/>
              </w:rPr>
            </w:pPr>
            <w:r>
              <w:rPr>
                <w:rFonts w:ascii="Times New Roman Regular" w:hAnsi="Times New Roman Regular" w:cs="Times New Roman Regular"/>
                <w:sz w:val="18"/>
                <w:szCs w:val="18"/>
              </w:rPr>
              <w:t>31926</w:t>
            </w:r>
          </w:p>
        </w:tc>
      </w:tr>
      <w:tr>
        <w:tblPrEx>
          <w:tblLayout w:type="fixed"/>
          <w:tblCellMar>
            <w:top w:w="0" w:type="dxa"/>
            <w:left w:w="108" w:type="dxa"/>
            <w:bottom w:w="0" w:type="dxa"/>
            <w:right w:w="108" w:type="dxa"/>
          </w:tblCellMar>
        </w:tblPrEx>
        <w:trPr>
          <w:trHeight w:val="317" w:hRule="atLeast"/>
        </w:trPr>
        <w:tc>
          <w:tcPr>
            <w:tcW w:w="1382" w:type="dxa"/>
            <w:tcBorders>
              <w:top w:val="nil"/>
              <w:left w:val="nil"/>
              <w:bottom w:val="single" w:color="auto" w:sz="12" w:space="0"/>
              <w:right w:val="single" w:color="auto" w:sz="4" w:space="0"/>
            </w:tcBorders>
            <w:vAlign w:val="center"/>
          </w:tcPr>
          <w:p>
            <w:pPr>
              <w:spacing w:line="300" w:lineRule="exact"/>
              <w:jc w:val="left"/>
              <w:rPr>
                <w:sz w:val="18"/>
                <w:szCs w:val="18"/>
              </w:rPr>
            </w:pPr>
            <w:r>
              <w:rPr>
                <w:rFonts w:hint="eastAsia"/>
                <w:sz w:val="18"/>
                <w:szCs w:val="18"/>
              </w:rPr>
              <w:t>R</w:t>
            </w:r>
            <w:r>
              <w:rPr>
                <w:rFonts w:hint="eastAsia"/>
                <w:sz w:val="18"/>
                <w:szCs w:val="18"/>
                <w:vertAlign w:val="superscript"/>
              </w:rPr>
              <w:t>2</w:t>
            </w:r>
          </w:p>
        </w:tc>
        <w:tc>
          <w:tcPr>
            <w:tcW w:w="1031" w:type="dxa"/>
            <w:tcBorders>
              <w:top w:val="nil"/>
              <w:left w:val="single" w:color="auto" w:sz="4" w:space="0"/>
              <w:bottom w:val="single" w:color="auto" w:sz="12" w:space="0"/>
              <w:right w:val="nil"/>
            </w:tcBorders>
            <w:vAlign w:val="center"/>
          </w:tcPr>
          <w:p>
            <w:pPr>
              <w:spacing w:line="300" w:lineRule="exact"/>
              <w:jc w:val="center"/>
              <w:rPr>
                <w:sz w:val="18"/>
                <w:szCs w:val="18"/>
              </w:rPr>
            </w:pPr>
            <w:r>
              <w:rPr>
                <w:sz w:val="18"/>
                <w:szCs w:val="18"/>
              </w:rPr>
              <w:t>0.967</w:t>
            </w:r>
          </w:p>
        </w:tc>
        <w:tc>
          <w:tcPr>
            <w:tcW w:w="1034" w:type="dxa"/>
            <w:tcBorders>
              <w:top w:val="nil"/>
              <w:left w:val="nil"/>
              <w:bottom w:val="single" w:color="auto" w:sz="12" w:space="0"/>
              <w:right w:val="nil"/>
            </w:tcBorders>
            <w:shd w:val="clear" w:color="auto" w:fill="auto"/>
            <w:vAlign w:val="center"/>
          </w:tcPr>
          <w:p>
            <w:pPr>
              <w:spacing w:line="300" w:lineRule="exact"/>
              <w:jc w:val="center"/>
              <w:rPr>
                <w:sz w:val="18"/>
                <w:szCs w:val="18"/>
              </w:rPr>
            </w:pPr>
            <w:r>
              <w:rPr>
                <w:sz w:val="18"/>
                <w:szCs w:val="18"/>
              </w:rPr>
              <w:t>0.966</w:t>
            </w:r>
          </w:p>
        </w:tc>
        <w:tc>
          <w:tcPr>
            <w:tcW w:w="1038" w:type="dxa"/>
            <w:tcBorders>
              <w:top w:val="nil"/>
              <w:left w:val="nil"/>
              <w:bottom w:val="single" w:color="auto" w:sz="12" w:space="0"/>
              <w:right w:val="nil"/>
            </w:tcBorders>
            <w:shd w:val="clear" w:color="auto" w:fill="auto"/>
            <w:vAlign w:val="center"/>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0.974</w:t>
            </w:r>
          </w:p>
        </w:tc>
        <w:tc>
          <w:tcPr>
            <w:tcW w:w="1038" w:type="dxa"/>
            <w:tcBorders>
              <w:top w:val="nil"/>
              <w:left w:val="nil"/>
              <w:bottom w:val="single" w:color="auto" w:sz="12" w:space="0"/>
              <w:right w:val="nil"/>
            </w:tcBorders>
            <w:shd w:val="clear" w:color="auto" w:fill="auto"/>
            <w:vAlign w:val="center"/>
          </w:tcPr>
          <w:p>
            <w:pPr>
              <w:spacing w:line="300" w:lineRule="exact"/>
              <w:jc w:val="center"/>
              <w:rPr>
                <w:sz w:val="18"/>
                <w:szCs w:val="18"/>
              </w:rPr>
            </w:pPr>
            <w:r>
              <w:rPr>
                <w:sz w:val="18"/>
                <w:szCs w:val="18"/>
              </w:rPr>
              <w:t>0.973</w:t>
            </w:r>
          </w:p>
        </w:tc>
        <w:tc>
          <w:tcPr>
            <w:tcW w:w="1038" w:type="dxa"/>
            <w:tcBorders>
              <w:top w:val="nil"/>
              <w:left w:val="nil"/>
              <w:bottom w:val="single" w:color="auto" w:sz="12" w:space="0"/>
              <w:right w:val="nil"/>
            </w:tcBorders>
            <w:shd w:val="clear" w:color="auto" w:fill="auto"/>
            <w:vAlign w:val="center"/>
          </w:tcPr>
          <w:p>
            <w:pPr>
              <w:spacing w:line="300" w:lineRule="exact"/>
              <w:jc w:val="center"/>
              <w:rPr>
                <w:sz w:val="18"/>
                <w:szCs w:val="18"/>
              </w:rPr>
            </w:pPr>
            <w:r>
              <w:rPr>
                <w:sz w:val="18"/>
                <w:szCs w:val="18"/>
              </w:rPr>
              <w:t>0.979</w:t>
            </w:r>
          </w:p>
        </w:tc>
        <w:tc>
          <w:tcPr>
            <w:tcW w:w="1038" w:type="dxa"/>
            <w:tcBorders>
              <w:top w:val="nil"/>
              <w:left w:val="nil"/>
              <w:bottom w:val="single" w:color="auto" w:sz="12" w:space="0"/>
              <w:right w:val="nil"/>
            </w:tcBorders>
            <w:shd w:val="clear" w:color="auto" w:fill="auto"/>
            <w:vAlign w:val="center"/>
          </w:tcPr>
          <w:p>
            <w:pPr>
              <w:spacing w:line="300" w:lineRule="exact"/>
              <w:jc w:val="center"/>
              <w:rPr>
                <w:sz w:val="18"/>
                <w:szCs w:val="18"/>
              </w:rPr>
            </w:pPr>
            <w:r>
              <w:rPr>
                <w:sz w:val="18"/>
                <w:szCs w:val="18"/>
              </w:rPr>
              <w:t>0.949</w:t>
            </w:r>
          </w:p>
        </w:tc>
        <w:tc>
          <w:tcPr>
            <w:tcW w:w="988" w:type="dxa"/>
            <w:tcBorders>
              <w:top w:val="nil"/>
              <w:left w:val="nil"/>
              <w:bottom w:val="single" w:color="auto" w:sz="12" w:space="0"/>
              <w:right w:val="nil"/>
            </w:tcBorders>
            <w:shd w:val="clear" w:color="auto" w:fill="auto"/>
            <w:vAlign w:val="center"/>
          </w:tcPr>
          <w:p>
            <w:pPr>
              <w:spacing w:line="300" w:lineRule="exact"/>
              <w:jc w:val="center"/>
              <w:rPr>
                <w:sz w:val="18"/>
                <w:szCs w:val="18"/>
              </w:rPr>
            </w:pPr>
          </w:p>
        </w:tc>
      </w:tr>
    </w:tbl>
    <w:p>
      <w:pPr>
        <w:spacing w:line="240" w:lineRule="atLeast"/>
        <w:ind w:firstLine="332" w:firstLineChars="200"/>
        <w:rPr>
          <w:sz w:val="18"/>
          <w:szCs w:val="18"/>
        </w:rPr>
      </w:pPr>
      <w:r>
        <w:rPr>
          <w:rFonts w:hint="eastAsia"/>
          <w:sz w:val="18"/>
          <w:szCs w:val="18"/>
        </w:rPr>
        <w:t>注：①***表示1%的显著性水平；②（6）列中，企业产能利用率指标使用对数值进行回归分析；③除（2）列将标准误聚类至企业层面，其余括号中的数值均表示聚类至城市层面的稳健标准误。</w:t>
      </w:r>
    </w:p>
    <w:p>
      <w:pPr>
        <w:spacing w:line="240" w:lineRule="atLeast"/>
        <w:ind w:firstLine="332" w:firstLineChars="200"/>
        <w:rPr>
          <w:rFonts w:ascii="黑体" w:hAnsi="黑体" w:eastAsia="黑体" w:cs="黑体"/>
          <w:sz w:val="18"/>
          <w:szCs w:val="18"/>
        </w:rPr>
      </w:pPr>
    </w:p>
    <w:p>
      <w:pPr>
        <w:spacing w:line="240" w:lineRule="atLeast"/>
        <w:ind w:firstLine="332" w:firstLineChars="200"/>
        <w:rPr>
          <w:szCs w:val="21"/>
        </w:rPr>
      </w:pPr>
      <w:r>
        <w:rPr>
          <w:rFonts w:hint="eastAsia" w:ascii="黑体" w:hAnsi="黑体" w:eastAsia="黑体" w:cs="黑体"/>
          <w:sz w:val="18"/>
          <w:szCs w:val="18"/>
        </w:rPr>
        <w:t>参考文献</w:t>
      </w:r>
    </w:p>
    <w:p>
      <w:pPr>
        <w:tabs>
          <w:tab w:val="left" w:pos="420"/>
        </w:tabs>
        <w:autoSpaceDE w:val="0"/>
        <w:spacing w:line="240" w:lineRule="atLeast"/>
        <w:ind w:firstLine="332" w:firstLineChars="200"/>
        <w:rPr>
          <w:rFonts w:cs="宋体"/>
          <w:spacing w:val="-2"/>
          <w:kern w:val="0"/>
          <w:sz w:val="18"/>
          <w:szCs w:val="18"/>
        </w:rPr>
      </w:pPr>
      <w:r>
        <w:rPr>
          <w:rFonts w:hint="eastAsia" w:cs="宋体"/>
          <w:kern w:val="0"/>
          <w:sz w:val="18"/>
          <w:szCs w:val="18"/>
        </w:rPr>
        <w:t>1.</w:t>
      </w:r>
      <w:r>
        <w:rPr>
          <w:rFonts w:hint="eastAsia" w:cs="宋体"/>
          <w:spacing w:val="-2"/>
          <w:kern w:val="0"/>
          <w:sz w:val="18"/>
          <w:szCs w:val="18"/>
        </w:rPr>
        <w:t>陈冬、孔墨奇、王红建，2016：《投我以桃，报之以李：经济周期与国企避税》，《管理世界》第5期，第46-63页。</w:t>
      </w:r>
    </w:p>
    <w:p>
      <w:pPr>
        <w:tabs>
          <w:tab w:val="left" w:pos="420"/>
        </w:tabs>
        <w:autoSpaceDE w:val="0"/>
        <w:spacing w:line="240" w:lineRule="atLeast"/>
        <w:ind w:firstLine="332" w:firstLineChars="200"/>
        <w:rPr>
          <w:rFonts w:cs="宋体"/>
          <w:kern w:val="0"/>
          <w:sz w:val="18"/>
          <w:szCs w:val="18"/>
        </w:rPr>
      </w:pPr>
      <w:r>
        <w:rPr>
          <w:rFonts w:hint="eastAsia" w:cs="宋体"/>
          <w:kern w:val="0"/>
          <w:sz w:val="18"/>
          <w:szCs w:val="18"/>
        </w:rPr>
        <w:t>2.李雪松、赵宸宇、聂菁，2017：《对外投资与企业异质性产能利用率》，《世界经济》第5期，第73-97页。</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sz w:val="24"/>
        </w:rPr>
      </w:pPr>
    </w:p>
    <w:p>
      <w:pPr>
        <w:spacing w:line="480" w:lineRule="auto"/>
        <w:jc w:val="left"/>
        <w:rPr>
          <w:szCs w:val="21"/>
        </w:rPr>
      </w:pPr>
      <w:r>
        <w:rPr>
          <w:rFonts w:hint="eastAsia" w:ascii="黑体" w:hAnsi="黑体" w:eastAsia="黑体" w:cs="黑体"/>
          <w:sz w:val="24"/>
        </w:rPr>
        <w:t>附录</w:t>
      </w:r>
      <w:r>
        <w:rPr>
          <w:rFonts w:hint="eastAsia" w:ascii="Times New Roman Regular" w:hAnsi="Times New Roman Regular" w:eastAsia="黑体" w:cs="Times New Roman Regular"/>
          <w:sz w:val="24"/>
        </w:rPr>
        <w:t>5</w:t>
      </w:r>
      <w:r>
        <w:rPr>
          <w:rFonts w:hint="eastAsia" w:ascii="黑体" w:hAnsi="黑体" w:eastAsia="黑体" w:cs="黑体"/>
          <w:sz w:val="24"/>
        </w:rPr>
        <w:t>：工具变量估计的具体回归结果</w:t>
      </w:r>
    </w:p>
    <w:p>
      <w:pPr>
        <w:pStyle w:val="2"/>
        <w:spacing w:line="240" w:lineRule="atLeast"/>
        <w:ind w:left="392" w:firstLine="0"/>
      </w:pPr>
      <w:r>
        <w:rPr>
          <w:rFonts w:hint="eastAsia" w:ascii="Times New Roman" w:eastAsia="黑体" w:cs="Times New Roman"/>
          <w:sz w:val="18"/>
          <w:szCs w:val="18"/>
        </w:rPr>
        <w:t>附表4                               工具变量估计的检验结果</w:t>
      </w:r>
    </w:p>
    <w:tbl>
      <w:tblPr>
        <w:tblStyle w:val="33"/>
        <w:tblW w:w="8664" w:type="dxa"/>
        <w:tblInd w:w="45" w:type="dxa"/>
        <w:tblLayout w:type="fixed"/>
        <w:tblCellMar>
          <w:top w:w="0" w:type="dxa"/>
          <w:left w:w="57" w:type="dxa"/>
          <w:bottom w:w="0" w:type="dxa"/>
          <w:right w:w="57" w:type="dxa"/>
        </w:tblCellMar>
      </w:tblPr>
      <w:tblGrid>
        <w:gridCol w:w="2539"/>
        <w:gridCol w:w="765"/>
        <w:gridCol w:w="765"/>
        <w:gridCol w:w="1"/>
        <w:gridCol w:w="764"/>
        <w:gridCol w:w="765"/>
        <w:gridCol w:w="2"/>
        <w:gridCol w:w="763"/>
        <w:gridCol w:w="765"/>
        <w:gridCol w:w="3"/>
        <w:gridCol w:w="762"/>
        <w:gridCol w:w="770"/>
      </w:tblGrid>
      <w:tr>
        <w:tblPrEx>
          <w:tblLayout w:type="fixed"/>
          <w:tblCellMar>
            <w:top w:w="0" w:type="dxa"/>
            <w:left w:w="57" w:type="dxa"/>
            <w:bottom w:w="0" w:type="dxa"/>
            <w:right w:w="57" w:type="dxa"/>
          </w:tblCellMar>
        </w:tblPrEx>
        <w:trPr>
          <w:trHeight w:val="317" w:hRule="atLeast"/>
        </w:trPr>
        <w:tc>
          <w:tcPr>
            <w:tcW w:w="2539" w:type="dxa"/>
            <w:vMerge w:val="restart"/>
            <w:tcBorders>
              <w:top w:val="single" w:color="auto" w:sz="12" w:space="0"/>
              <w:left w:val="nil"/>
              <w:right w:val="single" w:color="auto" w:sz="4" w:space="0"/>
            </w:tcBorders>
            <w:vAlign w:val="center"/>
          </w:tcPr>
          <w:p>
            <w:pPr>
              <w:spacing w:line="300" w:lineRule="exact"/>
              <w:jc w:val="center"/>
              <w:rPr>
                <w:sz w:val="18"/>
                <w:szCs w:val="18"/>
              </w:rPr>
            </w:pPr>
            <w:r>
              <w:rPr>
                <w:rFonts w:hint="eastAsia"/>
                <w:sz w:val="18"/>
                <w:szCs w:val="18"/>
              </w:rPr>
              <w:t>变量</w:t>
            </w:r>
          </w:p>
        </w:tc>
        <w:tc>
          <w:tcPr>
            <w:tcW w:w="1531" w:type="dxa"/>
            <w:gridSpan w:val="3"/>
            <w:tcBorders>
              <w:top w:val="single" w:color="auto" w:sz="12"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（1）</w:t>
            </w:r>
          </w:p>
        </w:tc>
        <w:tc>
          <w:tcPr>
            <w:tcW w:w="1531" w:type="dxa"/>
            <w:gridSpan w:val="3"/>
            <w:tcBorders>
              <w:top w:val="single" w:color="auto" w:sz="12"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（2）</w:t>
            </w:r>
          </w:p>
        </w:tc>
        <w:tc>
          <w:tcPr>
            <w:tcW w:w="1531" w:type="dxa"/>
            <w:gridSpan w:val="3"/>
            <w:tcBorders>
              <w:top w:val="single" w:color="auto" w:sz="12"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（3）</w:t>
            </w:r>
          </w:p>
        </w:tc>
        <w:tc>
          <w:tcPr>
            <w:tcW w:w="1532" w:type="dxa"/>
            <w:gridSpan w:val="2"/>
            <w:tcBorders>
              <w:top w:val="single" w:color="auto" w:sz="12" w:space="0"/>
              <w:left w:val="single" w:color="auto" w:sz="4" w:space="0"/>
              <w:bottom w:val="nil"/>
              <w:right w:val="nil"/>
            </w:tcBorders>
            <w:vAlign w:val="center"/>
          </w:tcPr>
          <w:p>
            <w:pPr>
              <w:spacing w:line="300" w:lineRule="exact"/>
              <w:jc w:val="center"/>
              <w:rPr>
                <w:sz w:val="18"/>
                <w:szCs w:val="18"/>
              </w:rPr>
            </w:pPr>
            <w:r>
              <w:rPr>
                <w:rFonts w:hint="eastAsia"/>
                <w:sz w:val="18"/>
                <w:szCs w:val="18"/>
              </w:rPr>
              <w:t>（4）</w:t>
            </w:r>
          </w:p>
        </w:tc>
      </w:tr>
      <w:tr>
        <w:tblPrEx>
          <w:tblLayout w:type="fixed"/>
          <w:tblCellMar>
            <w:top w:w="0" w:type="dxa"/>
            <w:left w:w="57" w:type="dxa"/>
            <w:bottom w:w="0" w:type="dxa"/>
            <w:right w:w="57" w:type="dxa"/>
          </w:tblCellMar>
        </w:tblPrEx>
        <w:trPr>
          <w:trHeight w:val="317" w:hRule="atLeast"/>
        </w:trPr>
        <w:tc>
          <w:tcPr>
            <w:tcW w:w="2539" w:type="dxa"/>
            <w:vMerge w:val="continue"/>
            <w:tcBorders>
              <w:left w:val="nil"/>
              <w:right w:val="single" w:color="auto" w:sz="4" w:space="0"/>
            </w:tcBorders>
            <w:vAlign w:val="center"/>
          </w:tcPr>
          <w:p>
            <w:pPr>
              <w:spacing w:line="300" w:lineRule="exact"/>
              <w:jc w:val="center"/>
              <w:rPr>
                <w:sz w:val="18"/>
                <w:szCs w:val="18"/>
              </w:rPr>
            </w:pPr>
          </w:p>
        </w:tc>
        <w:tc>
          <w:tcPr>
            <w:tcW w:w="1531" w:type="dxa"/>
            <w:gridSpan w:val="3"/>
            <w:tcBorders>
              <w:top w:val="nil"/>
              <w:left w:val="single" w:color="auto" w:sz="4" w:space="0"/>
              <w:bottom w:val="single" w:color="auto" w:sz="4" w:space="0"/>
              <w:right w:val="single" w:color="auto" w:sz="4" w:space="0"/>
              <w:tl2br w:val="nil"/>
              <w:tr2bl w:val="nil"/>
            </w:tcBorders>
            <w:vAlign w:val="center"/>
          </w:tcPr>
          <w:p>
            <w:pPr>
              <w:spacing w:line="300" w:lineRule="exact"/>
              <w:jc w:val="center"/>
              <w:rPr>
                <w:i/>
                <w:iCs/>
                <w:sz w:val="18"/>
                <w:szCs w:val="18"/>
              </w:rPr>
            </w:pPr>
            <w:r>
              <w:rPr>
                <w:rFonts w:hint="eastAsia"/>
                <w:sz w:val="18"/>
                <w:szCs w:val="18"/>
              </w:rPr>
              <w:t>全国统一大市场</w:t>
            </w:r>
          </w:p>
        </w:tc>
        <w:tc>
          <w:tcPr>
            <w:tcW w:w="1531" w:type="dxa"/>
            <w:gridSpan w:val="3"/>
            <w:tcBorders>
              <w:top w:val="nil"/>
              <w:left w:val="single" w:color="auto" w:sz="4" w:space="0"/>
              <w:bottom w:val="single" w:color="auto" w:sz="4" w:space="0"/>
              <w:right w:val="single" w:color="auto" w:sz="4" w:space="0"/>
              <w:tl2br w:val="nil"/>
              <w:tr2bl w:val="nil"/>
            </w:tcBorders>
            <w:vAlign w:val="center"/>
          </w:tcPr>
          <w:p>
            <w:pPr>
              <w:spacing w:line="300" w:lineRule="exact"/>
              <w:jc w:val="center"/>
              <w:rPr>
                <w:i/>
                <w:iCs/>
                <w:sz w:val="18"/>
                <w:szCs w:val="18"/>
              </w:rPr>
            </w:pPr>
            <w:r>
              <w:rPr>
                <w:rFonts w:hint="eastAsia"/>
                <w:sz w:val="18"/>
                <w:szCs w:val="18"/>
              </w:rPr>
              <w:t>企业产能利用率</w:t>
            </w:r>
          </w:p>
        </w:tc>
        <w:tc>
          <w:tcPr>
            <w:tcW w:w="1531" w:type="dxa"/>
            <w:gridSpan w:val="3"/>
            <w:tcBorders>
              <w:top w:val="nil"/>
              <w:left w:val="single" w:color="auto" w:sz="4" w:space="0"/>
              <w:bottom w:val="single" w:color="auto" w:sz="4" w:space="0"/>
              <w:right w:val="single" w:color="auto" w:sz="4" w:space="0"/>
              <w:tl2br w:val="nil"/>
              <w:tr2bl w:val="nil"/>
            </w:tcBorders>
            <w:vAlign w:val="center"/>
          </w:tcPr>
          <w:p>
            <w:pPr>
              <w:spacing w:line="300" w:lineRule="exact"/>
              <w:jc w:val="center"/>
              <w:rPr>
                <w:i/>
                <w:iCs/>
                <w:sz w:val="18"/>
                <w:szCs w:val="18"/>
              </w:rPr>
            </w:pPr>
            <w:r>
              <w:rPr>
                <w:rFonts w:hint="eastAsia"/>
                <w:sz w:val="18"/>
                <w:szCs w:val="18"/>
              </w:rPr>
              <w:t>全国统一大市场</w:t>
            </w:r>
          </w:p>
        </w:tc>
        <w:tc>
          <w:tcPr>
            <w:tcW w:w="1532" w:type="dxa"/>
            <w:gridSpan w:val="2"/>
            <w:tcBorders>
              <w:top w:val="nil"/>
              <w:left w:val="single" w:color="auto" w:sz="4" w:space="0"/>
              <w:bottom w:val="single" w:color="auto" w:sz="4" w:space="0"/>
              <w:right w:val="nil"/>
              <w:tl2br w:val="nil"/>
              <w:tr2bl w:val="nil"/>
            </w:tcBorders>
            <w:vAlign w:val="center"/>
          </w:tcPr>
          <w:p>
            <w:pPr>
              <w:spacing w:line="300" w:lineRule="exact"/>
              <w:jc w:val="center"/>
              <w:rPr>
                <w:i/>
                <w:iCs/>
                <w:sz w:val="18"/>
                <w:szCs w:val="18"/>
              </w:rPr>
            </w:pPr>
            <w:r>
              <w:rPr>
                <w:rFonts w:hint="eastAsia"/>
                <w:sz w:val="18"/>
                <w:szCs w:val="18"/>
              </w:rPr>
              <w:t>企业产能利用率</w:t>
            </w:r>
          </w:p>
        </w:tc>
      </w:tr>
      <w:tr>
        <w:tblPrEx>
          <w:tblLayout w:type="fixed"/>
          <w:tblCellMar>
            <w:top w:w="0" w:type="dxa"/>
            <w:left w:w="57" w:type="dxa"/>
            <w:bottom w:w="0" w:type="dxa"/>
            <w:right w:w="57" w:type="dxa"/>
          </w:tblCellMar>
        </w:tblPrEx>
        <w:trPr>
          <w:trHeight w:val="317" w:hRule="atLeast"/>
        </w:trPr>
        <w:tc>
          <w:tcPr>
            <w:tcW w:w="2539" w:type="dxa"/>
            <w:vMerge w:val="continue"/>
            <w:tcBorders>
              <w:left w:val="nil"/>
              <w:bottom w:val="single" w:color="auto" w:sz="4" w:space="0"/>
              <w:right w:val="single" w:color="auto" w:sz="4" w:space="0"/>
            </w:tcBorders>
            <w:vAlign w:val="center"/>
          </w:tcPr>
          <w:p>
            <w:pPr>
              <w:spacing w:line="300" w:lineRule="exact"/>
              <w:jc w:val="center"/>
              <w:rPr>
                <w:sz w:val="18"/>
                <w:szCs w:val="18"/>
              </w:rPr>
            </w:pPr>
          </w:p>
        </w:tc>
        <w:tc>
          <w:tcPr>
            <w:tcW w:w="765" w:type="dxa"/>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765" w:type="dxa"/>
            <w:tcBorders>
              <w:top w:val="single" w:color="auto" w:sz="4" w:space="0"/>
              <w:left w:val="nil"/>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标准误</w:t>
            </w:r>
          </w:p>
        </w:tc>
        <w:tc>
          <w:tcPr>
            <w:tcW w:w="765" w:type="dxa"/>
            <w:gridSpan w:val="2"/>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765" w:type="dxa"/>
            <w:tcBorders>
              <w:top w:val="single" w:color="auto" w:sz="4" w:space="0"/>
              <w:left w:val="nil"/>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标准误</w:t>
            </w:r>
          </w:p>
        </w:tc>
        <w:tc>
          <w:tcPr>
            <w:tcW w:w="765" w:type="dxa"/>
            <w:gridSpan w:val="2"/>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765" w:type="dxa"/>
            <w:tcBorders>
              <w:top w:val="single" w:color="auto" w:sz="4" w:space="0"/>
              <w:left w:val="nil"/>
              <w:bottom w:val="single" w:color="auto" w:sz="4" w:space="0"/>
              <w:right w:val="single" w:color="auto" w:sz="4" w:space="0"/>
              <w:tl2br w:val="nil"/>
              <w:tr2bl w:val="nil"/>
            </w:tcBorders>
            <w:vAlign w:val="center"/>
          </w:tcPr>
          <w:p>
            <w:pPr>
              <w:spacing w:line="300" w:lineRule="exact"/>
              <w:jc w:val="center"/>
              <w:rPr>
                <w:sz w:val="18"/>
                <w:szCs w:val="18"/>
              </w:rPr>
            </w:pPr>
            <w:r>
              <w:rPr>
                <w:rFonts w:hint="eastAsia"/>
                <w:sz w:val="18"/>
                <w:szCs w:val="18"/>
              </w:rPr>
              <w:t>标准误</w:t>
            </w:r>
          </w:p>
        </w:tc>
        <w:tc>
          <w:tcPr>
            <w:tcW w:w="765" w:type="dxa"/>
            <w:gridSpan w:val="2"/>
            <w:tcBorders>
              <w:top w:val="single" w:color="auto" w:sz="4" w:space="0"/>
              <w:left w:val="single" w:color="auto" w:sz="4" w:space="0"/>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系数</w:t>
            </w:r>
          </w:p>
        </w:tc>
        <w:tc>
          <w:tcPr>
            <w:tcW w:w="770" w:type="dxa"/>
            <w:tcBorders>
              <w:top w:val="single" w:color="auto" w:sz="4" w:space="0"/>
              <w:left w:val="nil"/>
              <w:bottom w:val="single" w:color="auto" w:sz="4" w:space="0"/>
              <w:right w:val="nil"/>
              <w:tl2br w:val="nil"/>
              <w:tr2bl w:val="nil"/>
            </w:tcBorders>
            <w:vAlign w:val="center"/>
          </w:tcPr>
          <w:p>
            <w:pPr>
              <w:spacing w:line="300" w:lineRule="exact"/>
              <w:jc w:val="center"/>
              <w:rPr>
                <w:sz w:val="18"/>
                <w:szCs w:val="18"/>
              </w:rPr>
            </w:pPr>
            <w:r>
              <w:rPr>
                <w:rFonts w:hint="eastAsia"/>
                <w:sz w:val="18"/>
                <w:szCs w:val="18"/>
              </w:rPr>
              <w:t>标准误</w:t>
            </w:r>
          </w:p>
        </w:tc>
      </w:tr>
      <w:tr>
        <w:tblPrEx>
          <w:tblLayout w:type="fixed"/>
          <w:tblCellMar>
            <w:top w:w="0" w:type="dxa"/>
            <w:left w:w="57" w:type="dxa"/>
            <w:bottom w:w="0" w:type="dxa"/>
            <w:right w:w="57" w:type="dxa"/>
          </w:tblCellMar>
        </w:tblPrEx>
        <w:trPr>
          <w:trHeight w:val="317" w:hRule="atLeast"/>
        </w:trPr>
        <w:tc>
          <w:tcPr>
            <w:tcW w:w="2539" w:type="dxa"/>
            <w:tcBorders>
              <w:top w:val="single" w:color="auto" w:sz="4" w:space="0"/>
              <w:left w:val="nil"/>
              <w:bottom w:val="nil"/>
              <w:right w:val="single" w:color="auto" w:sz="4" w:space="0"/>
            </w:tcBorders>
            <w:vAlign w:val="center"/>
          </w:tcPr>
          <w:p>
            <w:pPr>
              <w:spacing w:line="300" w:lineRule="exact"/>
              <w:jc w:val="left"/>
              <w:rPr>
                <w:i/>
                <w:iCs/>
                <w:sz w:val="18"/>
                <w:szCs w:val="18"/>
              </w:rPr>
            </w:pPr>
            <w:r>
              <w:rPr>
                <w:rFonts w:hint="eastAsia"/>
                <w:sz w:val="18"/>
                <w:szCs w:val="18"/>
              </w:rPr>
              <w:t>工具变量1</w:t>
            </w:r>
          </w:p>
        </w:tc>
        <w:tc>
          <w:tcPr>
            <w:tcW w:w="765" w:type="dxa"/>
            <w:tcBorders>
              <w:top w:val="single" w:color="auto" w:sz="4" w:space="0"/>
              <w:left w:val="single" w:color="auto" w:sz="4" w:space="0"/>
              <w:bottom w:val="nil"/>
              <w:right w:val="nil"/>
            </w:tcBorders>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0.044</w:t>
            </w:r>
            <w:r>
              <w:rPr>
                <w:rFonts w:ascii="Times New Roman Regular" w:hAnsi="Times New Roman Regular" w:cs="Times New Roman Regular"/>
                <w:sz w:val="18"/>
                <w:szCs w:val="18"/>
                <w:vertAlign w:val="superscript"/>
              </w:rPr>
              <w:t>***</w:t>
            </w:r>
          </w:p>
        </w:tc>
        <w:tc>
          <w:tcPr>
            <w:tcW w:w="765" w:type="dxa"/>
            <w:tcBorders>
              <w:top w:val="single" w:color="auto" w:sz="4" w:space="0"/>
              <w:left w:val="nil"/>
              <w:bottom w:val="nil"/>
              <w:right w:val="single" w:color="auto" w:sz="4" w:space="0"/>
            </w:tcBorders>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0.010</w:t>
            </w:r>
          </w:p>
        </w:tc>
        <w:tc>
          <w:tcPr>
            <w:tcW w:w="765" w:type="dxa"/>
            <w:gridSpan w:val="2"/>
            <w:tcBorders>
              <w:top w:val="single" w:color="auto" w:sz="4" w:space="0"/>
              <w:left w:val="single" w:color="auto" w:sz="4" w:space="0"/>
              <w:bottom w:val="nil"/>
              <w:right w:val="nil"/>
            </w:tcBorders>
            <w:vAlign w:val="center"/>
          </w:tcPr>
          <w:p>
            <w:pPr>
              <w:spacing w:line="300" w:lineRule="exact"/>
              <w:jc w:val="center"/>
              <w:rPr>
                <w:rFonts w:ascii="Times New Roman Regular" w:hAnsi="Times New Roman Regular" w:cs="Times New Roman Regular"/>
                <w:sz w:val="18"/>
                <w:szCs w:val="18"/>
              </w:rPr>
            </w:pPr>
          </w:p>
        </w:tc>
        <w:tc>
          <w:tcPr>
            <w:tcW w:w="765" w:type="dxa"/>
            <w:tcBorders>
              <w:top w:val="single" w:color="auto" w:sz="4" w:space="0"/>
              <w:left w:val="nil"/>
              <w:bottom w:val="nil"/>
              <w:right w:val="single" w:color="auto" w:sz="4" w:space="0"/>
            </w:tcBorders>
            <w:vAlign w:val="center"/>
          </w:tcPr>
          <w:p>
            <w:pPr>
              <w:spacing w:line="300" w:lineRule="exact"/>
              <w:jc w:val="center"/>
              <w:rPr>
                <w:rFonts w:ascii="Times New Roman Regular" w:hAnsi="Times New Roman Regular" w:cs="Times New Roman Regular"/>
                <w:sz w:val="18"/>
                <w:szCs w:val="18"/>
              </w:rPr>
            </w:pPr>
          </w:p>
        </w:tc>
        <w:tc>
          <w:tcPr>
            <w:tcW w:w="765" w:type="dxa"/>
            <w:gridSpan w:val="2"/>
            <w:tcBorders>
              <w:top w:val="single" w:color="auto" w:sz="4" w:space="0"/>
              <w:left w:val="single" w:color="auto" w:sz="4" w:space="0"/>
              <w:bottom w:val="nil"/>
              <w:right w:val="nil"/>
            </w:tcBorders>
            <w:vAlign w:val="center"/>
          </w:tcPr>
          <w:p>
            <w:pPr>
              <w:spacing w:line="300" w:lineRule="exact"/>
              <w:jc w:val="center"/>
              <w:rPr>
                <w:sz w:val="18"/>
                <w:szCs w:val="18"/>
              </w:rPr>
            </w:pPr>
          </w:p>
        </w:tc>
        <w:tc>
          <w:tcPr>
            <w:tcW w:w="765" w:type="dxa"/>
            <w:tcBorders>
              <w:top w:val="single" w:color="auto" w:sz="4" w:space="0"/>
              <w:left w:val="nil"/>
              <w:bottom w:val="nil"/>
              <w:right w:val="single" w:color="auto" w:sz="4" w:space="0"/>
            </w:tcBorders>
            <w:vAlign w:val="center"/>
          </w:tcPr>
          <w:p>
            <w:pPr>
              <w:spacing w:line="300" w:lineRule="exact"/>
              <w:jc w:val="center"/>
              <w:rPr>
                <w:sz w:val="18"/>
                <w:szCs w:val="18"/>
              </w:rPr>
            </w:pPr>
          </w:p>
        </w:tc>
        <w:tc>
          <w:tcPr>
            <w:tcW w:w="765" w:type="dxa"/>
            <w:gridSpan w:val="2"/>
            <w:tcBorders>
              <w:top w:val="single" w:color="auto" w:sz="4" w:space="0"/>
              <w:left w:val="single" w:color="auto" w:sz="4" w:space="0"/>
              <w:bottom w:val="nil"/>
              <w:right w:val="nil"/>
            </w:tcBorders>
            <w:vAlign w:val="center"/>
          </w:tcPr>
          <w:p>
            <w:pPr>
              <w:spacing w:line="300" w:lineRule="exact"/>
              <w:jc w:val="center"/>
              <w:rPr>
                <w:sz w:val="18"/>
                <w:szCs w:val="18"/>
              </w:rPr>
            </w:pPr>
          </w:p>
        </w:tc>
        <w:tc>
          <w:tcPr>
            <w:tcW w:w="770" w:type="dxa"/>
            <w:tcBorders>
              <w:top w:val="single" w:color="auto" w:sz="4" w:space="0"/>
              <w:left w:val="nil"/>
              <w:bottom w:val="nil"/>
              <w:right w:val="nil"/>
            </w:tcBorders>
            <w:vAlign w:val="center"/>
          </w:tcPr>
          <w:p>
            <w:pPr>
              <w:spacing w:line="300" w:lineRule="exact"/>
              <w:jc w:val="center"/>
              <w:rPr>
                <w:sz w:val="18"/>
                <w:szCs w:val="18"/>
              </w:rPr>
            </w:pPr>
          </w:p>
        </w:tc>
      </w:tr>
      <w:tr>
        <w:tblPrEx>
          <w:tblLayout w:type="fixed"/>
          <w:tblCellMar>
            <w:top w:w="0" w:type="dxa"/>
            <w:left w:w="57" w:type="dxa"/>
            <w:bottom w:w="0" w:type="dxa"/>
            <w:right w:w="57" w:type="dxa"/>
          </w:tblCellMar>
        </w:tblPrEx>
        <w:trPr>
          <w:trHeight w:val="317" w:hRule="atLeast"/>
        </w:trPr>
        <w:tc>
          <w:tcPr>
            <w:tcW w:w="2539" w:type="dxa"/>
            <w:tcBorders>
              <w:top w:val="nil"/>
              <w:left w:val="nil"/>
              <w:bottom w:val="nil"/>
              <w:right w:val="single" w:color="auto" w:sz="4" w:space="0"/>
            </w:tcBorders>
            <w:vAlign w:val="center"/>
          </w:tcPr>
          <w:p>
            <w:pPr>
              <w:spacing w:line="300" w:lineRule="exact"/>
              <w:jc w:val="left"/>
              <w:rPr>
                <w:i/>
                <w:iCs/>
                <w:sz w:val="18"/>
                <w:szCs w:val="18"/>
              </w:rPr>
            </w:pPr>
            <w:r>
              <w:rPr>
                <w:rFonts w:hint="eastAsia"/>
                <w:sz w:val="18"/>
                <w:szCs w:val="18"/>
              </w:rPr>
              <w:t>工具变量2</w:t>
            </w:r>
          </w:p>
        </w:tc>
        <w:tc>
          <w:tcPr>
            <w:tcW w:w="765" w:type="dxa"/>
            <w:tcBorders>
              <w:top w:val="nil"/>
              <w:left w:val="single" w:color="auto" w:sz="4" w:space="0"/>
              <w:bottom w:val="nil"/>
              <w:right w:val="nil"/>
            </w:tcBorders>
            <w:vAlign w:val="center"/>
          </w:tcPr>
          <w:p>
            <w:pPr>
              <w:spacing w:line="300" w:lineRule="exact"/>
              <w:jc w:val="center"/>
              <w:rPr>
                <w:rFonts w:ascii="Times New Roman Regular" w:hAnsi="Times New Roman Regular" w:cs="Times New Roman Regular"/>
                <w:sz w:val="18"/>
                <w:szCs w:val="18"/>
              </w:rPr>
            </w:pPr>
          </w:p>
        </w:tc>
        <w:tc>
          <w:tcPr>
            <w:tcW w:w="765" w:type="dxa"/>
            <w:tcBorders>
              <w:top w:val="nil"/>
              <w:left w:val="nil"/>
              <w:bottom w:val="nil"/>
              <w:right w:val="single" w:color="auto" w:sz="4" w:space="0"/>
            </w:tcBorders>
            <w:vAlign w:val="center"/>
          </w:tcPr>
          <w:p>
            <w:pPr>
              <w:spacing w:line="300" w:lineRule="exact"/>
              <w:jc w:val="center"/>
              <w:rPr>
                <w:rFonts w:ascii="Times New Roman Regular" w:hAnsi="Times New Roman Regular" w:cs="Times New Roman Regular"/>
                <w:sz w:val="18"/>
                <w:szCs w:val="18"/>
              </w:rPr>
            </w:pPr>
          </w:p>
        </w:tc>
        <w:tc>
          <w:tcPr>
            <w:tcW w:w="765" w:type="dxa"/>
            <w:gridSpan w:val="2"/>
            <w:tcBorders>
              <w:top w:val="nil"/>
              <w:left w:val="single" w:color="auto" w:sz="4" w:space="0"/>
              <w:bottom w:val="nil"/>
              <w:right w:val="nil"/>
            </w:tcBorders>
            <w:vAlign w:val="center"/>
          </w:tcPr>
          <w:p>
            <w:pPr>
              <w:spacing w:line="300" w:lineRule="exact"/>
              <w:jc w:val="center"/>
              <w:rPr>
                <w:rFonts w:ascii="Times New Roman Regular" w:hAnsi="Times New Roman Regular" w:cs="Times New Roman Regular"/>
                <w:sz w:val="18"/>
                <w:szCs w:val="18"/>
              </w:rPr>
            </w:pPr>
          </w:p>
        </w:tc>
        <w:tc>
          <w:tcPr>
            <w:tcW w:w="765" w:type="dxa"/>
            <w:tcBorders>
              <w:top w:val="nil"/>
              <w:left w:val="nil"/>
              <w:bottom w:val="nil"/>
              <w:right w:val="single" w:color="auto" w:sz="4" w:space="0"/>
            </w:tcBorders>
            <w:vAlign w:val="center"/>
          </w:tcPr>
          <w:p>
            <w:pPr>
              <w:spacing w:line="300" w:lineRule="exact"/>
              <w:jc w:val="center"/>
              <w:rPr>
                <w:rFonts w:ascii="Times New Roman Regular" w:hAnsi="Times New Roman Regular" w:cs="Times New Roman Regular"/>
                <w:sz w:val="18"/>
                <w:szCs w:val="18"/>
              </w:rPr>
            </w:pPr>
          </w:p>
        </w:tc>
        <w:tc>
          <w:tcPr>
            <w:tcW w:w="765" w:type="dxa"/>
            <w:gridSpan w:val="2"/>
            <w:tcBorders>
              <w:top w:val="nil"/>
              <w:left w:val="single" w:color="auto" w:sz="4" w:space="0"/>
              <w:bottom w:val="nil"/>
              <w:right w:val="nil"/>
            </w:tcBorders>
          </w:tcPr>
          <w:p>
            <w:pPr>
              <w:spacing w:line="300" w:lineRule="exact"/>
              <w:jc w:val="center"/>
              <w:rPr>
                <w:sz w:val="18"/>
                <w:szCs w:val="18"/>
              </w:rPr>
            </w:pPr>
            <w:r>
              <w:rPr>
                <w:sz w:val="18"/>
                <w:szCs w:val="18"/>
              </w:rPr>
              <w:t>19.339</w:t>
            </w:r>
            <w:r>
              <w:rPr>
                <w:sz w:val="18"/>
                <w:szCs w:val="18"/>
                <w:vertAlign w:val="superscript"/>
              </w:rPr>
              <w:t>***</w:t>
            </w:r>
          </w:p>
        </w:tc>
        <w:tc>
          <w:tcPr>
            <w:tcW w:w="765" w:type="dxa"/>
            <w:tcBorders>
              <w:top w:val="nil"/>
              <w:left w:val="nil"/>
              <w:bottom w:val="nil"/>
              <w:right w:val="single" w:color="auto" w:sz="4" w:space="0"/>
            </w:tcBorders>
          </w:tcPr>
          <w:p>
            <w:pPr>
              <w:spacing w:line="300" w:lineRule="exact"/>
              <w:jc w:val="center"/>
              <w:rPr>
                <w:sz w:val="18"/>
                <w:szCs w:val="18"/>
              </w:rPr>
            </w:pPr>
            <w:r>
              <w:rPr>
                <w:sz w:val="18"/>
                <w:szCs w:val="18"/>
              </w:rPr>
              <w:t>4.129</w:t>
            </w:r>
          </w:p>
        </w:tc>
        <w:tc>
          <w:tcPr>
            <w:tcW w:w="765" w:type="dxa"/>
            <w:gridSpan w:val="2"/>
            <w:tcBorders>
              <w:top w:val="nil"/>
              <w:left w:val="single" w:color="auto" w:sz="4" w:space="0"/>
              <w:bottom w:val="nil"/>
              <w:right w:val="nil"/>
            </w:tcBorders>
            <w:vAlign w:val="center"/>
          </w:tcPr>
          <w:p>
            <w:pPr>
              <w:spacing w:line="300" w:lineRule="exact"/>
              <w:jc w:val="center"/>
              <w:rPr>
                <w:sz w:val="18"/>
                <w:szCs w:val="18"/>
              </w:rPr>
            </w:pPr>
          </w:p>
        </w:tc>
        <w:tc>
          <w:tcPr>
            <w:tcW w:w="770" w:type="dxa"/>
            <w:tcBorders>
              <w:top w:val="nil"/>
              <w:left w:val="nil"/>
              <w:bottom w:val="nil"/>
              <w:right w:val="nil"/>
            </w:tcBorders>
            <w:vAlign w:val="center"/>
          </w:tcPr>
          <w:p>
            <w:pPr>
              <w:spacing w:line="300" w:lineRule="exact"/>
              <w:jc w:val="center"/>
              <w:rPr>
                <w:sz w:val="18"/>
                <w:szCs w:val="18"/>
              </w:rPr>
            </w:pPr>
          </w:p>
        </w:tc>
      </w:tr>
      <w:tr>
        <w:tblPrEx>
          <w:tblLayout w:type="fixed"/>
          <w:tblCellMar>
            <w:top w:w="0" w:type="dxa"/>
            <w:left w:w="57" w:type="dxa"/>
            <w:bottom w:w="0" w:type="dxa"/>
            <w:right w:w="57" w:type="dxa"/>
          </w:tblCellMar>
        </w:tblPrEx>
        <w:trPr>
          <w:trHeight w:val="317" w:hRule="atLeast"/>
        </w:trPr>
        <w:tc>
          <w:tcPr>
            <w:tcW w:w="2539" w:type="dxa"/>
            <w:tcBorders>
              <w:top w:val="nil"/>
              <w:left w:val="nil"/>
              <w:bottom w:val="nil"/>
              <w:right w:val="single" w:color="auto" w:sz="4" w:space="0"/>
              <w:tl2br w:val="nil"/>
              <w:tr2bl w:val="nil"/>
            </w:tcBorders>
            <w:vAlign w:val="center"/>
          </w:tcPr>
          <w:p>
            <w:pPr>
              <w:spacing w:line="300" w:lineRule="exact"/>
              <w:jc w:val="left"/>
              <w:rPr>
                <w:i/>
                <w:iCs/>
                <w:sz w:val="18"/>
                <w:szCs w:val="18"/>
              </w:rPr>
            </w:pPr>
            <w:r>
              <w:rPr>
                <w:rFonts w:hint="eastAsia"/>
                <w:sz w:val="18"/>
                <w:szCs w:val="18"/>
              </w:rPr>
              <w:t>全国统一大市场建设</w:t>
            </w:r>
            <w:r>
              <w:rPr>
                <w:rFonts w:ascii="Times New Roman Regular" w:hAnsi="Times New Roman Regular" w:cs="Times New Roman Regular"/>
                <w:sz w:val="18"/>
                <w:szCs w:val="18"/>
              </w:rPr>
              <w:t>_hat</w:t>
            </w:r>
          </w:p>
        </w:tc>
        <w:tc>
          <w:tcPr>
            <w:tcW w:w="765" w:type="dxa"/>
            <w:tcBorders>
              <w:top w:val="nil"/>
              <w:left w:val="single" w:color="auto" w:sz="4" w:space="0"/>
              <w:bottom w:val="nil"/>
              <w:right w:val="nil"/>
              <w:tl2br w:val="nil"/>
              <w:tr2bl w:val="nil"/>
            </w:tcBorders>
            <w:vAlign w:val="center"/>
          </w:tcPr>
          <w:p>
            <w:pPr>
              <w:spacing w:line="300" w:lineRule="exact"/>
              <w:jc w:val="center"/>
              <w:rPr>
                <w:rFonts w:ascii="Times New Roman Regular" w:hAnsi="Times New Roman Regular" w:cs="Times New Roman Regular"/>
                <w:sz w:val="18"/>
                <w:szCs w:val="18"/>
              </w:rPr>
            </w:pPr>
          </w:p>
        </w:tc>
        <w:tc>
          <w:tcPr>
            <w:tcW w:w="765" w:type="dxa"/>
            <w:tcBorders>
              <w:top w:val="nil"/>
              <w:left w:val="nil"/>
              <w:bottom w:val="nil"/>
              <w:right w:val="single" w:color="auto" w:sz="4" w:space="0"/>
              <w:tl2br w:val="nil"/>
              <w:tr2bl w:val="nil"/>
            </w:tcBorders>
            <w:vAlign w:val="center"/>
          </w:tcPr>
          <w:p>
            <w:pPr>
              <w:spacing w:line="300" w:lineRule="exact"/>
              <w:jc w:val="center"/>
              <w:rPr>
                <w:rFonts w:ascii="Times New Roman Regular" w:hAnsi="Times New Roman Regular" w:cs="Times New Roman Regular"/>
                <w:sz w:val="18"/>
                <w:szCs w:val="18"/>
              </w:rPr>
            </w:pPr>
          </w:p>
        </w:tc>
        <w:tc>
          <w:tcPr>
            <w:tcW w:w="765" w:type="dxa"/>
            <w:gridSpan w:val="2"/>
            <w:tcBorders>
              <w:top w:val="nil"/>
              <w:left w:val="single" w:color="auto" w:sz="4" w:space="0"/>
              <w:bottom w:val="nil"/>
              <w:right w:val="nil"/>
              <w:tl2br w:val="nil"/>
              <w:tr2bl w:val="nil"/>
            </w:tcBorders>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0.110</w:t>
            </w:r>
            <w:r>
              <w:rPr>
                <w:rFonts w:ascii="Times New Roman Regular" w:hAnsi="Times New Roman Regular" w:cs="Times New Roman Regular"/>
                <w:sz w:val="18"/>
                <w:szCs w:val="18"/>
                <w:vertAlign w:val="superscript"/>
              </w:rPr>
              <w:t>**</w:t>
            </w:r>
          </w:p>
        </w:tc>
        <w:tc>
          <w:tcPr>
            <w:tcW w:w="765" w:type="dxa"/>
            <w:tcBorders>
              <w:top w:val="nil"/>
              <w:left w:val="nil"/>
              <w:bottom w:val="nil"/>
              <w:right w:val="single" w:color="auto" w:sz="4" w:space="0"/>
              <w:tl2br w:val="nil"/>
              <w:tr2bl w:val="nil"/>
            </w:tcBorders>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0.055</w:t>
            </w:r>
          </w:p>
        </w:tc>
        <w:tc>
          <w:tcPr>
            <w:tcW w:w="765" w:type="dxa"/>
            <w:gridSpan w:val="2"/>
            <w:tcBorders>
              <w:top w:val="nil"/>
              <w:left w:val="single" w:color="auto" w:sz="4" w:space="0"/>
              <w:bottom w:val="nil"/>
              <w:right w:val="nil"/>
              <w:tl2br w:val="nil"/>
              <w:tr2bl w:val="nil"/>
            </w:tcBorders>
            <w:vAlign w:val="center"/>
          </w:tcPr>
          <w:p>
            <w:pPr>
              <w:spacing w:line="300" w:lineRule="exact"/>
              <w:jc w:val="center"/>
              <w:rPr>
                <w:sz w:val="18"/>
                <w:szCs w:val="18"/>
              </w:rPr>
            </w:pPr>
          </w:p>
        </w:tc>
        <w:tc>
          <w:tcPr>
            <w:tcW w:w="765" w:type="dxa"/>
            <w:tcBorders>
              <w:top w:val="nil"/>
              <w:left w:val="nil"/>
              <w:bottom w:val="nil"/>
              <w:right w:val="single" w:color="auto" w:sz="4" w:space="0"/>
              <w:tl2br w:val="nil"/>
              <w:tr2bl w:val="nil"/>
            </w:tcBorders>
            <w:vAlign w:val="center"/>
          </w:tcPr>
          <w:p>
            <w:pPr>
              <w:spacing w:line="300" w:lineRule="exact"/>
              <w:jc w:val="center"/>
              <w:rPr>
                <w:sz w:val="18"/>
                <w:szCs w:val="18"/>
              </w:rPr>
            </w:pPr>
          </w:p>
        </w:tc>
        <w:tc>
          <w:tcPr>
            <w:tcW w:w="765" w:type="dxa"/>
            <w:gridSpan w:val="2"/>
            <w:tcBorders>
              <w:top w:val="nil"/>
              <w:left w:val="single" w:color="auto" w:sz="4" w:space="0"/>
              <w:bottom w:val="nil"/>
              <w:right w:val="nil"/>
              <w:tl2br w:val="nil"/>
              <w:tr2bl w:val="nil"/>
            </w:tcBorders>
            <w:vAlign w:val="center"/>
          </w:tcPr>
          <w:p>
            <w:pPr>
              <w:spacing w:line="300" w:lineRule="exact"/>
              <w:jc w:val="center"/>
              <w:rPr>
                <w:sz w:val="18"/>
                <w:szCs w:val="18"/>
              </w:rPr>
            </w:pPr>
            <w:r>
              <w:rPr>
                <w:sz w:val="18"/>
                <w:szCs w:val="18"/>
              </w:rPr>
              <w:t>0.026</w:t>
            </w:r>
            <w:r>
              <w:rPr>
                <w:sz w:val="18"/>
                <w:szCs w:val="18"/>
                <w:vertAlign w:val="superscript"/>
              </w:rPr>
              <w:t>***</w:t>
            </w:r>
          </w:p>
        </w:tc>
        <w:tc>
          <w:tcPr>
            <w:tcW w:w="770" w:type="dxa"/>
            <w:tcBorders>
              <w:top w:val="nil"/>
              <w:left w:val="nil"/>
              <w:bottom w:val="nil"/>
              <w:right w:val="nil"/>
              <w:tl2br w:val="nil"/>
              <w:tr2bl w:val="nil"/>
            </w:tcBorders>
            <w:vAlign w:val="center"/>
          </w:tcPr>
          <w:p>
            <w:pPr>
              <w:spacing w:line="300" w:lineRule="exact"/>
              <w:jc w:val="center"/>
              <w:rPr>
                <w:sz w:val="18"/>
                <w:szCs w:val="18"/>
              </w:rPr>
            </w:pPr>
            <w:r>
              <w:rPr>
                <w:sz w:val="18"/>
                <w:szCs w:val="18"/>
              </w:rPr>
              <w:t>0.008</w:t>
            </w:r>
          </w:p>
        </w:tc>
      </w:tr>
      <w:tr>
        <w:tblPrEx>
          <w:tblLayout w:type="fixed"/>
          <w:tblCellMar>
            <w:top w:w="0" w:type="dxa"/>
            <w:left w:w="57" w:type="dxa"/>
            <w:bottom w:w="0" w:type="dxa"/>
            <w:right w:w="57" w:type="dxa"/>
          </w:tblCellMar>
        </w:tblPrEx>
        <w:trPr>
          <w:trHeight w:val="317" w:hRule="atLeast"/>
        </w:trPr>
        <w:tc>
          <w:tcPr>
            <w:tcW w:w="2539" w:type="dxa"/>
            <w:tcBorders>
              <w:left w:val="nil"/>
              <w:bottom w:val="nil"/>
              <w:right w:val="single" w:color="auto" w:sz="4" w:space="0"/>
            </w:tcBorders>
            <w:vAlign w:val="center"/>
          </w:tcPr>
          <w:p>
            <w:pPr>
              <w:spacing w:line="300" w:lineRule="exact"/>
              <w:jc w:val="left"/>
              <w:rPr>
                <w:sz w:val="18"/>
                <w:szCs w:val="18"/>
              </w:rPr>
            </w:pPr>
            <w:r>
              <w:rPr>
                <w:rFonts w:hint="eastAsia"/>
                <w:sz w:val="18"/>
                <w:szCs w:val="18"/>
              </w:rPr>
              <w:t>企业控制变量</w:t>
            </w:r>
          </w:p>
        </w:tc>
        <w:tc>
          <w:tcPr>
            <w:tcW w:w="1531" w:type="dxa"/>
            <w:gridSpan w:val="3"/>
            <w:tcBorders>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2" w:type="dxa"/>
            <w:gridSpan w:val="2"/>
            <w:tcBorders>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57" w:type="dxa"/>
            <w:bottom w:w="0" w:type="dxa"/>
            <w:right w:w="57" w:type="dxa"/>
          </w:tblCellMar>
        </w:tblPrEx>
        <w:trPr>
          <w:trHeight w:val="317" w:hRule="atLeast"/>
        </w:trPr>
        <w:tc>
          <w:tcPr>
            <w:tcW w:w="2539"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城市控制变量</w:t>
            </w:r>
          </w:p>
        </w:tc>
        <w:tc>
          <w:tcPr>
            <w:tcW w:w="1531" w:type="dxa"/>
            <w:gridSpan w:val="3"/>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2" w:type="dxa"/>
            <w:gridSpan w:val="2"/>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57" w:type="dxa"/>
            <w:bottom w:w="0" w:type="dxa"/>
            <w:right w:w="57" w:type="dxa"/>
          </w:tblCellMar>
        </w:tblPrEx>
        <w:trPr>
          <w:trHeight w:val="317" w:hRule="atLeast"/>
        </w:trPr>
        <w:tc>
          <w:tcPr>
            <w:tcW w:w="2539"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1531" w:type="dxa"/>
            <w:gridSpan w:val="3"/>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2" w:type="dxa"/>
            <w:gridSpan w:val="2"/>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57" w:type="dxa"/>
            <w:bottom w:w="0" w:type="dxa"/>
            <w:right w:w="57" w:type="dxa"/>
          </w:tblCellMar>
        </w:tblPrEx>
        <w:trPr>
          <w:trHeight w:val="317" w:hRule="atLeast"/>
        </w:trPr>
        <w:tc>
          <w:tcPr>
            <w:tcW w:w="2539"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1531" w:type="dxa"/>
            <w:gridSpan w:val="3"/>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gridSpan w:val="3"/>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2" w:type="dxa"/>
            <w:gridSpan w:val="2"/>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lang w:eastAsia="zh-CN"/>
        </w:rPr>
      </w:pPr>
      <w:r>
        <w:rPr>
          <w:rFonts w:hint="eastAsia" w:ascii="Times New Roman" w:eastAsia="黑体" w:cs="Times New Roman"/>
          <w:sz w:val="18"/>
          <w:szCs w:val="18"/>
        </w:rPr>
        <w:t>附表4</w:t>
      </w:r>
      <w:r>
        <w:rPr>
          <w:rFonts w:hint="eastAsia" w:eastAsia="黑体" w:cs="Times New Roman"/>
          <w:sz w:val="18"/>
          <w:szCs w:val="18"/>
          <w:lang w:eastAsia="zh-CN"/>
        </w:rPr>
        <w:t>（</w:t>
      </w:r>
      <w:r>
        <w:rPr>
          <w:rFonts w:hint="eastAsia" w:eastAsia="黑体" w:cs="Times New Roman"/>
          <w:sz w:val="18"/>
          <w:szCs w:val="18"/>
          <w:lang w:val="en-US" w:eastAsia="zh-CN"/>
        </w:rPr>
        <w:t>续</w:t>
      </w:r>
      <w:r>
        <w:rPr>
          <w:rFonts w:hint="eastAsia" w:eastAsia="黑体" w:cs="Times New Roman"/>
          <w:sz w:val="18"/>
          <w:szCs w:val="18"/>
          <w:lang w:eastAsia="zh-CN"/>
        </w:rPr>
        <w:t>）</w:t>
      </w:r>
    </w:p>
    <w:tbl>
      <w:tblPr>
        <w:tblStyle w:val="33"/>
        <w:tblW w:w="8664" w:type="dxa"/>
        <w:tblInd w:w="45" w:type="dxa"/>
        <w:tblLayout w:type="fixed"/>
        <w:tblCellMar>
          <w:top w:w="0" w:type="dxa"/>
          <w:left w:w="57" w:type="dxa"/>
          <w:bottom w:w="0" w:type="dxa"/>
          <w:right w:w="57" w:type="dxa"/>
        </w:tblCellMar>
      </w:tblPr>
      <w:tblGrid>
        <w:gridCol w:w="2539"/>
        <w:gridCol w:w="1531"/>
        <w:gridCol w:w="1531"/>
        <w:gridCol w:w="1531"/>
        <w:gridCol w:w="1532"/>
      </w:tblGrid>
      <w:tr>
        <w:tblPrEx>
          <w:tblLayout w:type="fixed"/>
          <w:tblCellMar>
            <w:top w:w="0" w:type="dxa"/>
            <w:left w:w="57" w:type="dxa"/>
            <w:bottom w:w="0" w:type="dxa"/>
            <w:right w:w="57" w:type="dxa"/>
          </w:tblCellMar>
        </w:tblPrEx>
        <w:trPr>
          <w:trHeight w:val="317" w:hRule="atLeast"/>
        </w:trPr>
        <w:tc>
          <w:tcPr>
            <w:tcW w:w="2539" w:type="dxa"/>
            <w:tcBorders>
              <w:top w:val="single" w:color="auto" w:sz="4" w:space="0"/>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153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532" w:type="dxa"/>
            <w:tcBorders>
              <w:top w:val="single" w:color="auto" w:sz="4" w:space="0"/>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57" w:type="dxa"/>
            <w:bottom w:w="0" w:type="dxa"/>
            <w:right w:w="57" w:type="dxa"/>
          </w:tblCellMar>
        </w:tblPrEx>
        <w:trPr>
          <w:trHeight w:val="317" w:hRule="atLeast"/>
        </w:trPr>
        <w:tc>
          <w:tcPr>
            <w:tcW w:w="2539" w:type="dxa"/>
            <w:tcBorders>
              <w:top w:val="single" w:color="auto" w:sz="4" w:space="0"/>
              <w:left w:val="nil"/>
              <w:bottom w:val="nil"/>
              <w:right w:val="single" w:color="auto" w:sz="4" w:space="0"/>
            </w:tcBorders>
            <w:vAlign w:val="center"/>
          </w:tcPr>
          <w:p>
            <w:pPr>
              <w:spacing w:line="300" w:lineRule="exact"/>
              <w:jc w:val="left"/>
              <w:rPr>
                <w:sz w:val="18"/>
                <w:szCs w:val="18"/>
              </w:rPr>
            </w:pPr>
            <w:r>
              <w:rPr>
                <w:rFonts w:hint="eastAsia"/>
                <w:sz w:val="18"/>
                <w:szCs w:val="18"/>
              </w:rPr>
              <w:t>观测值</w:t>
            </w:r>
          </w:p>
        </w:tc>
        <w:tc>
          <w:tcPr>
            <w:tcW w:w="3062" w:type="dxa"/>
            <w:gridSpan w:val="2"/>
            <w:tcBorders>
              <w:top w:val="single" w:color="auto" w:sz="4" w:space="0"/>
              <w:left w:val="single" w:color="auto" w:sz="4" w:space="0"/>
              <w:bottom w:val="nil"/>
              <w:right w:val="single" w:color="auto" w:sz="4" w:space="0"/>
            </w:tcBorders>
          </w:tcPr>
          <w:p>
            <w:pPr>
              <w:spacing w:line="300" w:lineRule="exact"/>
              <w:jc w:val="center"/>
              <w:rPr>
                <w:sz w:val="18"/>
                <w:szCs w:val="18"/>
              </w:rPr>
            </w:pPr>
            <w:r>
              <w:rPr>
                <w:rFonts w:ascii="Times New Roman Regular" w:hAnsi="Times New Roman Regular" w:cs="Times New Roman Regular"/>
                <w:sz w:val="18"/>
                <w:szCs w:val="18"/>
              </w:rPr>
              <w:t>30939</w:t>
            </w:r>
          </w:p>
        </w:tc>
        <w:tc>
          <w:tcPr>
            <w:tcW w:w="3063" w:type="dxa"/>
            <w:gridSpan w:val="2"/>
            <w:tcBorders>
              <w:top w:val="single" w:color="auto" w:sz="4" w:space="0"/>
              <w:left w:val="single" w:color="auto" w:sz="4" w:space="0"/>
              <w:bottom w:val="nil"/>
            </w:tcBorders>
          </w:tcPr>
          <w:p>
            <w:pPr>
              <w:spacing w:line="300" w:lineRule="exact"/>
              <w:jc w:val="center"/>
              <w:rPr>
                <w:sz w:val="18"/>
                <w:szCs w:val="18"/>
              </w:rPr>
            </w:pPr>
            <w:r>
              <w:rPr>
                <w:sz w:val="18"/>
                <w:szCs w:val="18"/>
              </w:rPr>
              <w:t>31903</w:t>
            </w:r>
          </w:p>
        </w:tc>
      </w:tr>
      <w:tr>
        <w:tblPrEx>
          <w:tblLayout w:type="fixed"/>
          <w:tblCellMar>
            <w:top w:w="0" w:type="dxa"/>
            <w:left w:w="57" w:type="dxa"/>
            <w:bottom w:w="0" w:type="dxa"/>
            <w:right w:w="57" w:type="dxa"/>
          </w:tblCellMar>
        </w:tblPrEx>
        <w:trPr>
          <w:trHeight w:val="317" w:hRule="atLeast"/>
        </w:trPr>
        <w:tc>
          <w:tcPr>
            <w:tcW w:w="2539" w:type="dxa"/>
            <w:tcBorders>
              <w:top w:val="nil"/>
              <w:left w:val="nil"/>
              <w:bottom w:val="nil"/>
              <w:right w:val="single" w:color="auto" w:sz="4" w:space="0"/>
            </w:tcBorders>
            <w:vAlign w:val="center"/>
          </w:tcPr>
          <w:p>
            <w:pPr>
              <w:spacing w:line="300" w:lineRule="exact"/>
              <w:jc w:val="left"/>
              <w:rPr>
                <w:rFonts w:cs="宋体"/>
                <w:sz w:val="18"/>
                <w:szCs w:val="18"/>
                <w:lang w:eastAsia="zh-Hans"/>
              </w:rPr>
            </w:pPr>
            <w:r>
              <w:rPr>
                <w:rFonts w:hint="eastAsia" w:cs="宋体"/>
                <w:sz w:val="18"/>
                <w:szCs w:val="18"/>
                <w:lang w:eastAsia="zh-Hans"/>
              </w:rPr>
              <w:t>Kleibergen-Paap rk Wald F</w:t>
            </w:r>
            <w:r>
              <w:rPr>
                <w:rFonts w:hint="eastAsia" w:cs="宋体"/>
                <w:sz w:val="18"/>
                <w:szCs w:val="18"/>
              </w:rPr>
              <w:t>统计量</w:t>
            </w:r>
          </w:p>
        </w:tc>
        <w:tc>
          <w:tcPr>
            <w:tcW w:w="3062" w:type="dxa"/>
            <w:gridSpan w:val="2"/>
            <w:tcBorders>
              <w:top w:val="nil"/>
              <w:left w:val="single" w:color="auto" w:sz="4" w:space="0"/>
              <w:right w:val="single" w:color="auto" w:sz="4" w:space="0"/>
            </w:tcBorders>
            <w:vAlign w:val="center"/>
          </w:tcPr>
          <w:p>
            <w:pPr>
              <w:spacing w:line="300" w:lineRule="exact"/>
              <w:jc w:val="center"/>
              <w:rPr>
                <w:sz w:val="18"/>
                <w:szCs w:val="18"/>
              </w:rPr>
            </w:pPr>
            <w:r>
              <w:rPr>
                <w:rFonts w:hint="eastAsia"/>
                <w:sz w:val="18"/>
                <w:szCs w:val="18"/>
              </w:rPr>
              <w:t>18.795</w:t>
            </w:r>
            <w:r>
              <w:rPr>
                <w:rFonts w:hint="eastAsia" w:ascii="宋体" w:hAnsi="宋体" w:cs="宋体"/>
                <w:sz w:val="18"/>
                <w:szCs w:val="18"/>
              </w:rPr>
              <w:t>[</w:t>
            </w:r>
            <w:r>
              <w:rPr>
                <w:rFonts w:hint="eastAsia"/>
                <w:sz w:val="18"/>
                <w:szCs w:val="18"/>
              </w:rPr>
              <w:t>16.38</w:t>
            </w:r>
            <w:r>
              <w:rPr>
                <w:rFonts w:hint="eastAsia" w:ascii="宋体" w:hAnsi="宋体" w:cs="宋体"/>
                <w:sz w:val="18"/>
                <w:szCs w:val="18"/>
              </w:rPr>
              <w:t>]</w:t>
            </w:r>
          </w:p>
        </w:tc>
        <w:tc>
          <w:tcPr>
            <w:tcW w:w="3063" w:type="dxa"/>
            <w:gridSpan w:val="2"/>
            <w:tcBorders>
              <w:top w:val="nil"/>
              <w:left w:val="single" w:color="auto" w:sz="4" w:space="0"/>
            </w:tcBorders>
            <w:vAlign w:val="center"/>
          </w:tcPr>
          <w:p>
            <w:pPr>
              <w:spacing w:line="300" w:lineRule="exact"/>
              <w:jc w:val="center"/>
              <w:rPr>
                <w:sz w:val="18"/>
                <w:szCs w:val="18"/>
              </w:rPr>
            </w:pPr>
            <w:r>
              <w:rPr>
                <w:rFonts w:hint="eastAsia"/>
                <w:sz w:val="18"/>
                <w:szCs w:val="18"/>
              </w:rPr>
              <w:t>21.937</w:t>
            </w:r>
            <w:r>
              <w:rPr>
                <w:rFonts w:hint="eastAsia" w:ascii="宋体" w:hAnsi="宋体" w:cs="宋体"/>
                <w:sz w:val="18"/>
                <w:szCs w:val="18"/>
              </w:rPr>
              <w:t>[</w:t>
            </w:r>
            <w:r>
              <w:rPr>
                <w:rFonts w:hint="eastAsia"/>
                <w:sz w:val="18"/>
                <w:szCs w:val="18"/>
              </w:rPr>
              <w:t>16.38</w:t>
            </w:r>
            <w:r>
              <w:rPr>
                <w:rFonts w:hint="eastAsia" w:ascii="宋体" w:hAnsi="宋体" w:cs="宋体"/>
                <w:sz w:val="18"/>
                <w:szCs w:val="18"/>
              </w:rPr>
              <w:t>]</w:t>
            </w:r>
          </w:p>
        </w:tc>
      </w:tr>
      <w:tr>
        <w:tblPrEx>
          <w:tblLayout w:type="fixed"/>
          <w:tblCellMar>
            <w:top w:w="0" w:type="dxa"/>
            <w:left w:w="57" w:type="dxa"/>
            <w:bottom w:w="0" w:type="dxa"/>
            <w:right w:w="57" w:type="dxa"/>
          </w:tblCellMar>
        </w:tblPrEx>
        <w:trPr>
          <w:trHeight w:val="317" w:hRule="atLeast"/>
        </w:trPr>
        <w:tc>
          <w:tcPr>
            <w:tcW w:w="2539" w:type="dxa"/>
            <w:tcBorders>
              <w:top w:val="nil"/>
              <w:left w:val="nil"/>
              <w:bottom w:val="single" w:color="auto" w:sz="12" w:space="0"/>
              <w:right w:val="single" w:color="auto" w:sz="4" w:space="0"/>
            </w:tcBorders>
            <w:vAlign w:val="center"/>
          </w:tcPr>
          <w:p>
            <w:pPr>
              <w:spacing w:line="300" w:lineRule="exact"/>
              <w:jc w:val="left"/>
              <w:rPr>
                <w:sz w:val="18"/>
                <w:szCs w:val="18"/>
              </w:rPr>
            </w:pPr>
            <w:r>
              <w:rPr>
                <w:rFonts w:hint="eastAsia" w:cs="宋体"/>
                <w:sz w:val="18"/>
                <w:szCs w:val="18"/>
                <w:lang w:eastAsia="zh-Hans"/>
              </w:rPr>
              <w:t>Kleibergen-Paap rk LM</w:t>
            </w:r>
            <w:r>
              <w:rPr>
                <w:rFonts w:hint="eastAsia" w:cs="宋体"/>
                <w:sz w:val="18"/>
                <w:szCs w:val="18"/>
              </w:rPr>
              <w:t>统计量</w:t>
            </w:r>
          </w:p>
        </w:tc>
        <w:tc>
          <w:tcPr>
            <w:tcW w:w="3062" w:type="dxa"/>
            <w:gridSpan w:val="2"/>
            <w:tcBorders>
              <w:left w:val="single" w:color="auto" w:sz="4" w:space="0"/>
              <w:bottom w:val="single" w:color="auto" w:sz="12" w:space="0"/>
              <w:right w:val="single" w:color="auto" w:sz="4" w:space="0"/>
            </w:tcBorders>
            <w:vAlign w:val="center"/>
          </w:tcPr>
          <w:p>
            <w:pPr>
              <w:spacing w:line="300" w:lineRule="exact"/>
              <w:jc w:val="center"/>
              <w:rPr>
                <w:sz w:val="18"/>
                <w:szCs w:val="18"/>
              </w:rPr>
            </w:pPr>
            <w:r>
              <w:rPr>
                <w:rFonts w:hint="eastAsia"/>
                <w:sz w:val="18"/>
                <w:szCs w:val="18"/>
              </w:rPr>
              <w:t>8.992</w:t>
            </w:r>
            <w:r>
              <w:rPr>
                <w:sz w:val="18"/>
                <w:szCs w:val="18"/>
                <w:vertAlign w:val="superscript"/>
              </w:rPr>
              <w:t>***</w:t>
            </w:r>
          </w:p>
        </w:tc>
        <w:tc>
          <w:tcPr>
            <w:tcW w:w="3063" w:type="dxa"/>
            <w:gridSpan w:val="2"/>
            <w:tcBorders>
              <w:left w:val="single" w:color="auto" w:sz="4" w:space="0"/>
              <w:bottom w:val="single" w:color="auto" w:sz="12" w:space="0"/>
            </w:tcBorders>
            <w:vAlign w:val="center"/>
          </w:tcPr>
          <w:p>
            <w:pPr>
              <w:spacing w:line="300" w:lineRule="exact"/>
              <w:jc w:val="center"/>
              <w:rPr>
                <w:sz w:val="18"/>
                <w:szCs w:val="18"/>
              </w:rPr>
            </w:pPr>
            <w:r>
              <w:rPr>
                <w:sz w:val="18"/>
                <w:szCs w:val="18"/>
              </w:rPr>
              <w:t>23.538</w:t>
            </w:r>
            <w:r>
              <w:rPr>
                <w:sz w:val="18"/>
                <w:szCs w:val="18"/>
                <w:vertAlign w:val="superscript"/>
              </w:rPr>
              <w:t>***</w:t>
            </w:r>
          </w:p>
        </w:tc>
      </w:tr>
    </w:tbl>
    <w:p>
      <w:pPr>
        <w:spacing w:line="240" w:lineRule="atLeast"/>
        <w:ind w:firstLine="332" w:firstLineChars="200"/>
        <w:rPr>
          <w:sz w:val="18"/>
          <w:szCs w:val="18"/>
        </w:rPr>
      </w:pPr>
      <w:r>
        <w:rPr>
          <w:sz w:val="18"/>
          <w:szCs w:val="18"/>
        </w:rPr>
        <w:t>注：</w:t>
      </w:r>
      <w:r>
        <w:rPr>
          <w:rFonts w:hint="eastAsia"/>
          <w:sz w:val="18"/>
          <w:szCs w:val="18"/>
        </w:rPr>
        <w:t>①***和**分别表示1%和5%的显著性水平；②标准误为聚类至城市层面的稳健标准误；③</w:t>
      </w:r>
      <w:r>
        <w:rPr>
          <w:sz w:val="18"/>
          <w:szCs w:val="18"/>
        </w:rPr>
        <w:t>中括号内为Stock-Yogo检验在10%显著性水平上的临界值</w:t>
      </w:r>
      <w:r>
        <w:rPr>
          <w:rFonts w:hint="eastAsia"/>
          <w:sz w:val="18"/>
          <w:szCs w:val="18"/>
        </w:rPr>
        <w:t>。</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sz w:val="24"/>
        </w:rPr>
      </w:pPr>
    </w:p>
    <w:p>
      <w:pPr>
        <w:spacing w:line="480" w:lineRule="auto"/>
        <w:jc w:val="left"/>
        <w:rPr>
          <w:rFonts w:ascii="黑体" w:hAnsi="黑体" w:cs="黑体"/>
          <w:szCs w:val="21"/>
        </w:rPr>
      </w:pPr>
      <w:r>
        <w:rPr>
          <w:rFonts w:hint="eastAsia" w:ascii="黑体" w:hAnsi="黑体" w:eastAsia="黑体" w:cs="黑体"/>
          <w:sz w:val="24"/>
        </w:rPr>
        <w:t>附录</w:t>
      </w:r>
      <w:r>
        <w:rPr>
          <w:rFonts w:hint="eastAsia" w:ascii="Times New Roman Regular" w:hAnsi="Times New Roman Regular" w:eastAsia="黑体" w:cs="Times New Roman Regular"/>
          <w:sz w:val="24"/>
        </w:rPr>
        <w:t>6</w:t>
      </w:r>
      <w:r>
        <w:rPr>
          <w:rFonts w:hint="eastAsia" w:ascii="黑体" w:hAnsi="黑体" w:eastAsia="黑体" w:cs="黑体"/>
          <w:sz w:val="24"/>
        </w:rPr>
        <w:t>：双重机器学习模型的具体构建方式及和检验结果</w:t>
      </w:r>
    </w:p>
    <w:p>
      <w:pPr>
        <w:spacing w:line="240" w:lineRule="atLeast"/>
        <w:ind w:firstLine="392" w:firstLineChars="200"/>
        <w:rPr>
          <w:szCs w:val="21"/>
        </w:rPr>
      </w:pPr>
      <w:r>
        <w:rPr>
          <w:rFonts w:hint="eastAsia"/>
          <w:szCs w:val="21"/>
        </w:rPr>
        <w:t>本文参考张涛和李均超（2023）的研究，采用双重机器学习模型来识别国家级城市群规划实施与企业产能利用率的因果关系。双重机器学习模型在变量选择与模型设定方面具备优良特性。一方面，双重机器学习基于正则化算法，能自动筛选出预测精度更高的控制变量集合，从而降低因控制变量冗余导致的估计偏误，可以有效地规避维度诅咒与多重共线性问题，增强了因果关系估计的准确性。另一方面，双重机器学习不需要预先假设变量间的关系，能够利用机器学习方法识别变量的非线性关系，解决了传统计量可能存在的模型设定偏误问题（Yang</w:t>
      </w:r>
      <w:r>
        <w:rPr>
          <w:rFonts w:ascii="Calibri" w:hAnsi="Calibri"/>
        </w:rPr>
        <w:t xml:space="preserve"> </w:t>
      </w:r>
      <w:r>
        <w:rPr>
          <w:szCs w:val="21"/>
        </w:rPr>
        <w:t>et al.</w:t>
      </w:r>
      <w:r>
        <w:rPr>
          <w:rFonts w:hint="eastAsia"/>
          <w:szCs w:val="21"/>
        </w:rPr>
        <w:t>，2020）。本文建立部分线性的双重机器学习模型如下：</w:t>
      </w:r>
    </w:p>
    <w:p>
      <w:pPr>
        <w:pStyle w:val="2"/>
        <w:ind w:left="392" w:firstLine="2500"/>
        <w:rPr>
          <w:rFonts w:ascii="Times New Roman" w:eastAsia="宋体"/>
          <w:sz w:val="21"/>
          <w:szCs w:val="15"/>
        </w:rPr>
      </w:pPr>
      <w:r>
        <w:rPr>
          <w:rFonts w:hint="eastAsia" w:ascii="Times New Roman" w:eastAsia="宋体"/>
          <w:position w:val="-16"/>
          <w:sz w:val="21"/>
          <w:szCs w:val="15"/>
        </w:rPr>
        <w:object>
          <v:shape id="_x0000_i1073" o:spt="75" type="#_x0000_t75" style="height:22pt;width:145.35pt;" o:ole="t" filled="f" o:preferrelative="t" stroked="f" coordsize="21600,21600">
            <v:path/>
            <v:fill on="f" focussize="0,0"/>
            <v:stroke on="f" joinstyle="miter"/>
            <v:imagedata r:id="rId60" o:title=""/>
            <o:lock v:ext="edit" aspectratio="t"/>
            <w10:wrap type="none"/>
            <w10:anchorlock/>
          </v:shape>
          <o:OLEObject Type="Embed" ProgID="Equation.DSMT4" ShapeID="_x0000_i1073" DrawAspect="Content" ObjectID="_1468075757" r:id="rId59">
            <o:LockedField>false</o:LockedField>
          </o:OLEObject>
        </w:object>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ab/>
      </w:r>
      <w:r>
        <w:rPr>
          <w:rFonts w:hint="eastAsia" w:ascii="Times New Roman" w:eastAsia="宋体"/>
          <w:sz w:val="21"/>
          <w:szCs w:val="15"/>
        </w:rPr>
        <w:t xml:space="preserve"> </w:t>
      </w:r>
      <w:r>
        <w:rPr>
          <w:rFonts w:hint="eastAsia" w:ascii="Times New Roman" w:eastAsia="宋体"/>
          <w:sz w:val="21"/>
          <w:szCs w:val="15"/>
        </w:rPr>
        <w:tab/>
      </w:r>
      <w:r>
        <w:rPr>
          <w:rFonts w:hint="eastAsia" w:ascii="Times New Roman" w:eastAsia="宋体"/>
          <w:sz w:val="21"/>
          <w:szCs w:val="15"/>
        </w:rPr>
        <w:t xml:space="preserve">  （4）</w:t>
      </w:r>
    </w:p>
    <w:p>
      <w:pPr>
        <w:pStyle w:val="2"/>
        <w:ind w:left="392" w:firstLine="2500"/>
        <w:jc w:val="right"/>
        <w:rPr>
          <w:rFonts w:ascii="Times New Roman" w:eastAsia="宋体"/>
          <w:sz w:val="21"/>
          <w:szCs w:val="15"/>
        </w:rPr>
      </w:pPr>
      <w:r>
        <w:rPr>
          <w:rFonts w:hint="eastAsia" w:ascii="Times New Roman" w:eastAsia="宋体"/>
          <w:position w:val="-16"/>
          <w:sz w:val="21"/>
          <w:szCs w:val="15"/>
        </w:rPr>
        <w:object>
          <v:shape id="_x0000_i1074" o:spt="75" alt="" type="#_x0000_t75" style="height:22pt;width:86pt;" o:ole="t" filled="f" o:preferrelative="t" stroked="f" coordsize="21600,21600">
            <v:path/>
            <v:fill on="f" focussize="0,0"/>
            <v:stroke on="f"/>
            <v:imagedata r:id="rId62" o:title=""/>
            <o:lock v:ext="edit" aspectratio="t"/>
            <w10:wrap type="none"/>
            <w10:anchorlock/>
          </v:shape>
          <o:OLEObject Type="Embed" ProgID="Equation.DSMT4" ShapeID="_x0000_i1074" DrawAspect="Content" ObjectID="_1468075758" r:id="rId61">
            <o:LockedField>false</o:LockedField>
          </o:OLEObject>
        </w:object>
      </w:r>
      <w:r>
        <w:rPr>
          <w:rFonts w:hint="eastAsia" w:ascii="Times New Roman" w:eastAsia="宋体"/>
          <w:sz w:val="21"/>
          <w:szCs w:val="15"/>
          <w:lang w:val="en-US" w:eastAsia="zh-CN"/>
        </w:rPr>
        <w:t>=0</w:t>
      </w:r>
      <w:r>
        <w:rPr>
          <w:rFonts w:hint="eastAsia" w:ascii="Times New Roman" w:eastAsia="宋体"/>
          <w:sz w:val="21"/>
          <w:szCs w:val="15"/>
        </w:rPr>
        <w:t xml:space="preserve">  </w:t>
      </w:r>
      <w:r>
        <w:rPr>
          <w:rFonts w:hint="eastAsia" w:ascii="Times New Roman" w:eastAsia="宋体"/>
          <w:sz w:val="21"/>
          <w:szCs w:val="15"/>
          <w:lang w:val="en-US" w:eastAsia="zh-CN"/>
        </w:rPr>
        <w:t xml:space="preserve">                           </w:t>
      </w:r>
      <w:r>
        <w:rPr>
          <w:rFonts w:hint="eastAsia" w:ascii="Times New Roman" w:eastAsia="宋体"/>
          <w:sz w:val="21"/>
          <w:szCs w:val="15"/>
        </w:rPr>
        <w:t>（5）</w:t>
      </w:r>
    </w:p>
    <w:p>
      <w:pPr>
        <w:spacing w:line="240" w:lineRule="atLeast"/>
        <w:ind w:firstLine="392" w:firstLineChars="200"/>
        <w:rPr>
          <w:szCs w:val="21"/>
        </w:rPr>
      </w:pPr>
      <w:r>
        <w:rPr>
          <w:rFonts w:hint="eastAsia"/>
          <w:szCs w:val="21"/>
        </w:rPr>
        <w:t>（4）式和（5）式中：</w:t>
      </w:r>
      <w:r>
        <w:rPr>
          <w:rFonts w:hint="eastAsia"/>
          <w:position w:val="-12"/>
          <w:szCs w:val="15"/>
        </w:rPr>
        <w:object>
          <v:shape id="_x0000_i1075" o:spt="75" type="#_x0000_t75" style="height:18pt;width:22pt;" o:ole="t" filled="f" o:preferrelative="t" stroked="f" coordsize="21600,21600">
            <v:path/>
            <v:fill on="f" focussize="0,0"/>
            <v:stroke on="f" joinstyle="miter"/>
            <v:imagedata r:id="rId64" o:title=""/>
            <o:lock v:ext="edit" aspectratio="t"/>
            <w10:wrap type="none"/>
            <w10:anchorlock/>
          </v:shape>
          <o:OLEObject Type="Embed" ProgID="Equation.DSMT4" ShapeID="_x0000_i1075" DrawAspect="Content" ObjectID="_1468075759" r:id="rId63">
            <o:LockedField>false</o:LockedField>
          </o:OLEObject>
        </w:object>
      </w:r>
      <w:r>
        <w:rPr>
          <w:rFonts w:hint="eastAsia"/>
          <w:szCs w:val="21"/>
        </w:rPr>
        <w:t>表示国家级城市群规划实施的政策虚拟变量，本文</w:t>
      </w:r>
      <w:r>
        <w:rPr>
          <w:szCs w:val="21"/>
        </w:rPr>
        <w:t>以《中华人民共和国国民经济和社会发展第十四个五年规划和2035年远景目标纲要》中布局的十九大城市群作为原始城市群对象</w:t>
      </w:r>
      <w:r>
        <w:rPr>
          <w:szCs w:val="21"/>
          <w:vertAlign w:val="superscript"/>
        </w:rPr>
        <w:footnoteReference w:id="1"/>
      </w:r>
      <w:r>
        <w:rPr>
          <w:rFonts w:hint="eastAsia"/>
          <w:szCs w:val="21"/>
        </w:rPr>
        <w:t>。</w:t>
      </w:r>
      <w:r>
        <w:rPr>
          <w:szCs w:val="21"/>
        </w:rPr>
        <w:t>如果上述城市群在样本期内获得国务院正式文件批复，那么城市群内部各城市在获得</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cs="Times New Roman Italic"/>
          <w:szCs w:val="21"/>
        </w:rPr>
      </w:pPr>
      <w:r>
        <w:rPr>
          <w:szCs w:val="21"/>
        </w:rPr>
        <w:t>批复后的政策虚拟变量取值为1，否则取值为0</w:t>
      </w:r>
      <w:r>
        <w:rPr>
          <w:rFonts w:hint="eastAsia"/>
          <w:szCs w:val="21"/>
        </w:rPr>
        <w:t>；</w:t>
      </w:r>
      <w:r>
        <w:rPr>
          <w:rFonts w:hint="eastAsia"/>
          <w:position w:val="-14"/>
          <w:szCs w:val="15"/>
        </w:rPr>
        <w:object>
          <v:shape id="_x0000_i1076" o:spt="75" type="#_x0000_t75" style="height:18.65pt;width:22pt;" o:ole="t" filled="f" o:preferrelative="t" stroked="f" coordsize="21600,21600">
            <v:path/>
            <v:fill on="f" focussize="0,0"/>
            <v:stroke on="f" joinstyle="miter"/>
            <v:imagedata r:id="rId66" o:title=""/>
            <o:lock v:ext="edit" aspectratio="t"/>
            <w10:wrap type="none"/>
            <w10:anchorlock/>
          </v:shape>
          <o:OLEObject Type="Embed" ProgID="Equation.DSMT4" ShapeID="_x0000_i1076" DrawAspect="Content" ObjectID="_1468075760" r:id="rId65">
            <o:LockedField>false</o:LockedField>
          </o:OLEObject>
        </w:object>
      </w:r>
      <w:r>
        <w:rPr>
          <w:rFonts w:hint="eastAsia" w:cs="Times New Roman Italic"/>
          <w:iCs/>
          <w:szCs w:val="21"/>
        </w:rPr>
        <w:t>表示控制变量，与正文（1）</w:t>
      </w:r>
      <w:r>
        <w:rPr>
          <w:rFonts w:hint="eastAsia"/>
          <w:szCs w:val="21"/>
        </w:rPr>
        <w:t>式</w:t>
      </w:r>
      <w:r>
        <w:rPr>
          <w:rFonts w:hint="eastAsia" w:cs="Times New Roman Italic"/>
          <w:iCs/>
          <w:szCs w:val="21"/>
        </w:rPr>
        <w:t>的选择一致；</w:t>
      </w:r>
      <w:r>
        <w:rPr>
          <w:rFonts w:hint="eastAsia"/>
          <w:position w:val="-16"/>
          <w:szCs w:val="15"/>
        </w:rPr>
        <w:object>
          <v:shape id="_x0000_i1077" o:spt="75" type="#_x0000_t75" style="height:22pt;width:42pt;" o:ole="t" filled="f" o:preferrelative="t" stroked="f" coordsize="21600,21600">
            <v:path/>
            <v:fill on="f" focussize="0,0"/>
            <v:stroke on="f" joinstyle="miter"/>
            <v:imagedata r:id="rId68" o:title=""/>
            <o:lock v:ext="edit" aspectratio="t"/>
            <w10:wrap type="none"/>
            <w10:anchorlock/>
          </v:shape>
          <o:OLEObject Type="Embed" ProgID="Equation.DSMT4" ShapeID="_x0000_i1077" DrawAspect="Content" ObjectID="_1468075761" r:id="rId67">
            <o:LockedField>false</o:LockedField>
          </o:OLEObject>
        </w:object>
      </w:r>
      <w:r>
        <w:rPr>
          <w:rFonts w:hint="eastAsia"/>
          <w:color w:val="000000"/>
          <w:szCs w:val="21"/>
        </w:rPr>
        <w:t>将通过机器学习算法进行估计；</w:t>
      </w:r>
      <w:r>
        <w:rPr>
          <w:rFonts w:hint="eastAsia"/>
          <w:position w:val="-14"/>
          <w:szCs w:val="15"/>
        </w:rPr>
        <w:object>
          <v:shape id="_x0000_i1078" o:spt="75" type="#_x0000_t75" style="height:18.65pt;width:20pt;" o:ole="t" filled="f" o:preferrelative="t" stroked="f" coordsize="21600,21600">
            <v:path/>
            <v:fill on="f" focussize="0,0"/>
            <v:stroke on="f" joinstyle="miter"/>
            <v:imagedata r:id="rId70" o:title=""/>
            <o:lock v:ext="edit" aspectratio="t"/>
            <w10:wrap type="none"/>
            <w10:anchorlock/>
          </v:shape>
          <o:OLEObject Type="Embed" ProgID="Equation.DSMT4" ShapeID="_x0000_i1078" DrawAspect="Content" ObjectID="_1468075762" r:id="rId69">
            <o:LockedField>false</o:LockedField>
          </o:OLEObject>
        </w:object>
      </w:r>
      <w:r>
        <w:rPr>
          <w:rFonts w:hint="eastAsia" w:cs="Times New Roman Italic"/>
          <w:iCs/>
          <w:szCs w:val="21"/>
        </w:rPr>
        <w:t>表示随机误差项，条件均值为0。</w:t>
      </w:r>
      <w:r>
        <w:rPr>
          <w:rFonts w:hint="eastAsia"/>
          <w:position w:val="-10"/>
          <w:szCs w:val="15"/>
        </w:rPr>
        <w:object>
          <v:shape id="_x0000_i1079" o:spt="75" type="#_x0000_t75" style="height:15.35pt;width:12pt;" o:ole="t" filled="f" o:preferrelative="t" stroked="f" coordsize="21600,21600">
            <v:path/>
            <v:fill on="f" focussize="0,0"/>
            <v:stroke on="f" joinstyle="miter"/>
            <v:imagedata r:id="rId72" o:title=""/>
            <o:lock v:ext="edit" aspectratio="t"/>
            <w10:wrap type="none"/>
            <w10:anchorlock/>
          </v:shape>
          <o:OLEObject Type="Embed" ProgID="Equation.DSMT4" ShapeID="_x0000_i1079" DrawAspect="Content" ObjectID="_1468075763" r:id="rId71">
            <o:LockedField>false</o:LockedField>
          </o:OLEObject>
        </w:object>
      </w:r>
      <w:r>
        <w:rPr>
          <w:rFonts w:hint="eastAsia" w:cs="Times New Roman Italic"/>
          <w:szCs w:val="21"/>
        </w:rPr>
        <w:t>表示政策评估的处</w:t>
      </w:r>
    </w:p>
    <w:p>
      <w:pPr>
        <w:spacing w:line="240" w:lineRule="atLeast"/>
        <w:rPr>
          <w:szCs w:val="21"/>
        </w:rPr>
      </w:pPr>
      <w:r>
        <w:rPr>
          <w:rFonts w:hint="eastAsia" w:cs="Times New Roman Italic"/>
          <w:szCs w:val="21"/>
        </w:rPr>
        <w:t>置系数，若</w:t>
      </w:r>
      <w:r>
        <w:rPr>
          <w:rFonts w:hint="eastAsia"/>
          <w:position w:val="-10"/>
          <w:szCs w:val="15"/>
        </w:rPr>
        <w:object>
          <v:shape id="_x0000_i1080" o:spt="75" type="#_x0000_t75" style="height:15.35pt;width:12pt;" o:ole="t" filled="f" o:preferrelative="t" stroked="f" coordsize="21600,21600">
            <v:path/>
            <v:fill on="f" focussize="0,0"/>
            <v:stroke on="f" joinstyle="miter"/>
            <v:imagedata r:id="rId72" o:title=""/>
            <o:lock v:ext="edit" aspectratio="t"/>
            <w10:wrap type="none"/>
            <w10:anchorlock/>
          </v:shape>
          <o:OLEObject Type="Embed" ProgID="Equation.DSMT4" ShapeID="_x0000_i1080" DrawAspect="Content" ObjectID="_1468075764" r:id="rId73">
            <o:LockedField>false</o:LockedField>
          </o:OLEObject>
        </w:object>
      </w:r>
      <w:r>
        <w:rPr>
          <w:rFonts w:hint="eastAsia" w:cs="Times New Roman Italic"/>
          <w:szCs w:val="21"/>
        </w:rPr>
        <w:t>显著为正，则说明</w:t>
      </w:r>
      <w:r>
        <w:rPr>
          <w:rFonts w:hint="eastAsia"/>
          <w:szCs w:val="21"/>
        </w:rPr>
        <w:t>国家级城市群规划的实施有助于提升企业产能利用率，反之</w:t>
      </w:r>
      <w:r>
        <w:rPr>
          <w:rFonts w:hint="eastAsia" w:cs="Times New Roman Italic"/>
          <w:szCs w:val="21"/>
        </w:rPr>
        <w:t>则说明</w:t>
      </w:r>
      <w:r>
        <w:rPr>
          <w:rFonts w:hint="eastAsia"/>
          <w:szCs w:val="21"/>
        </w:rPr>
        <w:t>国家级城市群规划抑制了企业产能利用率的提升。</w:t>
      </w:r>
    </w:p>
    <w:p>
      <w:pPr>
        <w:spacing w:line="240" w:lineRule="atLeast"/>
        <w:ind w:firstLine="392" w:firstLineChars="200"/>
        <w:rPr>
          <w:szCs w:val="21"/>
        </w:rPr>
      </w:pPr>
      <w:r>
        <w:rPr>
          <w:rFonts w:hint="eastAsia"/>
          <w:szCs w:val="21"/>
        </w:rPr>
        <w:t>本文将双重机器学习模型的样本分割比例设定为1</w:t>
      </w:r>
      <w:r>
        <w:rPr>
          <w:rFonts w:hint="eastAsia"/>
          <w:sz w:val="18"/>
          <w:szCs w:val="18"/>
        </w:rPr>
        <w:t>∶</w:t>
      </w:r>
      <w:r>
        <w:rPr>
          <w:rFonts w:hint="eastAsia"/>
          <w:szCs w:val="21"/>
        </w:rPr>
        <w:t>4，并利用随机森林算法对主回归与辅助回归进行预测求解。在控制企业、行业与年份固定效应的基础上，依次加入控制变量集合的一次项和二次项，估计结果分别见附表5（1）列和（2）列。可以发现，国家级城市群规划实施的估计系数均在1%水平上显著为正，表明国家级城市群规划的实施能够提升企业产能利用率。因此，在运用双重机器学习方法缓解潜在的内生性问题后，本文的核心研究结论依然保持稳健。</w:t>
      </w:r>
    </w:p>
    <w:p>
      <w:pPr>
        <w:pStyle w:val="2"/>
        <w:spacing w:line="240" w:lineRule="atLeast"/>
        <w:ind w:left="392" w:firstLine="0"/>
      </w:pPr>
      <w:r>
        <w:rPr>
          <w:rFonts w:hint="eastAsia" w:ascii="Times New Roman" w:eastAsia="黑体" w:cs="Times New Roman"/>
          <w:sz w:val="18"/>
          <w:szCs w:val="18"/>
        </w:rPr>
        <w:t>附表5                             双重机器学习模型的检验结果</w:t>
      </w:r>
    </w:p>
    <w:tbl>
      <w:tblPr>
        <w:tblStyle w:val="33"/>
        <w:tblW w:w="8630" w:type="dxa"/>
        <w:tblInd w:w="125" w:type="dxa"/>
        <w:tblLayout w:type="fixed"/>
        <w:tblCellMar>
          <w:top w:w="0" w:type="dxa"/>
          <w:left w:w="108" w:type="dxa"/>
          <w:bottom w:w="0" w:type="dxa"/>
          <w:right w:w="108" w:type="dxa"/>
        </w:tblCellMar>
      </w:tblPr>
      <w:tblGrid>
        <w:gridCol w:w="2536"/>
        <w:gridCol w:w="2922"/>
        <w:gridCol w:w="3172"/>
      </w:tblGrid>
      <w:tr>
        <w:tblPrEx>
          <w:tblLayout w:type="fixed"/>
          <w:tblCellMar>
            <w:top w:w="0" w:type="dxa"/>
            <w:left w:w="108" w:type="dxa"/>
            <w:bottom w:w="0" w:type="dxa"/>
            <w:right w:w="108" w:type="dxa"/>
          </w:tblCellMar>
        </w:tblPrEx>
        <w:trPr>
          <w:trHeight w:val="317" w:hRule="atLeast"/>
        </w:trPr>
        <w:tc>
          <w:tcPr>
            <w:tcW w:w="2536" w:type="dxa"/>
            <w:vMerge w:val="restart"/>
            <w:tcBorders>
              <w:top w:val="single" w:color="auto" w:sz="12"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变量</w:t>
            </w:r>
          </w:p>
        </w:tc>
        <w:tc>
          <w:tcPr>
            <w:tcW w:w="2922" w:type="dxa"/>
            <w:tcBorders>
              <w:top w:val="single" w:color="auto" w:sz="12"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（1）</w:t>
            </w:r>
          </w:p>
        </w:tc>
        <w:tc>
          <w:tcPr>
            <w:tcW w:w="3172" w:type="dxa"/>
            <w:tcBorders>
              <w:top w:val="single" w:color="auto" w:sz="12" w:space="0"/>
              <w:left w:val="single" w:color="auto" w:sz="4" w:space="0"/>
              <w:bottom w:val="nil"/>
              <w:right w:val="nil"/>
            </w:tcBorders>
            <w:vAlign w:val="center"/>
          </w:tcPr>
          <w:p>
            <w:pPr>
              <w:spacing w:line="300" w:lineRule="exact"/>
              <w:jc w:val="center"/>
              <w:rPr>
                <w:sz w:val="18"/>
                <w:szCs w:val="18"/>
              </w:rPr>
            </w:pPr>
            <w:r>
              <w:rPr>
                <w:rFonts w:hint="eastAsia"/>
                <w:sz w:val="18"/>
                <w:szCs w:val="18"/>
              </w:rPr>
              <w:t>（2）</w:t>
            </w:r>
          </w:p>
        </w:tc>
      </w:tr>
      <w:tr>
        <w:tblPrEx>
          <w:tblLayout w:type="fixed"/>
          <w:tblCellMar>
            <w:top w:w="0" w:type="dxa"/>
            <w:left w:w="108" w:type="dxa"/>
            <w:bottom w:w="0" w:type="dxa"/>
            <w:right w:w="108" w:type="dxa"/>
          </w:tblCellMar>
        </w:tblPrEx>
        <w:trPr>
          <w:trHeight w:val="317" w:hRule="atLeast"/>
        </w:trPr>
        <w:tc>
          <w:tcPr>
            <w:tcW w:w="2536"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2922" w:type="dxa"/>
            <w:tcBorders>
              <w:top w:val="nil"/>
              <w:left w:val="single" w:color="auto" w:sz="4" w:space="0"/>
              <w:bottom w:val="single" w:color="auto" w:sz="4" w:space="0"/>
              <w:right w:val="single" w:color="auto" w:sz="4" w:space="0"/>
              <w:tl2br w:val="nil"/>
              <w:tr2bl w:val="nil"/>
            </w:tcBorders>
            <w:vAlign w:val="center"/>
          </w:tcPr>
          <w:p>
            <w:pPr>
              <w:spacing w:line="300" w:lineRule="exact"/>
              <w:jc w:val="center"/>
              <w:rPr>
                <w:i/>
                <w:iCs/>
                <w:sz w:val="18"/>
                <w:szCs w:val="18"/>
              </w:rPr>
            </w:pPr>
            <w:r>
              <w:rPr>
                <w:rFonts w:hint="eastAsia"/>
                <w:sz w:val="18"/>
                <w:szCs w:val="18"/>
              </w:rPr>
              <w:t>企业产能利用率</w:t>
            </w:r>
          </w:p>
        </w:tc>
        <w:tc>
          <w:tcPr>
            <w:tcW w:w="3172" w:type="dxa"/>
            <w:tcBorders>
              <w:top w:val="nil"/>
              <w:left w:val="single" w:color="auto" w:sz="4" w:space="0"/>
              <w:bottom w:val="single" w:color="auto" w:sz="4" w:space="0"/>
              <w:right w:val="nil"/>
              <w:tl2br w:val="nil"/>
              <w:tr2bl w:val="nil"/>
            </w:tcBorders>
            <w:vAlign w:val="center"/>
          </w:tcPr>
          <w:p>
            <w:pPr>
              <w:spacing w:line="300" w:lineRule="exact"/>
              <w:jc w:val="center"/>
              <w:rPr>
                <w:i/>
                <w:iCs/>
                <w:sz w:val="18"/>
                <w:szCs w:val="18"/>
              </w:rPr>
            </w:pPr>
            <w:r>
              <w:rPr>
                <w:rFonts w:hint="eastAsia"/>
                <w:sz w:val="18"/>
                <w:szCs w:val="18"/>
              </w:rPr>
              <w:t>企业产能利用率</w:t>
            </w:r>
          </w:p>
        </w:tc>
      </w:tr>
      <w:tr>
        <w:tblPrEx>
          <w:tblLayout w:type="fixed"/>
          <w:tblCellMar>
            <w:top w:w="0" w:type="dxa"/>
            <w:left w:w="108" w:type="dxa"/>
            <w:bottom w:w="0" w:type="dxa"/>
            <w:right w:w="108" w:type="dxa"/>
          </w:tblCellMar>
        </w:tblPrEx>
        <w:trPr>
          <w:trHeight w:val="317" w:hRule="atLeast"/>
        </w:trPr>
        <w:tc>
          <w:tcPr>
            <w:tcW w:w="2536" w:type="dxa"/>
            <w:tcBorders>
              <w:top w:val="single" w:color="auto" w:sz="4" w:space="0"/>
              <w:left w:val="nil"/>
              <w:bottom w:val="nil"/>
              <w:right w:val="single" w:color="auto" w:sz="4" w:space="0"/>
              <w:tl2br w:val="nil"/>
              <w:tr2bl w:val="nil"/>
            </w:tcBorders>
            <w:vAlign w:val="center"/>
          </w:tcPr>
          <w:p>
            <w:pPr>
              <w:spacing w:line="300" w:lineRule="exact"/>
              <w:jc w:val="left"/>
              <w:rPr>
                <w:i/>
                <w:iCs/>
                <w:sz w:val="18"/>
                <w:szCs w:val="18"/>
              </w:rPr>
            </w:pPr>
            <w:r>
              <w:rPr>
                <w:rFonts w:hint="eastAsia"/>
                <w:sz w:val="18"/>
                <w:szCs w:val="18"/>
              </w:rPr>
              <w:t>国家级城市群规划实施</w:t>
            </w:r>
          </w:p>
        </w:tc>
        <w:tc>
          <w:tcPr>
            <w:tcW w:w="2922" w:type="dxa"/>
            <w:tcBorders>
              <w:top w:val="single" w:color="auto" w:sz="4" w:space="0"/>
              <w:left w:val="single" w:color="auto" w:sz="4" w:space="0"/>
              <w:bottom w:val="nil"/>
              <w:right w:val="single" w:color="auto" w:sz="4" w:space="0"/>
              <w:tl2br w:val="nil"/>
              <w:tr2bl w:val="nil"/>
            </w:tcBorders>
            <w:vAlign w:val="center"/>
          </w:tcPr>
          <w:p>
            <w:pPr>
              <w:spacing w:line="300" w:lineRule="exact"/>
              <w:jc w:val="center"/>
              <w:rPr>
                <w:sz w:val="18"/>
                <w:szCs w:val="18"/>
              </w:rPr>
            </w:pPr>
            <w:r>
              <w:rPr>
                <w:sz w:val="18"/>
                <w:szCs w:val="18"/>
              </w:rPr>
              <w:t>0.0</w:t>
            </w:r>
            <w:r>
              <w:rPr>
                <w:rFonts w:hint="eastAsia"/>
                <w:sz w:val="18"/>
                <w:szCs w:val="18"/>
              </w:rPr>
              <w:t>34</w:t>
            </w:r>
            <w:r>
              <w:rPr>
                <w:sz w:val="18"/>
                <w:szCs w:val="18"/>
                <w:vertAlign w:val="superscript"/>
              </w:rPr>
              <w:t>***</w:t>
            </w:r>
          </w:p>
        </w:tc>
        <w:tc>
          <w:tcPr>
            <w:tcW w:w="3172"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w:t>
            </w:r>
            <w:r>
              <w:rPr>
                <w:rFonts w:hint="eastAsia"/>
                <w:sz w:val="18"/>
                <w:szCs w:val="18"/>
              </w:rPr>
              <w:t>34</w:t>
            </w:r>
            <w:r>
              <w:rPr>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2536" w:type="dxa"/>
            <w:tcBorders>
              <w:top w:val="nil"/>
              <w:left w:val="nil"/>
              <w:bottom w:val="nil"/>
              <w:right w:val="single" w:color="auto" w:sz="4" w:space="0"/>
              <w:tl2br w:val="nil"/>
              <w:tr2bl w:val="nil"/>
            </w:tcBorders>
            <w:vAlign w:val="center"/>
          </w:tcPr>
          <w:p>
            <w:pPr>
              <w:spacing w:line="300" w:lineRule="exact"/>
              <w:jc w:val="left"/>
              <w:rPr>
                <w:i/>
                <w:iCs/>
                <w:sz w:val="18"/>
                <w:szCs w:val="18"/>
              </w:rPr>
            </w:pPr>
          </w:p>
        </w:tc>
        <w:tc>
          <w:tcPr>
            <w:tcW w:w="2922" w:type="dxa"/>
            <w:tcBorders>
              <w:top w:val="nil"/>
              <w:left w:val="single" w:color="auto" w:sz="4" w:space="0"/>
              <w:bottom w:val="nil"/>
              <w:right w:val="single" w:color="auto" w:sz="4" w:space="0"/>
              <w:tl2br w:val="nil"/>
              <w:tr2bl w:val="nil"/>
            </w:tcBorders>
            <w:vAlign w:val="center"/>
          </w:tcPr>
          <w:p>
            <w:pPr>
              <w:spacing w:line="300" w:lineRule="exact"/>
              <w:jc w:val="center"/>
              <w:rPr>
                <w:sz w:val="18"/>
                <w:szCs w:val="18"/>
              </w:rPr>
            </w:pPr>
            <w:r>
              <w:rPr>
                <w:rFonts w:hint="eastAsia"/>
                <w:sz w:val="18"/>
                <w:szCs w:val="18"/>
              </w:rPr>
              <w:t>（</w:t>
            </w:r>
            <w:r>
              <w:rPr>
                <w:sz w:val="18"/>
                <w:szCs w:val="18"/>
              </w:rPr>
              <w:t>0.00</w:t>
            </w:r>
            <w:r>
              <w:rPr>
                <w:rFonts w:hint="eastAsia"/>
                <w:sz w:val="18"/>
                <w:szCs w:val="18"/>
              </w:rPr>
              <w:t>0）</w:t>
            </w:r>
          </w:p>
        </w:tc>
        <w:tc>
          <w:tcPr>
            <w:tcW w:w="3172"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0.00</w:t>
            </w:r>
            <w:r>
              <w:rPr>
                <w:rFonts w:hint="eastAsia"/>
                <w:sz w:val="18"/>
                <w:szCs w:val="18"/>
              </w:rPr>
              <w:t>0）</w:t>
            </w:r>
          </w:p>
        </w:tc>
      </w:tr>
      <w:tr>
        <w:tblPrEx>
          <w:tblLayout w:type="fixed"/>
          <w:tblCellMar>
            <w:top w:w="0" w:type="dxa"/>
            <w:left w:w="108" w:type="dxa"/>
            <w:bottom w:w="0" w:type="dxa"/>
            <w:right w:w="108" w:type="dxa"/>
          </w:tblCellMar>
        </w:tblPrEx>
        <w:trPr>
          <w:trHeight w:val="317" w:hRule="atLeast"/>
        </w:trPr>
        <w:tc>
          <w:tcPr>
            <w:tcW w:w="2536"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企业、城市控制变量一次项</w:t>
            </w:r>
          </w:p>
        </w:tc>
        <w:tc>
          <w:tcPr>
            <w:tcW w:w="2922" w:type="dxa"/>
            <w:tcBorders>
              <w:top w:val="nil"/>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已控制</w:t>
            </w:r>
          </w:p>
        </w:tc>
        <w:tc>
          <w:tcPr>
            <w:tcW w:w="317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2536"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企业、城市控制变量二次项</w:t>
            </w:r>
          </w:p>
        </w:tc>
        <w:tc>
          <w:tcPr>
            <w:tcW w:w="2922" w:type="dxa"/>
            <w:tcBorders>
              <w:top w:val="nil"/>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未控制</w:t>
            </w:r>
          </w:p>
        </w:tc>
        <w:tc>
          <w:tcPr>
            <w:tcW w:w="317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2536"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2922"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317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2536"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2922"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317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2536"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2922" w:type="dxa"/>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3172"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2536" w:type="dxa"/>
            <w:tcBorders>
              <w:top w:val="single" w:color="auto" w:sz="4" w:space="0"/>
              <w:left w:val="nil"/>
              <w:bottom w:val="single" w:color="auto" w:sz="12" w:space="0"/>
              <w:right w:val="single" w:color="auto" w:sz="4" w:space="0"/>
            </w:tcBorders>
            <w:vAlign w:val="center"/>
          </w:tcPr>
          <w:p>
            <w:pPr>
              <w:spacing w:line="300" w:lineRule="exact"/>
              <w:jc w:val="left"/>
              <w:rPr>
                <w:sz w:val="18"/>
                <w:szCs w:val="18"/>
              </w:rPr>
            </w:pPr>
            <w:r>
              <w:rPr>
                <w:rFonts w:hint="eastAsia"/>
                <w:sz w:val="18"/>
                <w:szCs w:val="18"/>
              </w:rPr>
              <w:t>观测值</w:t>
            </w:r>
          </w:p>
        </w:tc>
        <w:tc>
          <w:tcPr>
            <w:tcW w:w="2922" w:type="dxa"/>
            <w:tcBorders>
              <w:top w:val="single" w:color="auto" w:sz="4" w:space="0"/>
              <w:left w:val="single" w:color="auto" w:sz="4" w:space="0"/>
              <w:bottom w:val="single" w:color="auto" w:sz="12" w:space="0"/>
              <w:right w:val="single" w:color="auto" w:sz="4" w:space="0"/>
            </w:tcBorders>
            <w:vAlign w:val="center"/>
          </w:tcPr>
          <w:p>
            <w:pPr>
              <w:spacing w:line="300" w:lineRule="exact"/>
              <w:jc w:val="center"/>
              <w:rPr>
                <w:sz w:val="18"/>
                <w:szCs w:val="18"/>
              </w:rPr>
            </w:pPr>
            <w:r>
              <w:rPr>
                <w:sz w:val="18"/>
                <w:szCs w:val="18"/>
              </w:rPr>
              <w:t>319</w:t>
            </w:r>
            <w:r>
              <w:rPr>
                <w:rFonts w:hint="eastAsia"/>
                <w:sz w:val="18"/>
                <w:szCs w:val="18"/>
              </w:rPr>
              <w:t>26</w:t>
            </w:r>
          </w:p>
        </w:tc>
        <w:tc>
          <w:tcPr>
            <w:tcW w:w="3172" w:type="dxa"/>
            <w:tcBorders>
              <w:top w:val="single" w:color="auto" w:sz="4" w:space="0"/>
              <w:left w:val="single" w:color="auto" w:sz="4" w:space="0"/>
              <w:bottom w:val="single" w:color="auto" w:sz="12" w:space="0"/>
              <w:right w:val="nil"/>
            </w:tcBorders>
            <w:vAlign w:val="center"/>
          </w:tcPr>
          <w:p>
            <w:pPr>
              <w:spacing w:line="300" w:lineRule="exact"/>
              <w:jc w:val="center"/>
              <w:rPr>
                <w:sz w:val="18"/>
                <w:szCs w:val="18"/>
              </w:rPr>
            </w:pPr>
            <w:r>
              <w:rPr>
                <w:sz w:val="18"/>
                <w:szCs w:val="18"/>
              </w:rPr>
              <w:t>319</w:t>
            </w:r>
            <w:r>
              <w:rPr>
                <w:rFonts w:hint="eastAsia"/>
                <w:sz w:val="18"/>
                <w:szCs w:val="18"/>
              </w:rPr>
              <w:t>26</w:t>
            </w:r>
          </w:p>
        </w:tc>
      </w:tr>
    </w:tbl>
    <w:p>
      <w:pPr>
        <w:ind w:firstLine="332" w:firstLineChars="200"/>
        <w:rPr>
          <w:sz w:val="18"/>
          <w:szCs w:val="18"/>
        </w:rPr>
      </w:pPr>
      <w:r>
        <w:rPr>
          <w:rFonts w:hint="eastAsia"/>
          <w:sz w:val="18"/>
          <w:szCs w:val="18"/>
        </w:rPr>
        <w:t>注：①***表示1%的显著性水平；②括号中的数值表示稳健标准误。</w:t>
      </w:r>
    </w:p>
    <w:p>
      <w:pPr>
        <w:tabs>
          <w:tab w:val="left" w:pos="690"/>
        </w:tabs>
        <w:ind w:firstLine="392" w:firstLineChars="200"/>
        <w:rPr>
          <w:rFonts w:eastAsia="楷体"/>
          <w:szCs w:val="21"/>
        </w:rPr>
      </w:pPr>
    </w:p>
    <w:p>
      <w:pPr>
        <w:spacing w:line="240" w:lineRule="atLeast"/>
        <w:ind w:firstLine="332" w:firstLineChars="200"/>
        <w:rPr>
          <w:szCs w:val="21"/>
        </w:rPr>
      </w:pPr>
      <w:r>
        <w:rPr>
          <w:rFonts w:hint="eastAsia" w:ascii="黑体" w:hAnsi="黑体" w:eastAsia="黑体" w:cs="黑体"/>
          <w:sz w:val="18"/>
          <w:szCs w:val="18"/>
        </w:rPr>
        <w:t>参考文献</w:t>
      </w:r>
    </w:p>
    <w:p>
      <w:pPr>
        <w:tabs>
          <w:tab w:val="left" w:pos="420"/>
        </w:tabs>
        <w:autoSpaceDE w:val="0"/>
        <w:spacing w:line="240" w:lineRule="atLeast"/>
        <w:ind w:firstLine="332" w:firstLineChars="200"/>
        <w:rPr>
          <w:rFonts w:cs="宋体"/>
          <w:kern w:val="0"/>
          <w:sz w:val="18"/>
          <w:szCs w:val="18"/>
        </w:rPr>
      </w:pPr>
      <w:r>
        <w:rPr>
          <w:rFonts w:hint="eastAsia" w:cs="宋体"/>
          <w:kern w:val="0"/>
          <w:sz w:val="18"/>
          <w:szCs w:val="18"/>
        </w:rPr>
        <w:t>1.张涛、李均超，2023：《网络基础设施、包容性绿色增长与地区差距——基于双重机器学习的因果推断》，《数量经济技术经济研究》第4期，第113-135页。</w:t>
      </w:r>
    </w:p>
    <w:p>
      <w:pPr>
        <w:autoSpaceDE w:val="0"/>
        <w:spacing w:line="240" w:lineRule="atLeast"/>
        <w:ind w:firstLine="332" w:firstLineChars="200"/>
        <w:rPr>
          <w:sz w:val="18"/>
          <w:szCs w:val="18"/>
        </w:rPr>
      </w:pPr>
      <w:r>
        <w:rPr>
          <w:rFonts w:hint="eastAsia"/>
          <w:sz w:val="18"/>
          <w:szCs w:val="18"/>
        </w:rPr>
        <w:t xml:space="preserve">2.Yang, J. C., H. C. Chuang, and C. M. Kuan, 2020, </w:t>
      </w:r>
      <w:r>
        <w:rPr>
          <w:sz w:val="18"/>
          <w:szCs w:val="18"/>
        </w:rPr>
        <w:t>“</w:t>
      </w:r>
      <w:r>
        <w:rPr>
          <w:rFonts w:hint="eastAsia"/>
          <w:sz w:val="18"/>
          <w:szCs w:val="18"/>
        </w:rPr>
        <w:t>Double Machine Learning with Gradient Boosting and its Application to the Big N Audit Quality Effect</w:t>
      </w:r>
      <w:r>
        <w:rPr>
          <w:sz w:val="18"/>
          <w:szCs w:val="18"/>
        </w:rPr>
        <w:t>”</w:t>
      </w:r>
      <w:r>
        <w:rPr>
          <w:rFonts w:hint="eastAsia"/>
          <w:sz w:val="18"/>
          <w:szCs w:val="18"/>
        </w:rPr>
        <w:t xml:space="preserve">, </w:t>
      </w:r>
      <w:r>
        <w:rPr>
          <w:rFonts w:ascii="Times New Roman Italic" w:hAnsi="Times New Roman Italic" w:cs="Times New Roman Italic"/>
          <w:i/>
          <w:iCs/>
          <w:sz w:val="18"/>
          <w:szCs w:val="18"/>
        </w:rPr>
        <w:t>Journal of Econometrics</w:t>
      </w:r>
      <w:r>
        <w:rPr>
          <w:rFonts w:hint="eastAsia"/>
          <w:sz w:val="18"/>
          <w:szCs w:val="18"/>
        </w:rPr>
        <w:t>, 216(1): 268-283.</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sz w:val="24"/>
        </w:rPr>
      </w:pPr>
    </w:p>
    <w:p>
      <w:pPr>
        <w:spacing w:line="480" w:lineRule="auto"/>
        <w:jc w:val="left"/>
        <w:rPr>
          <w:szCs w:val="21"/>
        </w:rPr>
      </w:pPr>
      <w:r>
        <w:rPr>
          <w:rFonts w:hint="eastAsia" w:ascii="黑体" w:hAnsi="黑体" w:eastAsia="黑体" w:cs="黑体"/>
          <w:sz w:val="24"/>
        </w:rPr>
        <w:t>附录</w:t>
      </w:r>
      <w:r>
        <w:rPr>
          <w:rFonts w:hint="eastAsia" w:ascii="Times New Roman Regular" w:hAnsi="Times New Roman Regular" w:eastAsia="黑体" w:cs="Times New Roman Regular"/>
          <w:sz w:val="24"/>
        </w:rPr>
        <w:t>7</w:t>
      </w:r>
      <w:r>
        <w:rPr>
          <w:rFonts w:hint="eastAsia" w:ascii="黑体" w:hAnsi="黑体" w:eastAsia="黑体" w:cs="黑体"/>
          <w:sz w:val="24"/>
        </w:rPr>
        <w:t>：异质性分析的具体回归结果</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黑体" w:hAnsi="黑体" w:eastAsia="黑体" w:cs="黑体"/>
          <w:szCs w:val="21"/>
        </w:rPr>
      </w:pPr>
      <w:bookmarkStart w:id="5" w:name="_Toc1308302856"/>
      <w:r>
        <w:rPr>
          <w:rFonts w:hint="eastAsia" w:ascii="黑体" w:hAnsi="黑体" w:eastAsia="黑体" w:cs="黑体"/>
          <w:szCs w:val="21"/>
        </w:rPr>
        <w:t>（一）考虑企业特征的异质性分析</w:t>
      </w:r>
      <w:bookmarkEnd w:id="5"/>
    </w:p>
    <w:p>
      <w:pPr>
        <w:pStyle w:val="2"/>
        <w:spacing w:line="240" w:lineRule="atLeast"/>
        <w:ind w:left="392" w:firstLine="0"/>
      </w:pPr>
      <w:r>
        <w:rPr>
          <w:rFonts w:hint="eastAsia" w:ascii="Times New Roman" w:eastAsia="黑体" w:cs="Times New Roman"/>
          <w:sz w:val="18"/>
          <w:szCs w:val="18"/>
        </w:rPr>
        <w:t>附表6                            考虑企业特征的异质性分析结果</w:t>
      </w:r>
    </w:p>
    <w:tbl>
      <w:tblPr>
        <w:tblStyle w:val="33"/>
        <w:tblW w:w="8562" w:type="dxa"/>
        <w:tblInd w:w="136" w:type="dxa"/>
        <w:tblLayout w:type="fixed"/>
        <w:tblCellMar>
          <w:top w:w="0" w:type="dxa"/>
          <w:left w:w="108" w:type="dxa"/>
          <w:bottom w:w="0" w:type="dxa"/>
          <w:right w:w="108" w:type="dxa"/>
        </w:tblCellMar>
      </w:tblPr>
      <w:tblGrid>
        <w:gridCol w:w="1715"/>
        <w:gridCol w:w="1141"/>
        <w:gridCol w:w="1141"/>
        <w:gridCol w:w="1141"/>
        <w:gridCol w:w="1141"/>
        <w:gridCol w:w="1141"/>
        <w:gridCol w:w="1142"/>
      </w:tblGrid>
      <w:tr>
        <w:tblPrEx>
          <w:tblLayout w:type="fixed"/>
          <w:tblCellMar>
            <w:top w:w="0" w:type="dxa"/>
            <w:left w:w="108" w:type="dxa"/>
            <w:bottom w:w="0" w:type="dxa"/>
            <w:right w:w="108" w:type="dxa"/>
          </w:tblCellMar>
        </w:tblPrEx>
        <w:trPr>
          <w:trHeight w:val="317" w:hRule="atLeast"/>
        </w:trPr>
        <w:tc>
          <w:tcPr>
            <w:tcW w:w="1715" w:type="dxa"/>
            <w:vMerge w:val="restart"/>
            <w:tcBorders>
              <w:top w:val="single" w:color="auto" w:sz="12"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变量</w:t>
            </w:r>
          </w:p>
        </w:tc>
        <w:tc>
          <w:tcPr>
            <w:tcW w:w="2282" w:type="dxa"/>
            <w:gridSpan w:val="2"/>
            <w:tcBorders>
              <w:top w:val="single" w:color="auto" w:sz="12" w:space="0"/>
              <w:left w:val="single" w:color="auto" w:sz="4" w:space="0"/>
              <w:bottom w:val="single" w:color="auto" w:sz="4" w:space="0"/>
              <w:right w:val="single" w:color="auto" w:sz="4" w:space="0"/>
            </w:tcBorders>
            <w:vAlign w:val="center"/>
          </w:tcPr>
          <w:p>
            <w:pPr>
              <w:spacing w:line="300" w:lineRule="exact"/>
              <w:jc w:val="center"/>
              <w:rPr>
                <w:sz w:val="18"/>
                <w:szCs w:val="18"/>
              </w:rPr>
            </w:pPr>
            <w:r>
              <w:rPr>
                <w:rFonts w:hint="eastAsia"/>
                <w:sz w:val="18"/>
                <w:szCs w:val="18"/>
              </w:rPr>
              <w:t>股权性质</w:t>
            </w:r>
          </w:p>
        </w:tc>
        <w:tc>
          <w:tcPr>
            <w:tcW w:w="2282" w:type="dxa"/>
            <w:gridSpan w:val="2"/>
            <w:tcBorders>
              <w:top w:val="single" w:color="auto" w:sz="12" w:space="0"/>
              <w:left w:val="single" w:color="auto" w:sz="4" w:space="0"/>
              <w:bottom w:val="single" w:color="auto" w:sz="4" w:space="0"/>
              <w:right w:val="single" w:color="auto" w:sz="4" w:space="0"/>
            </w:tcBorders>
            <w:vAlign w:val="center"/>
          </w:tcPr>
          <w:p>
            <w:pPr>
              <w:spacing w:line="300" w:lineRule="exact"/>
              <w:jc w:val="center"/>
              <w:rPr>
                <w:sz w:val="18"/>
                <w:szCs w:val="18"/>
              </w:rPr>
            </w:pPr>
            <w:r>
              <w:rPr>
                <w:rFonts w:hint="eastAsia"/>
                <w:sz w:val="18"/>
                <w:szCs w:val="18"/>
              </w:rPr>
              <w:t>融资约束</w:t>
            </w:r>
          </w:p>
        </w:tc>
        <w:tc>
          <w:tcPr>
            <w:tcW w:w="2283" w:type="dxa"/>
            <w:gridSpan w:val="2"/>
            <w:tcBorders>
              <w:top w:val="single" w:color="auto" w:sz="12" w:space="0"/>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对外贸易</w:t>
            </w:r>
          </w:p>
        </w:tc>
      </w:tr>
      <w:tr>
        <w:tblPrEx>
          <w:tblLayout w:type="fixed"/>
          <w:tblCellMar>
            <w:top w:w="0" w:type="dxa"/>
            <w:left w:w="108" w:type="dxa"/>
            <w:bottom w:w="0" w:type="dxa"/>
            <w:right w:w="108" w:type="dxa"/>
          </w:tblCellMar>
        </w:tblPrEx>
        <w:trPr>
          <w:trHeight w:val="317" w:hRule="atLeast"/>
        </w:trPr>
        <w:tc>
          <w:tcPr>
            <w:tcW w:w="1715"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1141" w:type="dxa"/>
            <w:tcBorders>
              <w:top w:val="single" w:color="auto" w:sz="4" w:space="0"/>
              <w:left w:val="single" w:color="auto" w:sz="4" w:space="0"/>
              <w:bottom w:val="nil"/>
              <w:right w:val="nil"/>
            </w:tcBorders>
            <w:vAlign w:val="center"/>
          </w:tcPr>
          <w:p>
            <w:pPr>
              <w:spacing w:line="300" w:lineRule="exact"/>
              <w:jc w:val="center"/>
              <w:rPr>
                <w:sz w:val="18"/>
                <w:szCs w:val="18"/>
              </w:rPr>
            </w:pPr>
            <w:r>
              <w:rPr>
                <w:rFonts w:hint="eastAsia"/>
                <w:sz w:val="18"/>
                <w:szCs w:val="18"/>
              </w:rPr>
              <w:t>非国有</w:t>
            </w:r>
          </w:p>
        </w:tc>
        <w:tc>
          <w:tcPr>
            <w:tcW w:w="1141" w:type="dxa"/>
            <w:tcBorders>
              <w:top w:val="single" w:color="auto" w:sz="4" w:space="0"/>
              <w:left w:val="nil"/>
              <w:bottom w:val="nil"/>
              <w:right w:val="single" w:color="auto" w:sz="4" w:space="0"/>
            </w:tcBorders>
            <w:vAlign w:val="center"/>
          </w:tcPr>
          <w:p>
            <w:pPr>
              <w:spacing w:line="300" w:lineRule="exact"/>
              <w:jc w:val="center"/>
              <w:rPr>
                <w:sz w:val="18"/>
                <w:szCs w:val="18"/>
              </w:rPr>
            </w:pPr>
            <w:r>
              <w:rPr>
                <w:rFonts w:hint="eastAsia"/>
                <w:sz w:val="18"/>
                <w:szCs w:val="18"/>
              </w:rPr>
              <w:t>国有</w:t>
            </w:r>
          </w:p>
        </w:tc>
        <w:tc>
          <w:tcPr>
            <w:tcW w:w="1141" w:type="dxa"/>
            <w:tcBorders>
              <w:top w:val="single" w:color="auto" w:sz="4" w:space="0"/>
              <w:left w:val="single" w:color="auto" w:sz="4" w:space="0"/>
              <w:bottom w:val="nil"/>
              <w:right w:val="nil"/>
            </w:tcBorders>
            <w:vAlign w:val="center"/>
          </w:tcPr>
          <w:p>
            <w:pPr>
              <w:spacing w:line="300" w:lineRule="exact"/>
              <w:jc w:val="center"/>
              <w:rPr>
                <w:sz w:val="18"/>
                <w:szCs w:val="18"/>
              </w:rPr>
            </w:pPr>
            <w:r>
              <w:rPr>
                <w:rFonts w:hint="eastAsia"/>
                <w:sz w:val="18"/>
                <w:szCs w:val="18"/>
              </w:rPr>
              <w:t>低</w:t>
            </w:r>
          </w:p>
        </w:tc>
        <w:tc>
          <w:tcPr>
            <w:tcW w:w="1141" w:type="dxa"/>
            <w:tcBorders>
              <w:top w:val="single" w:color="auto" w:sz="4" w:space="0"/>
              <w:left w:val="nil"/>
              <w:bottom w:val="nil"/>
              <w:right w:val="single" w:color="auto" w:sz="4" w:space="0"/>
            </w:tcBorders>
            <w:vAlign w:val="center"/>
          </w:tcPr>
          <w:p>
            <w:pPr>
              <w:spacing w:line="300" w:lineRule="exact"/>
              <w:jc w:val="center"/>
              <w:rPr>
                <w:sz w:val="18"/>
                <w:szCs w:val="18"/>
              </w:rPr>
            </w:pPr>
            <w:r>
              <w:rPr>
                <w:rFonts w:hint="eastAsia"/>
                <w:sz w:val="18"/>
                <w:szCs w:val="18"/>
              </w:rPr>
              <w:t>高</w:t>
            </w:r>
          </w:p>
        </w:tc>
        <w:tc>
          <w:tcPr>
            <w:tcW w:w="1141" w:type="dxa"/>
            <w:tcBorders>
              <w:top w:val="single" w:color="auto" w:sz="4" w:space="0"/>
              <w:left w:val="single" w:color="auto" w:sz="4" w:space="0"/>
              <w:bottom w:val="nil"/>
              <w:right w:val="nil"/>
            </w:tcBorders>
            <w:vAlign w:val="center"/>
          </w:tcPr>
          <w:p>
            <w:pPr>
              <w:spacing w:line="300" w:lineRule="exact"/>
              <w:jc w:val="center"/>
              <w:rPr>
                <w:sz w:val="18"/>
                <w:szCs w:val="18"/>
              </w:rPr>
            </w:pPr>
            <w:r>
              <w:rPr>
                <w:rFonts w:hint="eastAsia"/>
                <w:sz w:val="18"/>
                <w:szCs w:val="18"/>
              </w:rPr>
              <w:t>非出口</w:t>
            </w:r>
          </w:p>
        </w:tc>
        <w:tc>
          <w:tcPr>
            <w:tcW w:w="1142" w:type="dxa"/>
            <w:tcBorders>
              <w:top w:val="single" w:color="auto" w:sz="4" w:space="0"/>
              <w:left w:val="nil"/>
              <w:bottom w:val="nil"/>
              <w:right w:val="nil"/>
            </w:tcBorders>
            <w:vAlign w:val="center"/>
          </w:tcPr>
          <w:p>
            <w:pPr>
              <w:spacing w:line="300" w:lineRule="exact"/>
              <w:jc w:val="center"/>
              <w:rPr>
                <w:sz w:val="18"/>
                <w:szCs w:val="18"/>
              </w:rPr>
            </w:pPr>
            <w:r>
              <w:rPr>
                <w:rFonts w:hint="eastAsia"/>
                <w:sz w:val="18"/>
                <w:szCs w:val="18"/>
              </w:rPr>
              <w:t>出口</w:t>
            </w:r>
          </w:p>
        </w:tc>
      </w:tr>
      <w:tr>
        <w:tblPrEx>
          <w:tblLayout w:type="fixed"/>
          <w:tblCellMar>
            <w:top w:w="0" w:type="dxa"/>
            <w:left w:w="108" w:type="dxa"/>
            <w:bottom w:w="0" w:type="dxa"/>
            <w:right w:w="108" w:type="dxa"/>
          </w:tblCellMar>
        </w:tblPrEx>
        <w:trPr>
          <w:trHeight w:val="317" w:hRule="atLeast"/>
        </w:trPr>
        <w:tc>
          <w:tcPr>
            <w:tcW w:w="1715"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1141" w:type="dxa"/>
            <w:tcBorders>
              <w:top w:val="nil"/>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（1）</w:t>
            </w:r>
          </w:p>
        </w:tc>
        <w:tc>
          <w:tcPr>
            <w:tcW w:w="1141"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（2）</w:t>
            </w:r>
          </w:p>
        </w:tc>
        <w:tc>
          <w:tcPr>
            <w:tcW w:w="1141" w:type="dxa"/>
            <w:tcBorders>
              <w:top w:val="nil"/>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（3）</w:t>
            </w:r>
          </w:p>
        </w:tc>
        <w:tc>
          <w:tcPr>
            <w:tcW w:w="1141"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（4）</w:t>
            </w:r>
          </w:p>
        </w:tc>
        <w:tc>
          <w:tcPr>
            <w:tcW w:w="1141" w:type="dxa"/>
            <w:tcBorders>
              <w:top w:val="nil"/>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（5）</w:t>
            </w:r>
          </w:p>
        </w:tc>
        <w:tc>
          <w:tcPr>
            <w:tcW w:w="1142" w:type="dxa"/>
            <w:tcBorders>
              <w:top w:val="nil"/>
              <w:left w:val="nil"/>
              <w:bottom w:val="single" w:color="auto" w:sz="4" w:space="0"/>
              <w:right w:val="nil"/>
            </w:tcBorders>
            <w:vAlign w:val="center"/>
          </w:tcPr>
          <w:p>
            <w:pPr>
              <w:spacing w:line="300" w:lineRule="exact"/>
              <w:jc w:val="center"/>
              <w:rPr>
                <w:sz w:val="18"/>
                <w:szCs w:val="18"/>
              </w:rPr>
            </w:pPr>
            <w:r>
              <w:rPr>
                <w:rFonts w:hint="eastAsia"/>
                <w:sz w:val="18"/>
                <w:szCs w:val="18"/>
              </w:rPr>
              <w:t>（6）</w:t>
            </w:r>
          </w:p>
        </w:tc>
      </w:tr>
      <w:tr>
        <w:tblPrEx>
          <w:tblLayout w:type="fixed"/>
          <w:tblCellMar>
            <w:top w:w="0" w:type="dxa"/>
            <w:left w:w="108" w:type="dxa"/>
            <w:bottom w:w="0" w:type="dxa"/>
            <w:right w:w="108" w:type="dxa"/>
          </w:tblCellMar>
        </w:tblPrEx>
        <w:trPr>
          <w:trHeight w:val="317" w:hRule="atLeast"/>
        </w:trPr>
        <w:tc>
          <w:tcPr>
            <w:tcW w:w="1715" w:type="dxa"/>
            <w:tcBorders>
              <w:top w:val="single" w:color="auto" w:sz="4" w:space="0"/>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全国统一大市场建设</w:t>
            </w:r>
          </w:p>
        </w:tc>
        <w:tc>
          <w:tcPr>
            <w:tcW w:w="1141" w:type="dxa"/>
            <w:tcBorders>
              <w:top w:val="single" w:color="auto" w:sz="4" w:space="0"/>
              <w:left w:val="single" w:color="auto" w:sz="4" w:space="0"/>
              <w:bottom w:val="nil"/>
              <w:right w:val="nil"/>
              <w:tl2br w:val="nil"/>
              <w:tr2bl w:val="nil"/>
            </w:tcBorders>
            <w:vAlign w:val="center"/>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0.007</w:t>
            </w:r>
          </w:p>
        </w:tc>
        <w:tc>
          <w:tcPr>
            <w:tcW w:w="1141" w:type="dxa"/>
            <w:tcBorders>
              <w:top w:val="single" w:color="auto" w:sz="4" w:space="0"/>
              <w:left w:val="nil"/>
              <w:bottom w:val="nil"/>
              <w:right w:val="single" w:color="auto" w:sz="4" w:space="0"/>
              <w:tl2br w:val="nil"/>
              <w:tr2bl w:val="nil"/>
            </w:tcBorders>
            <w:vAlign w:val="center"/>
          </w:tcPr>
          <w:p>
            <w:pPr>
              <w:spacing w:line="30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0.041</w:t>
            </w:r>
            <w:r>
              <w:rPr>
                <w:rFonts w:ascii="Times New Roman Regular" w:hAnsi="Times New Roman Regular" w:cs="Times New Roman Regular"/>
                <w:sz w:val="18"/>
                <w:szCs w:val="18"/>
                <w:vertAlign w:val="superscript"/>
              </w:rPr>
              <w:t>***</w:t>
            </w:r>
          </w:p>
        </w:tc>
        <w:tc>
          <w:tcPr>
            <w:tcW w:w="1141"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0.031</w:t>
            </w:r>
            <w:r>
              <w:rPr>
                <w:sz w:val="18"/>
                <w:szCs w:val="18"/>
                <w:vertAlign w:val="superscript"/>
              </w:rPr>
              <w:t>***</w:t>
            </w:r>
          </w:p>
        </w:tc>
        <w:tc>
          <w:tcPr>
            <w:tcW w:w="1141" w:type="dxa"/>
            <w:tcBorders>
              <w:top w:val="single" w:color="auto" w:sz="4" w:space="0"/>
              <w:left w:val="nil"/>
              <w:bottom w:val="nil"/>
              <w:right w:val="single" w:color="auto" w:sz="4" w:space="0"/>
              <w:tl2br w:val="nil"/>
              <w:tr2bl w:val="nil"/>
            </w:tcBorders>
            <w:vAlign w:val="center"/>
          </w:tcPr>
          <w:p>
            <w:pPr>
              <w:spacing w:line="300" w:lineRule="exact"/>
              <w:jc w:val="center"/>
              <w:rPr>
                <w:sz w:val="18"/>
                <w:szCs w:val="18"/>
              </w:rPr>
            </w:pPr>
            <w:r>
              <w:rPr>
                <w:sz w:val="18"/>
                <w:szCs w:val="18"/>
              </w:rPr>
              <w:t>0.005</w:t>
            </w:r>
          </w:p>
        </w:tc>
        <w:tc>
          <w:tcPr>
            <w:tcW w:w="1141"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0.031</w:t>
            </w:r>
            <w:r>
              <w:rPr>
                <w:sz w:val="18"/>
                <w:szCs w:val="18"/>
                <w:vertAlign w:val="superscript"/>
              </w:rPr>
              <w:t>**</w:t>
            </w:r>
          </w:p>
        </w:tc>
        <w:tc>
          <w:tcPr>
            <w:tcW w:w="1142" w:type="dxa"/>
            <w:tcBorders>
              <w:top w:val="single" w:color="auto" w:sz="4" w:space="0"/>
              <w:left w:val="nil"/>
              <w:bottom w:val="nil"/>
              <w:right w:val="nil"/>
              <w:tl2br w:val="nil"/>
              <w:tr2bl w:val="nil"/>
            </w:tcBorders>
            <w:vAlign w:val="center"/>
          </w:tcPr>
          <w:p>
            <w:pPr>
              <w:spacing w:line="300" w:lineRule="exact"/>
              <w:jc w:val="center"/>
              <w:rPr>
                <w:sz w:val="18"/>
                <w:szCs w:val="18"/>
              </w:rPr>
            </w:pPr>
            <w:r>
              <w:rPr>
                <w:sz w:val="18"/>
                <w:szCs w:val="18"/>
              </w:rPr>
              <w:t>0.017</w:t>
            </w:r>
            <w:r>
              <w:rPr>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1715" w:type="dxa"/>
            <w:tcBorders>
              <w:top w:val="nil"/>
              <w:left w:val="nil"/>
              <w:bottom w:val="nil"/>
              <w:right w:val="single" w:color="auto" w:sz="4" w:space="0"/>
              <w:tl2br w:val="nil"/>
              <w:tr2bl w:val="nil"/>
            </w:tcBorders>
            <w:vAlign w:val="center"/>
          </w:tcPr>
          <w:p>
            <w:pPr>
              <w:spacing w:line="300" w:lineRule="exact"/>
              <w:jc w:val="left"/>
              <w:rPr>
                <w:sz w:val="18"/>
                <w:szCs w:val="18"/>
              </w:rPr>
            </w:pPr>
          </w:p>
        </w:tc>
        <w:tc>
          <w:tcPr>
            <w:tcW w:w="1141" w:type="dxa"/>
            <w:tcBorders>
              <w:top w:val="nil"/>
              <w:left w:val="single" w:color="auto" w:sz="4" w:space="0"/>
              <w:bottom w:val="nil"/>
              <w:right w:val="nil"/>
              <w:tl2br w:val="nil"/>
              <w:tr2bl w:val="nil"/>
            </w:tcBorders>
            <w:vAlign w:val="center"/>
          </w:tcPr>
          <w:p>
            <w:pPr>
              <w:spacing w:line="30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w:t>
            </w:r>
            <w:r>
              <w:rPr>
                <w:rFonts w:ascii="Times New Roman Regular" w:hAnsi="Times New Roman Regular" w:cs="Times New Roman Regular"/>
                <w:sz w:val="18"/>
                <w:szCs w:val="18"/>
              </w:rPr>
              <w:t>0.006</w:t>
            </w:r>
            <w:r>
              <w:rPr>
                <w:rFonts w:hint="eastAsia" w:ascii="Times New Roman Regular" w:hAnsi="Times New Roman Regular" w:cs="Times New Roman Regular"/>
                <w:sz w:val="18"/>
                <w:szCs w:val="18"/>
              </w:rPr>
              <w:t>）</w:t>
            </w:r>
          </w:p>
        </w:tc>
        <w:tc>
          <w:tcPr>
            <w:tcW w:w="1141" w:type="dxa"/>
            <w:tcBorders>
              <w:top w:val="nil"/>
              <w:left w:val="nil"/>
              <w:bottom w:val="nil"/>
              <w:right w:val="single" w:color="auto" w:sz="4" w:space="0"/>
              <w:tl2br w:val="nil"/>
              <w:tr2bl w:val="nil"/>
            </w:tcBorders>
            <w:vAlign w:val="center"/>
          </w:tcPr>
          <w:p>
            <w:pPr>
              <w:spacing w:line="30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w:t>
            </w:r>
            <w:r>
              <w:rPr>
                <w:rFonts w:ascii="Times New Roman Regular" w:hAnsi="Times New Roman Regular" w:cs="Times New Roman Regular"/>
                <w:sz w:val="18"/>
                <w:szCs w:val="18"/>
              </w:rPr>
              <w:t>0.012</w:t>
            </w:r>
            <w:r>
              <w:rPr>
                <w:rFonts w:hint="eastAsia" w:ascii="Times New Roman Regular" w:hAnsi="Times New Roman Regular" w:cs="Times New Roman Regular"/>
                <w:sz w:val="18"/>
                <w:szCs w:val="18"/>
              </w:rPr>
              <w:t>）</w:t>
            </w:r>
          </w:p>
        </w:tc>
        <w:tc>
          <w:tcPr>
            <w:tcW w:w="1141"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0.011</w:t>
            </w:r>
            <w:r>
              <w:rPr>
                <w:rFonts w:hint="eastAsia"/>
                <w:sz w:val="18"/>
                <w:szCs w:val="18"/>
              </w:rPr>
              <w:t>）</w:t>
            </w:r>
          </w:p>
        </w:tc>
        <w:tc>
          <w:tcPr>
            <w:tcW w:w="1141" w:type="dxa"/>
            <w:tcBorders>
              <w:top w:val="nil"/>
              <w:left w:val="nil"/>
              <w:bottom w:val="nil"/>
              <w:right w:val="single" w:color="auto" w:sz="4" w:space="0"/>
              <w:tl2br w:val="nil"/>
              <w:tr2bl w:val="nil"/>
            </w:tcBorders>
            <w:vAlign w:val="center"/>
          </w:tcPr>
          <w:p>
            <w:pPr>
              <w:spacing w:line="300" w:lineRule="exact"/>
              <w:jc w:val="center"/>
              <w:rPr>
                <w:sz w:val="18"/>
                <w:szCs w:val="18"/>
              </w:rPr>
            </w:pPr>
            <w:r>
              <w:rPr>
                <w:rFonts w:hint="eastAsia"/>
                <w:sz w:val="18"/>
                <w:szCs w:val="18"/>
              </w:rPr>
              <w:t>（</w:t>
            </w:r>
            <w:r>
              <w:rPr>
                <w:sz w:val="18"/>
                <w:szCs w:val="18"/>
              </w:rPr>
              <w:t>0.007</w:t>
            </w:r>
            <w:r>
              <w:rPr>
                <w:rFonts w:hint="eastAsia"/>
                <w:sz w:val="18"/>
                <w:szCs w:val="18"/>
              </w:rPr>
              <w:t>）</w:t>
            </w:r>
          </w:p>
        </w:tc>
        <w:tc>
          <w:tcPr>
            <w:tcW w:w="1141"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0.014</w:t>
            </w:r>
            <w:r>
              <w:rPr>
                <w:rFonts w:hint="eastAsia"/>
                <w:sz w:val="18"/>
                <w:szCs w:val="18"/>
              </w:rPr>
              <w:t>）</w:t>
            </w:r>
          </w:p>
        </w:tc>
        <w:tc>
          <w:tcPr>
            <w:tcW w:w="1142" w:type="dxa"/>
            <w:tcBorders>
              <w:top w:val="nil"/>
              <w:left w:val="nil"/>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0.010</w:t>
            </w:r>
            <w:r>
              <w:rPr>
                <w:rFonts w:hint="eastAsia"/>
                <w:sz w:val="18"/>
                <w:szCs w:val="18"/>
              </w:rPr>
              <w:t>）</w:t>
            </w:r>
          </w:p>
        </w:tc>
      </w:tr>
      <w:tr>
        <w:tblPrEx>
          <w:tblLayout w:type="fixed"/>
          <w:tblCellMar>
            <w:top w:w="0" w:type="dxa"/>
            <w:left w:w="108" w:type="dxa"/>
            <w:bottom w:w="0" w:type="dxa"/>
            <w:right w:w="108" w:type="dxa"/>
          </w:tblCellMar>
        </w:tblPrEx>
        <w:trPr>
          <w:trHeight w:val="317" w:hRule="atLeast"/>
        </w:trPr>
        <w:tc>
          <w:tcPr>
            <w:tcW w:w="171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企业控制变量</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2"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1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城市控制变量</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2"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1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2"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1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142"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15"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1141"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nil"/>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141"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142" w:type="dxa"/>
            <w:tcBorders>
              <w:top w:val="nil"/>
              <w:left w:val="nil"/>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eastAsia" w:eastAsia="黑体"/>
          <w:lang w:eastAsia="zh-CN"/>
        </w:rPr>
      </w:pPr>
      <w:r>
        <w:rPr>
          <w:rFonts w:hint="eastAsia" w:ascii="Times New Roman" w:eastAsia="黑体" w:cs="Times New Roman"/>
          <w:sz w:val="18"/>
          <w:szCs w:val="18"/>
        </w:rPr>
        <w:t>附表6</w:t>
      </w:r>
      <w:r>
        <w:rPr>
          <w:rFonts w:hint="eastAsia" w:ascii="Times New Roman" w:eastAsia="黑体" w:cs="Times New Roman"/>
          <w:sz w:val="18"/>
          <w:szCs w:val="18"/>
          <w:lang w:eastAsia="zh-CN"/>
        </w:rPr>
        <w:t>（</w:t>
      </w:r>
      <w:r>
        <w:rPr>
          <w:rFonts w:hint="eastAsia" w:ascii="Times New Roman" w:eastAsia="黑体" w:cs="Times New Roman"/>
          <w:sz w:val="18"/>
          <w:szCs w:val="18"/>
          <w:lang w:val="en-US" w:eastAsia="zh-CN"/>
        </w:rPr>
        <w:t>续</w:t>
      </w:r>
      <w:r>
        <w:rPr>
          <w:rFonts w:hint="eastAsia" w:ascii="Times New Roman" w:eastAsia="黑体" w:cs="Times New Roman"/>
          <w:sz w:val="18"/>
          <w:szCs w:val="18"/>
          <w:lang w:eastAsia="zh-CN"/>
        </w:rPr>
        <w:t>）</w:t>
      </w:r>
    </w:p>
    <w:tbl>
      <w:tblPr>
        <w:tblStyle w:val="33"/>
        <w:tblW w:w="8562" w:type="dxa"/>
        <w:tblInd w:w="136" w:type="dxa"/>
        <w:tblLayout w:type="fixed"/>
        <w:tblCellMar>
          <w:top w:w="0" w:type="dxa"/>
          <w:left w:w="108" w:type="dxa"/>
          <w:bottom w:w="0" w:type="dxa"/>
          <w:right w:w="108" w:type="dxa"/>
        </w:tblCellMar>
      </w:tblPr>
      <w:tblGrid>
        <w:gridCol w:w="1715"/>
        <w:gridCol w:w="1141"/>
        <w:gridCol w:w="1141"/>
        <w:gridCol w:w="1141"/>
        <w:gridCol w:w="1141"/>
        <w:gridCol w:w="1141"/>
        <w:gridCol w:w="1142"/>
      </w:tblGrid>
      <w:tr>
        <w:tblPrEx>
          <w:tblLayout w:type="fixed"/>
          <w:tblCellMar>
            <w:top w:w="0" w:type="dxa"/>
            <w:left w:w="108" w:type="dxa"/>
            <w:bottom w:w="0" w:type="dxa"/>
            <w:right w:w="108" w:type="dxa"/>
          </w:tblCellMar>
        </w:tblPrEx>
        <w:trPr>
          <w:trHeight w:val="317" w:hRule="atLeast"/>
        </w:trPr>
        <w:tc>
          <w:tcPr>
            <w:tcW w:w="1715" w:type="dxa"/>
            <w:tcBorders>
              <w:top w:val="single" w:color="auto" w:sz="4" w:space="0"/>
              <w:left w:val="nil"/>
              <w:right w:val="single" w:color="auto" w:sz="4" w:space="0"/>
            </w:tcBorders>
            <w:vAlign w:val="center"/>
          </w:tcPr>
          <w:p>
            <w:pPr>
              <w:spacing w:line="300" w:lineRule="exact"/>
              <w:jc w:val="left"/>
              <w:rPr>
                <w:sz w:val="18"/>
                <w:szCs w:val="18"/>
              </w:rPr>
            </w:pPr>
            <w:r>
              <w:rPr>
                <w:rFonts w:hint="eastAsia"/>
                <w:sz w:val="18"/>
                <w:szCs w:val="18"/>
              </w:rPr>
              <w:t>观测值</w:t>
            </w:r>
          </w:p>
        </w:tc>
        <w:tc>
          <w:tcPr>
            <w:tcW w:w="1141" w:type="dxa"/>
            <w:tcBorders>
              <w:top w:val="single" w:color="auto" w:sz="4" w:space="0"/>
              <w:left w:val="single" w:color="auto" w:sz="4" w:space="0"/>
              <w:right w:val="nil"/>
            </w:tcBorders>
            <w:vAlign w:val="center"/>
          </w:tcPr>
          <w:p>
            <w:pPr>
              <w:spacing w:line="300" w:lineRule="exact"/>
              <w:jc w:val="center"/>
              <w:rPr>
                <w:sz w:val="18"/>
                <w:szCs w:val="18"/>
              </w:rPr>
            </w:pPr>
            <w:r>
              <w:rPr>
                <w:sz w:val="18"/>
                <w:szCs w:val="18"/>
              </w:rPr>
              <w:t>18</w:t>
            </w:r>
            <w:r>
              <w:rPr>
                <w:rFonts w:hint="eastAsia"/>
                <w:sz w:val="18"/>
                <w:szCs w:val="18"/>
              </w:rPr>
              <w:t>948</w:t>
            </w:r>
          </w:p>
        </w:tc>
        <w:tc>
          <w:tcPr>
            <w:tcW w:w="1141" w:type="dxa"/>
            <w:tcBorders>
              <w:top w:val="single" w:color="auto" w:sz="4" w:space="0"/>
              <w:left w:val="nil"/>
              <w:right w:val="single" w:color="auto" w:sz="4" w:space="0"/>
            </w:tcBorders>
            <w:vAlign w:val="center"/>
          </w:tcPr>
          <w:p>
            <w:pPr>
              <w:spacing w:line="300" w:lineRule="exact"/>
              <w:jc w:val="center"/>
              <w:rPr>
                <w:sz w:val="18"/>
                <w:szCs w:val="18"/>
              </w:rPr>
            </w:pPr>
            <w:r>
              <w:rPr>
                <w:sz w:val="18"/>
                <w:szCs w:val="18"/>
              </w:rPr>
              <w:t>12</w:t>
            </w:r>
            <w:r>
              <w:rPr>
                <w:rFonts w:hint="eastAsia"/>
                <w:sz w:val="18"/>
                <w:szCs w:val="18"/>
              </w:rPr>
              <w:t>800</w:t>
            </w:r>
          </w:p>
        </w:tc>
        <w:tc>
          <w:tcPr>
            <w:tcW w:w="1141" w:type="dxa"/>
            <w:tcBorders>
              <w:top w:val="single" w:color="auto" w:sz="4" w:space="0"/>
              <w:left w:val="single" w:color="auto" w:sz="4" w:space="0"/>
              <w:right w:val="nil"/>
            </w:tcBorders>
            <w:vAlign w:val="center"/>
          </w:tcPr>
          <w:p>
            <w:pPr>
              <w:spacing w:line="300" w:lineRule="exact"/>
              <w:jc w:val="center"/>
              <w:rPr>
                <w:sz w:val="18"/>
                <w:szCs w:val="18"/>
              </w:rPr>
            </w:pPr>
            <w:r>
              <w:rPr>
                <w:sz w:val="18"/>
                <w:szCs w:val="18"/>
              </w:rPr>
              <w:t>14226</w:t>
            </w:r>
          </w:p>
        </w:tc>
        <w:tc>
          <w:tcPr>
            <w:tcW w:w="1141" w:type="dxa"/>
            <w:tcBorders>
              <w:top w:val="single" w:color="auto" w:sz="4" w:space="0"/>
              <w:left w:val="nil"/>
              <w:right w:val="single" w:color="auto" w:sz="4" w:space="0"/>
            </w:tcBorders>
            <w:vAlign w:val="center"/>
          </w:tcPr>
          <w:p>
            <w:pPr>
              <w:spacing w:line="300" w:lineRule="exact"/>
              <w:jc w:val="center"/>
              <w:rPr>
                <w:sz w:val="18"/>
                <w:szCs w:val="18"/>
              </w:rPr>
            </w:pPr>
            <w:r>
              <w:rPr>
                <w:sz w:val="18"/>
                <w:szCs w:val="18"/>
              </w:rPr>
              <w:t>14336</w:t>
            </w:r>
          </w:p>
        </w:tc>
        <w:tc>
          <w:tcPr>
            <w:tcW w:w="1141" w:type="dxa"/>
            <w:tcBorders>
              <w:top w:val="single" w:color="auto" w:sz="4" w:space="0"/>
              <w:left w:val="single" w:color="auto" w:sz="4" w:space="0"/>
              <w:right w:val="nil"/>
            </w:tcBorders>
            <w:vAlign w:val="center"/>
          </w:tcPr>
          <w:p>
            <w:pPr>
              <w:spacing w:line="300" w:lineRule="exact"/>
              <w:jc w:val="center"/>
              <w:rPr>
                <w:sz w:val="18"/>
                <w:szCs w:val="18"/>
              </w:rPr>
            </w:pPr>
            <w:r>
              <w:rPr>
                <w:sz w:val="18"/>
                <w:szCs w:val="18"/>
              </w:rPr>
              <w:t>12978</w:t>
            </w:r>
          </w:p>
        </w:tc>
        <w:tc>
          <w:tcPr>
            <w:tcW w:w="1142" w:type="dxa"/>
            <w:tcBorders>
              <w:top w:val="single" w:color="auto" w:sz="4" w:space="0"/>
              <w:left w:val="nil"/>
              <w:right w:val="nil"/>
            </w:tcBorders>
            <w:vAlign w:val="center"/>
          </w:tcPr>
          <w:p>
            <w:pPr>
              <w:spacing w:line="300" w:lineRule="exact"/>
              <w:jc w:val="center"/>
              <w:rPr>
                <w:sz w:val="18"/>
                <w:szCs w:val="18"/>
              </w:rPr>
            </w:pPr>
            <w:r>
              <w:rPr>
                <w:sz w:val="18"/>
                <w:szCs w:val="18"/>
              </w:rPr>
              <w:t>18712</w:t>
            </w:r>
          </w:p>
        </w:tc>
      </w:tr>
      <w:tr>
        <w:tblPrEx>
          <w:tblLayout w:type="fixed"/>
          <w:tblCellMar>
            <w:top w:w="0" w:type="dxa"/>
            <w:left w:w="108" w:type="dxa"/>
            <w:bottom w:w="0" w:type="dxa"/>
            <w:right w:w="108" w:type="dxa"/>
          </w:tblCellMar>
        </w:tblPrEx>
        <w:trPr>
          <w:trHeight w:val="317" w:hRule="atLeast"/>
        </w:trPr>
        <w:tc>
          <w:tcPr>
            <w:tcW w:w="1715"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R</w:t>
            </w:r>
            <w:r>
              <w:rPr>
                <w:rFonts w:hint="eastAsia"/>
                <w:sz w:val="18"/>
                <w:szCs w:val="18"/>
                <w:vertAlign w:val="superscript"/>
              </w:rPr>
              <w:t>2</w:t>
            </w:r>
          </w:p>
        </w:tc>
        <w:tc>
          <w:tcPr>
            <w:tcW w:w="1141" w:type="dxa"/>
            <w:tcBorders>
              <w:top w:val="nil"/>
              <w:left w:val="single" w:color="auto" w:sz="4" w:space="0"/>
              <w:bottom w:val="single" w:color="auto" w:sz="4" w:space="0"/>
              <w:right w:val="nil"/>
            </w:tcBorders>
            <w:vAlign w:val="center"/>
          </w:tcPr>
          <w:p>
            <w:pPr>
              <w:spacing w:line="300" w:lineRule="exact"/>
              <w:jc w:val="center"/>
              <w:rPr>
                <w:sz w:val="18"/>
                <w:szCs w:val="18"/>
              </w:rPr>
            </w:pPr>
            <w:r>
              <w:rPr>
                <w:sz w:val="18"/>
                <w:szCs w:val="18"/>
              </w:rPr>
              <w:t>0.97</w:t>
            </w:r>
            <w:r>
              <w:rPr>
                <w:rFonts w:hint="eastAsia"/>
                <w:sz w:val="18"/>
                <w:szCs w:val="18"/>
              </w:rPr>
              <w:t>4</w:t>
            </w:r>
          </w:p>
        </w:tc>
        <w:tc>
          <w:tcPr>
            <w:tcW w:w="1141"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0.964</w:t>
            </w:r>
          </w:p>
        </w:tc>
        <w:tc>
          <w:tcPr>
            <w:tcW w:w="1141" w:type="dxa"/>
            <w:tcBorders>
              <w:top w:val="nil"/>
              <w:left w:val="single" w:color="auto" w:sz="4" w:space="0"/>
              <w:bottom w:val="single" w:color="auto" w:sz="4" w:space="0"/>
              <w:right w:val="nil"/>
            </w:tcBorders>
            <w:vAlign w:val="center"/>
          </w:tcPr>
          <w:p>
            <w:pPr>
              <w:spacing w:line="300" w:lineRule="exact"/>
              <w:jc w:val="center"/>
              <w:rPr>
                <w:sz w:val="18"/>
                <w:szCs w:val="18"/>
              </w:rPr>
            </w:pPr>
            <w:r>
              <w:rPr>
                <w:sz w:val="18"/>
                <w:szCs w:val="18"/>
              </w:rPr>
              <w:t>0.973</w:t>
            </w:r>
          </w:p>
        </w:tc>
        <w:tc>
          <w:tcPr>
            <w:tcW w:w="1141"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0.976</w:t>
            </w:r>
          </w:p>
        </w:tc>
        <w:tc>
          <w:tcPr>
            <w:tcW w:w="1141" w:type="dxa"/>
            <w:tcBorders>
              <w:top w:val="nil"/>
              <w:left w:val="single" w:color="auto" w:sz="4" w:space="0"/>
              <w:bottom w:val="single" w:color="auto" w:sz="4" w:space="0"/>
              <w:right w:val="nil"/>
            </w:tcBorders>
            <w:vAlign w:val="center"/>
          </w:tcPr>
          <w:p>
            <w:pPr>
              <w:spacing w:line="300" w:lineRule="exact"/>
              <w:jc w:val="center"/>
              <w:rPr>
                <w:sz w:val="18"/>
                <w:szCs w:val="18"/>
              </w:rPr>
            </w:pPr>
            <w:r>
              <w:rPr>
                <w:sz w:val="18"/>
                <w:szCs w:val="18"/>
              </w:rPr>
              <w:t>0.961</w:t>
            </w:r>
          </w:p>
        </w:tc>
        <w:tc>
          <w:tcPr>
            <w:tcW w:w="1142" w:type="dxa"/>
            <w:tcBorders>
              <w:top w:val="nil"/>
              <w:left w:val="nil"/>
              <w:bottom w:val="single" w:color="auto" w:sz="4" w:space="0"/>
              <w:right w:val="nil"/>
            </w:tcBorders>
            <w:vAlign w:val="center"/>
          </w:tcPr>
          <w:p>
            <w:pPr>
              <w:spacing w:line="300" w:lineRule="exact"/>
              <w:jc w:val="center"/>
              <w:rPr>
                <w:sz w:val="18"/>
                <w:szCs w:val="18"/>
              </w:rPr>
            </w:pPr>
            <w:r>
              <w:rPr>
                <w:sz w:val="18"/>
                <w:szCs w:val="18"/>
              </w:rPr>
              <w:t>0.978</w:t>
            </w:r>
          </w:p>
        </w:tc>
      </w:tr>
      <w:tr>
        <w:tblPrEx>
          <w:tblLayout w:type="fixed"/>
          <w:tblCellMar>
            <w:top w:w="0" w:type="dxa"/>
            <w:left w:w="108" w:type="dxa"/>
            <w:bottom w:w="0" w:type="dxa"/>
            <w:right w:w="108" w:type="dxa"/>
          </w:tblCellMar>
        </w:tblPrEx>
        <w:trPr>
          <w:trHeight w:val="317" w:hRule="atLeast"/>
        </w:trPr>
        <w:tc>
          <w:tcPr>
            <w:tcW w:w="1715" w:type="dxa"/>
            <w:tcBorders>
              <w:top w:val="single" w:color="auto" w:sz="4" w:space="0"/>
              <w:left w:val="nil"/>
              <w:bottom w:val="single" w:color="auto" w:sz="12" w:space="0"/>
              <w:right w:val="single" w:color="auto" w:sz="4" w:space="0"/>
            </w:tcBorders>
            <w:vAlign w:val="center"/>
          </w:tcPr>
          <w:p>
            <w:pPr>
              <w:spacing w:line="300" w:lineRule="exact"/>
              <w:jc w:val="left"/>
              <w:rPr>
                <w:sz w:val="18"/>
                <w:szCs w:val="18"/>
              </w:rPr>
            </w:pPr>
            <w:r>
              <w:rPr>
                <w:sz w:val="18"/>
                <w:szCs w:val="18"/>
              </w:rPr>
              <w:t>费舍尔组合检验</w:t>
            </w:r>
          </w:p>
        </w:tc>
        <w:tc>
          <w:tcPr>
            <w:tcW w:w="2282" w:type="dxa"/>
            <w:gridSpan w:val="2"/>
            <w:tcBorders>
              <w:top w:val="single" w:color="auto" w:sz="4" w:space="0"/>
              <w:left w:val="single" w:color="auto" w:sz="4" w:space="0"/>
              <w:bottom w:val="single" w:color="auto" w:sz="12" w:space="0"/>
              <w:right w:val="single" w:color="auto" w:sz="4" w:space="0"/>
            </w:tcBorders>
            <w:vAlign w:val="center"/>
          </w:tcPr>
          <w:p>
            <w:pPr>
              <w:spacing w:line="300" w:lineRule="exact"/>
              <w:jc w:val="center"/>
              <w:rPr>
                <w:sz w:val="18"/>
                <w:szCs w:val="18"/>
              </w:rPr>
            </w:pPr>
            <w:r>
              <w:rPr>
                <w:rFonts w:hint="eastAsia"/>
                <w:sz w:val="18"/>
                <w:szCs w:val="18"/>
              </w:rPr>
              <w:t>p</w:t>
            </w:r>
            <w:r>
              <w:rPr>
                <w:sz w:val="18"/>
                <w:szCs w:val="18"/>
              </w:rPr>
              <w:t>值=</w:t>
            </w:r>
            <w:r>
              <w:rPr>
                <w:rFonts w:hint="eastAsia"/>
                <w:sz w:val="18"/>
                <w:szCs w:val="18"/>
              </w:rPr>
              <w:t>0.000</w:t>
            </w:r>
          </w:p>
        </w:tc>
        <w:tc>
          <w:tcPr>
            <w:tcW w:w="2282" w:type="dxa"/>
            <w:gridSpan w:val="2"/>
            <w:tcBorders>
              <w:top w:val="single" w:color="auto" w:sz="4" w:space="0"/>
              <w:left w:val="single" w:color="auto" w:sz="4" w:space="0"/>
              <w:bottom w:val="single" w:color="auto" w:sz="12" w:space="0"/>
              <w:right w:val="single" w:color="auto" w:sz="4" w:space="0"/>
            </w:tcBorders>
            <w:vAlign w:val="center"/>
          </w:tcPr>
          <w:p>
            <w:pPr>
              <w:spacing w:line="300" w:lineRule="exact"/>
              <w:jc w:val="center"/>
              <w:rPr>
                <w:sz w:val="18"/>
                <w:szCs w:val="18"/>
              </w:rPr>
            </w:pPr>
            <w:r>
              <w:rPr>
                <w:rFonts w:hint="eastAsia"/>
                <w:sz w:val="18"/>
                <w:szCs w:val="18"/>
              </w:rPr>
              <w:t>p</w:t>
            </w:r>
            <w:r>
              <w:rPr>
                <w:sz w:val="18"/>
                <w:szCs w:val="18"/>
              </w:rPr>
              <w:t>值=</w:t>
            </w:r>
            <w:r>
              <w:rPr>
                <w:rFonts w:hint="eastAsia"/>
                <w:sz w:val="18"/>
                <w:szCs w:val="18"/>
              </w:rPr>
              <w:t>0.002</w:t>
            </w:r>
          </w:p>
        </w:tc>
        <w:tc>
          <w:tcPr>
            <w:tcW w:w="2283" w:type="dxa"/>
            <w:gridSpan w:val="2"/>
            <w:tcBorders>
              <w:top w:val="single" w:color="auto" w:sz="4" w:space="0"/>
              <w:left w:val="single" w:color="auto" w:sz="4" w:space="0"/>
              <w:bottom w:val="single" w:color="auto" w:sz="12" w:space="0"/>
              <w:right w:val="nil"/>
            </w:tcBorders>
            <w:vAlign w:val="center"/>
          </w:tcPr>
          <w:p>
            <w:pPr>
              <w:spacing w:line="300" w:lineRule="exact"/>
              <w:jc w:val="center"/>
              <w:rPr>
                <w:sz w:val="18"/>
                <w:szCs w:val="18"/>
              </w:rPr>
            </w:pPr>
            <w:r>
              <w:rPr>
                <w:rFonts w:hint="eastAsia"/>
                <w:sz w:val="18"/>
                <w:szCs w:val="18"/>
              </w:rPr>
              <w:t>p</w:t>
            </w:r>
            <w:r>
              <w:rPr>
                <w:sz w:val="18"/>
                <w:szCs w:val="18"/>
              </w:rPr>
              <w:t>值=</w:t>
            </w:r>
            <w:r>
              <w:rPr>
                <w:rFonts w:hint="eastAsia"/>
                <w:sz w:val="18"/>
                <w:szCs w:val="18"/>
              </w:rPr>
              <w:t>0.034</w:t>
            </w:r>
          </w:p>
        </w:tc>
      </w:tr>
    </w:tbl>
    <w:p>
      <w:pPr>
        <w:spacing w:line="240" w:lineRule="atLeast"/>
        <w:ind w:firstLine="332" w:firstLineChars="200"/>
        <w:rPr>
          <w:sz w:val="18"/>
          <w:szCs w:val="18"/>
        </w:rPr>
      </w:pPr>
      <w:r>
        <w:rPr>
          <w:rFonts w:hint="eastAsia"/>
          <w:sz w:val="18"/>
          <w:szCs w:val="18"/>
        </w:rPr>
        <w:t>注：①***、**和*分别表示1%、5%和10%的显著性水平；②在异质性分析中，本文使用</w:t>
      </w:r>
      <w:r>
        <w:rPr>
          <w:sz w:val="18"/>
          <w:szCs w:val="18"/>
        </w:rPr>
        <w:t>Bootstrap</w:t>
      </w:r>
      <w:r>
        <w:rPr>
          <w:rFonts w:hint="eastAsia"/>
          <w:sz w:val="18"/>
          <w:szCs w:val="18"/>
        </w:rPr>
        <w:t>抽样检验</w:t>
      </w:r>
      <w:r>
        <w:rPr>
          <w:sz w:val="18"/>
          <w:szCs w:val="18"/>
        </w:rPr>
        <w:t>500</w:t>
      </w:r>
      <w:r>
        <w:rPr>
          <w:rFonts w:hint="eastAsia"/>
          <w:sz w:val="18"/>
          <w:szCs w:val="18"/>
        </w:rPr>
        <w:t>次对分样本回归的组间差异性进行分析；③在回归中，分组控制高维固定效应会自动删除部分观测值。</w:t>
      </w:r>
    </w:p>
    <w:p>
      <w:pPr>
        <w:spacing w:line="240" w:lineRule="atLeast"/>
        <w:ind w:firstLine="392" w:firstLineChars="200"/>
        <w:rPr>
          <w:szCs w:val="21"/>
        </w:rPr>
      </w:pPr>
    </w:p>
    <w:p>
      <w:pPr>
        <w:spacing w:line="240" w:lineRule="atLeast"/>
        <w:ind w:firstLine="392" w:firstLineChars="200"/>
        <w:rPr>
          <w:rFonts w:ascii="黑体" w:hAnsi="黑体" w:eastAsia="黑体" w:cs="黑体"/>
          <w:szCs w:val="21"/>
        </w:rPr>
      </w:pPr>
      <w:r>
        <w:rPr>
          <w:rFonts w:hint="eastAsia" w:ascii="黑体" w:hAnsi="黑体" w:eastAsia="黑体" w:cs="黑体"/>
          <w:szCs w:val="21"/>
        </w:rPr>
        <w:t>（二）考虑行业特征的异质性分析</w:t>
      </w:r>
    </w:p>
    <w:p>
      <w:pPr>
        <w:pStyle w:val="2"/>
        <w:spacing w:line="240" w:lineRule="atLeast"/>
        <w:ind w:left="392" w:firstLine="0"/>
      </w:pPr>
      <w:r>
        <w:rPr>
          <w:rFonts w:hint="eastAsia" w:ascii="Times New Roman" w:eastAsia="黑体" w:cs="Times New Roman"/>
          <w:sz w:val="18"/>
          <w:szCs w:val="18"/>
        </w:rPr>
        <w:t>附表7                             考虑行业特征的异质性分析结果</w:t>
      </w:r>
    </w:p>
    <w:tbl>
      <w:tblPr>
        <w:tblStyle w:val="33"/>
        <w:tblW w:w="8699" w:type="dxa"/>
        <w:tblInd w:w="131" w:type="dxa"/>
        <w:tblLayout w:type="fixed"/>
        <w:tblCellMar>
          <w:top w:w="0" w:type="dxa"/>
          <w:left w:w="108" w:type="dxa"/>
          <w:bottom w:w="0" w:type="dxa"/>
          <w:right w:w="108" w:type="dxa"/>
        </w:tblCellMar>
      </w:tblPr>
      <w:tblGrid>
        <w:gridCol w:w="1730"/>
        <w:gridCol w:w="1742"/>
        <w:gridCol w:w="1742"/>
        <w:gridCol w:w="1742"/>
        <w:gridCol w:w="1743"/>
      </w:tblGrid>
      <w:tr>
        <w:tblPrEx>
          <w:tblLayout w:type="fixed"/>
          <w:tblCellMar>
            <w:top w:w="0" w:type="dxa"/>
            <w:left w:w="108" w:type="dxa"/>
            <w:bottom w:w="0" w:type="dxa"/>
            <w:right w:w="108" w:type="dxa"/>
          </w:tblCellMar>
        </w:tblPrEx>
        <w:trPr>
          <w:trHeight w:val="317" w:hRule="atLeast"/>
        </w:trPr>
        <w:tc>
          <w:tcPr>
            <w:tcW w:w="1730" w:type="dxa"/>
            <w:vMerge w:val="restart"/>
            <w:tcBorders>
              <w:top w:val="single" w:color="auto" w:sz="12"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变量</w:t>
            </w:r>
          </w:p>
        </w:tc>
        <w:tc>
          <w:tcPr>
            <w:tcW w:w="3484" w:type="dxa"/>
            <w:gridSpan w:val="2"/>
            <w:tcBorders>
              <w:top w:val="single" w:color="auto" w:sz="12" w:space="0"/>
              <w:left w:val="single" w:color="auto" w:sz="4" w:space="0"/>
              <w:bottom w:val="single" w:color="auto" w:sz="4" w:space="0"/>
              <w:right w:val="single" w:color="auto" w:sz="4" w:space="0"/>
            </w:tcBorders>
            <w:vAlign w:val="center"/>
          </w:tcPr>
          <w:p>
            <w:pPr>
              <w:spacing w:line="300" w:lineRule="exact"/>
              <w:jc w:val="center"/>
              <w:rPr>
                <w:sz w:val="18"/>
                <w:szCs w:val="18"/>
              </w:rPr>
            </w:pPr>
            <w:r>
              <w:rPr>
                <w:rFonts w:hint="eastAsia"/>
                <w:sz w:val="18"/>
                <w:szCs w:val="18"/>
              </w:rPr>
              <w:t>行业属性</w:t>
            </w:r>
          </w:p>
        </w:tc>
        <w:tc>
          <w:tcPr>
            <w:tcW w:w="3485" w:type="dxa"/>
            <w:gridSpan w:val="2"/>
            <w:tcBorders>
              <w:top w:val="single" w:color="auto" w:sz="12" w:space="0"/>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要素密集度</w:t>
            </w:r>
          </w:p>
        </w:tc>
      </w:tr>
      <w:tr>
        <w:tblPrEx>
          <w:tblLayout w:type="fixed"/>
          <w:tblCellMar>
            <w:top w:w="0" w:type="dxa"/>
            <w:left w:w="108" w:type="dxa"/>
            <w:bottom w:w="0" w:type="dxa"/>
            <w:right w:w="108" w:type="dxa"/>
          </w:tblCellMar>
        </w:tblPrEx>
        <w:trPr>
          <w:trHeight w:val="317" w:hRule="atLeast"/>
        </w:trPr>
        <w:tc>
          <w:tcPr>
            <w:tcW w:w="1730"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1742" w:type="dxa"/>
            <w:tcBorders>
              <w:top w:val="single" w:color="auto" w:sz="4" w:space="0"/>
              <w:left w:val="single" w:color="auto" w:sz="4" w:space="0"/>
              <w:bottom w:val="nil"/>
              <w:right w:val="nil"/>
            </w:tcBorders>
            <w:vAlign w:val="center"/>
          </w:tcPr>
          <w:p>
            <w:pPr>
              <w:spacing w:line="300" w:lineRule="exact"/>
              <w:jc w:val="center"/>
              <w:rPr>
                <w:sz w:val="18"/>
                <w:szCs w:val="18"/>
              </w:rPr>
            </w:pPr>
            <w:r>
              <w:rPr>
                <w:rFonts w:hint="eastAsia"/>
                <w:sz w:val="18"/>
                <w:szCs w:val="18"/>
              </w:rPr>
              <w:t>非制造业</w:t>
            </w:r>
          </w:p>
        </w:tc>
        <w:tc>
          <w:tcPr>
            <w:tcW w:w="1742" w:type="dxa"/>
            <w:tcBorders>
              <w:top w:val="single" w:color="auto" w:sz="4" w:space="0"/>
              <w:left w:val="nil"/>
              <w:bottom w:val="nil"/>
              <w:right w:val="single" w:color="auto" w:sz="4" w:space="0"/>
            </w:tcBorders>
            <w:vAlign w:val="center"/>
          </w:tcPr>
          <w:p>
            <w:pPr>
              <w:spacing w:line="300" w:lineRule="exact"/>
              <w:jc w:val="center"/>
              <w:rPr>
                <w:sz w:val="18"/>
                <w:szCs w:val="18"/>
              </w:rPr>
            </w:pPr>
            <w:r>
              <w:rPr>
                <w:rFonts w:hint="eastAsia"/>
                <w:sz w:val="18"/>
                <w:szCs w:val="18"/>
              </w:rPr>
              <w:t>制造业</w:t>
            </w:r>
          </w:p>
        </w:tc>
        <w:tc>
          <w:tcPr>
            <w:tcW w:w="1742" w:type="dxa"/>
            <w:tcBorders>
              <w:top w:val="single" w:color="auto" w:sz="4" w:space="0"/>
              <w:left w:val="single" w:color="auto" w:sz="4" w:space="0"/>
              <w:bottom w:val="nil"/>
              <w:right w:val="nil"/>
            </w:tcBorders>
            <w:vAlign w:val="center"/>
          </w:tcPr>
          <w:p>
            <w:pPr>
              <w:spacing w:line="300" w:lineRule="exact"/>
              <w:jc w:val="center"/>
              <w:rPr>
                <w:sz w:val="18"/>
                <w:szCs w:val="18"/>
              </w:rPr>
            </w:pPr>
            <w:r>
              <w:rPr>
                <w:rFonts w:hint="eastAsia"/>
                <w:sz w:val="18"/>
                <w:szCs w:val="18"/>
              </w:rPr>
              <w:t>非劳动密集</w:t>
            </w:r>
          </w:p>
        </w:tc>
        <w:tc>
          <w:tcPr>
            <w:tcW w:w="1743" w:type="dxa"/>
            <w:tcBorders>
              <w:top w:val="single" w:color="auto" w:sz="4" w:space="0"/>
              <w:left w:val="nil"/>
              <w:bottom w:val="nil"/>
              <w:right w:val="nil"/>
            </w:tcBorders>
            <w:vAlign w:val="center"/>
          </w:tcPr>
          <w:p>
            <w:pPr>
              <w:spacing w:line="300" w:lineRule="exact"/>
              <w:jc w:val="center"/>
              <w:rPr>
                <w:sz w:val="18"/>
                <w:szCs w:val="18"/>
              </w:rPr>
            </w:pPr>
            <w:r>
              <w:rPr>
                <w:rFonts w:hint="eastAsia"/>
                <w:sz w:val="18"/>
                <w:szCs w:val="18"/>
              </w:rPr>
              <w:t>劳动密集</w:t>
            </w:r>
          </w:p>
        </w:tc>
      </w:tr>
      <w:tr>
        <w:tblPrEx>
          <w:tblLayout w:type="fixed"/>
          <w:tblCellMar>
            <w:top w:w="0" w:type="dxa"/>
            <w:left w:w="108" w:type="dxa"/>
            <w:bottom w:w="0" w:type="dxa"/>
            <w:right w:w="108" w:type="dxa"/>
          </w:tblCellMar>
        </w:tblPrEx>
        <w:trPr>
          <w:trHeight w:val="317" w:hRule="atLeast"/>
        </w:trPr>
        <w:tc>
          <w:tcPr>
            <w:tcW w:w="1730"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1742" w:type="dxa"/>
            <w:tcBorders>
              <w:top w:val="nil"/>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（1）</w:t>
            </w:r>
          </w:p>
        </w:tc>
        <w:tc>
          <w:tcPr>
            <w:tcW w:w="1742"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（2）</w:t>
            </w:r>
          </w:p>
        </w:tc>
        <w:tc>
          <w:tcPr>
            <w:tcW w:w="1742" w:type="dxa"/>
            <w:tcBorders>
              <w:top w:val="nil"/>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（3）</w:t>
            </w:r>
          </w:p>
        </w:tc>
        <w:tc>
          <w:tcPr>
            <w:tcW w:w="1743" w:type="dxa"/>
            <w:tcBorders>
              <w:top w:val="nil"/>
              <w:left w:val="nil"/>
              <w:bottom w:val="single" w:color="auto" w:sz="4" w:space="0"/>
              <w:right w:val="nil"/>
            </w:tcBorders>
            <w:vAlign w:val="center"/>
          </w:tcPr>
          <w:p>
            <w:pPr>
              <w:spacing w:line="300" w:lineRule="exact"/>
              <w:jc w:val="center"/>
              <w:rPr>
                <w:sz w:val="18"/>
                <w:szCs w:val="18"/>
              </w:rPr>
            </w:pPr>
            <w:r>
              <w:rPr>
                <w:rFonts w:hint="eastAsia"/>
                <w:sz w:val="18"/>
                <w:szCs w:val="18"/>
              </w:rPr>
              <w:t>（4）</w:t>
            </w:r>
          </w:p>
        </w:tc>
      </w:tr>
      <w:tr>
        <w:tblPrEx>
          <w:tblLayout w:type="fixed"/>
          <w:tblCellMar>
            <w:top w:w="0" w:type="dxa"/>
            <w:left w:w="108" w:type="dxa"/>
            <w:bottom w:w="0" w:type="dxa"/>
            <w:right w:w="108" w:type="dxa"/>
          </w:tblCellMar>
        </w:tblPrEx>
        <w:trPr>
          <w:trHeight w:val="317" w:hRule="atLeast"/>
        </w:trPr>
        <w:tc>
          <w:tcPr>
            <w:tcW w:w="1730" w:type="dxa"/>
            <w:tcBorders>
              <w:top w:val="single" w:color="auto" w:sz="4" w:space="0"/>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全国统一大市场建设</w:t>
            </w:r>
          </w:p>
        </w:tc>
        <w:tc>
          <w:tcPr>
            <w:tcW w:w="1742"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0.034</w:t>
            </w:r>
            <w:r>
              <w:rPr>
                <w:sz w:val="18"/>
                <w:szCs w:val="18"/>
                <w:vertAlign w:val="superscript"/>
              </w:rPr>
              <w:t>**</w:t>
            </w:r>
          </w:p>
        </w:tc>
        <w:tc>
          <w:tcPr>
            <w:tcW w:w="1742" w:type="dxa"/>
            <w:tcBorders>
              <w:top w:val="single" w:color="auto" w:sz="4" w:space="0"/>
              <w:left w:val="nil"/>
              <w:bottom w:val="nil"/>
              <w:right w:val="single" w:color="auto" w:sz="4" w:space="0"/>
              <w:tl2br w:val="nil"/>
              <w:tr2bl w:val="nil"/>
            </w:tcBorders>
            <w:vAlign w:val="center"/>
          </w:tcPr>
          <w:p>
            <w:pPr>
              <w:spacing w:line="300" w:lineRule="exact"/>
              <w:jc w:val="center"/>
              <w:rPr>
                <w:sz w:val="18"/>
                <w:szCs w:val="18"/>
              </w:rPr>
            </w:pPr>
            <w:r>
              <w:rPr>
                <w:sz w:val="18"/>
                <w:szCs w:val="18"/>
              </w:rPr>
              <w:t>0.015</w:t>
            </w:r>
            <w:r>
              <w:rPr>
                <w:sz w:val="18"/>
                <w:szCs w:val="18"/>
                <w:vertAlign w:val="superscript"/>
              </w:rPr>
              <w:t>*</w:t>
            </w:r>
          </w:p>
        </w:tc>
        <w:tc>
          <w:tcPr>
            <w:tcW w:w="1742" w:type="dxa"/>
            <w:tcBorders>
              <w:top w:val="single" w:color="auto" w:sz="4" w:space="0"/>
              <w:left w:val="single" w:color="auto" w:sz="4" w:space="0"/>
              <w:bottom w:val="nil"/>
              <w:right w:val="nil"/>
            </w:tcBorders>
            <w:vAlign w:val="center"/>
          </w:tcPr>
          <w:p>
            <w:pPr>
              <w:spacing w:line="300" w:lineRule="exact"/>
              <w:jc w:val="center"/>
              <w:rPr>
                <w:sz w:val="18"/>
                <w:szCs w:val="18"/>
              </w:rPr>
            </w:pPr>
            <w:r>
              <w:rPr>
                <w:sz w:val="18"/>
                <w:szCs w:val="18"/>
              </w:rPr>
              <w:t>0.005</w:t>
            </w:r>
          </w:p>
        </w:tc>
        <w:tc>
          <w:tcPr>
            <w:tcW w:w="1743" w:type="dxa"/>
            <w:tcBorders>
              <w:top w:val="single" w:color="auto" w:sz="4" w:space="0"/>
              <w:left w:val="nil"/>
              <w:bottom w:val="nil"/>
              <w:right w:val="nil"/>
            </w:tcBorders>
            <w:vAlign w:val="center"/>
          </w:tcPr>
          <w:p>
            <w:pPr>
              <w:spacing w:line="300" w:lineRule="exact"/>
              <w:jc w:val="center"/>
              <w:rPr>
                <w:sz w:val="18"/>
                <w:szCs w:val="18"/>
              </w:rPr>
            </w:pPr>
            <w:r>
              <w:rPr>
                <w:sz w:val="18"/>
                <w:szCs w:val="18"/>
              </w:rPr>
              <w:t>0.050</w:t>
            </w:r>
            <w:r>
              <w:rPr>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1730" w:type="dxa"/>
            <w:tcBorders>
              <w:top w:val="nil"/>
              <w:left w:val="nil"/>
              <w:bottom w:val="nil"/>
              <w:right w:val="single" w:color="auto" w:sz="4" w:space="0"/>
              <w:tl2br w:val="nil"/>
              <w:tr2bl w:val="nil"/>
            </w:tcBorders>
            <w:vAlign w:val="center"/>
          </w:tcPr>
          <w:p>
            <w:pPr>
              <w:spacing w:line="300" w:lineRule="exact"/>
              <w:jc w:val="left"/>
              <w:rPr>
                <w:sz w:val="18"/>
                <w:szCs w:val="18"/>
              </w:rPr>
            </w:pPr>
          </w:p>
        </w:tc>
        <w:tc>
          <w:tcPr>
            <w:tcW w:w="1742"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0.014</w:t>
            </w:r>
            <w:r>
              <w:rPr>
                <w:rFonts w:hint="eastAsia"/>
                <w:sz w:val="18"/>
                <w:szCs w:val="18"/>
              </w:rPr>
              <w:t>）</w:t>
            </w:r>
          </w:p>
        </w:tc>
        <w:tc>
          <w:tcPr>
            <w:tcW w:w="1742" w:type="dxa"/>
            <w:tcBorders>
              <w:top w:val="nil"/>
              <w:left w:val="nil"/>
              <w:bottom w:val="nil"/>
              <w:right w:val="single" w:color="auto" w:sz="4" w:space="0"/>
              <w:tl2br w:val="nil"/>
              <w:tr2bl w:val="nil"/>
            </w:tcBorders>
            <w:vAlign w:val="center"/>
          </w:tcPr>
          <w:p>
            <w:pPr>
              <w:spacing w:line="300" w:lineRule="exact"/>
              <w:jc w:val="center"/>
              <w:rPr>
                <w:sz w:val="18"/>
                <w:szCs w:val="18"/>
              </w:rPr>
            </w:pPr>
            <w:r>
              <w:rPr>
                <w:rFonts w:hint="eastAsia"/>
                <w:sz w:val="18"/>
                <w:szCs w:val="18"/>
              </w:rPr>
              <w:t>（</w:t>
            </w:r>
            <w:r>
              <w:rPr>
                <w:sz w:val="18"/>
                <w:szCs w:val="18"/>
              </w:rPr>
              <w:t>0.008</w:t>
            </w:r>
            <w:r>
              <w:rPr>
                <w:rFonts w:hint="eastAsia"/>
                <w:sz w:val="18"/>
                <w:szCs w:val="18"/>
              </w:rPr>
              <w:t>）</w:t>
            </w:r>
          </w:p>
        </w:tc>
        <w:tc>
          <w:tcPr>
            <w:tcW w:w="1742" w:type="dxa"/>
            <w:tcBorders>
              <w:top w:val="nil"/>
              <w:left w:val="single" w:color="auto" w:sz="4" w:space="0"/>
              <w:bottom w:val="nil"/>
              <w:right w:val="nil"/>
            </w:tcBorders>
            <w:vAlign w:val="center"/>
          </w:tcPr>
          <w:p>
            <w:pPr>
              <w:spacing w:line="300" w:lineRule="exact"/>
              <w:jc w:val="center"/>
              <w:rPr>
                <w:sz w:val="18"/>
                <w:szCs w:val="18"/>
              </w:rPr>
            </w:pPr>
            <w:r>
              <w:rPr>
                <w:rFonts w:hint="eastAsia"/>
                <w:sz w:val="18"/>
                <w:szCs w:val="18"/>
              </w:rPr>
              <w:t>（</w:t>
            </w:r>
            <w:r>
              <w:rPr>
                <w:sz w:val="18"/>
                <w:szCs w:val="18"/>
              </w:rPr>
              <w:t>0.007</w:t>
            </w:r>
            <w:r>
              <w:rPr>
                <w:rFonts w:hint="eastAsia"/>
                <w:sz w:val="18"/>
                <w:szCs w:val="18"/>
              </w:rPr>
              <w:t>）</w:t>
            </w:r>
          </w:p>
        </w:tc>
        <w:tc>
          <w:tcPr>
            <w:tcW w:w="1743" w:type="dxa"/>
            <w:tcBorders>
              <w:top w:val="nil"/>
              <w:left w:val="nil"/>
              <w:bottom w:val="nil"/>
              <w:right w:val="nil"/>
            </w:tcBorders>
            <w:vAlign w:val="center"/>
          </w:tcPr>
          <w:p>
            <w:pPr>
              <w:spacing w:line="300" w:lineRule="exact"/>
              <w:jc w:val="center"/>
              <w:rPr>
                <w:sz w:val="18"/>
                <w:szCs w:val="18"/>
              </w:rPr>
            </w:pPr>
            <w:r>
              <w:rPr>
                <w:rFonts w:hint="eastAsia"/>
                <w:sz w:val="18"/>
                <w:szCs w:val="18"/>
              </w:rPr>
              <w:t>（</w:t>
            </w:r>
            <w:r>
              <w:rPr>
                <w:sz w:val="18"/>
                <w:szCs w:val="18"/>
              </w:rPr>
              <w:t>0.014</w:t>
            </w:r>
            <w:r>
              <w:rPr>
                <w:rFonts w:hint="eastAsia"/>
                <w:sz w:val="18"/>
                <w:szCs w:val="18"/>
              </w:rPr>
              <w:t>）</w:t>
            </w:r>
          </w:p>
        </w:tc>
      </w:tr>
      <w:tr>
        <w:tblPrEx>
          <w:tblLayout w:type="fixed"/>
          <w:tblCellMar>
            <w:top w:w="0" w:type="dxa"/>
            <w:left w:w="108" w:type="dxa"/>
            <w:bottom w:w="0" w:type="dxa"/>
            <w:right w:w="108" w:type="dxa"/>
          </w:tblCellMar>
        </w:tblPrEx>
        <w:trPr>
          <w:trHeight w:val="317" w:hRule="atLeast"/>
        </w:trPr>
        <w:tc>
          <w:tcPr>
            <w:tcW w:w="1730"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企业控制变量</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3"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30"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城市控制变量</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3"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30"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3"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30"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nil"/>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c>
          <w:tcPr>
            <w:tcW w:w="1743" w:type="dxa"/>
            <w:tcBorders>
              <w:top w:val="nil"/>
              <w:left w:val="nil"/>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30"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1742"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nil"/>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42"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c>
          <w:tcPr>
            <w:tcW w:w="1743" w:type="dxa"/>
            <w:tcBorders>
              <w:top w:val="nil"/>
              <w:left w:val="nil"/>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30" w:type="dxa"/>
            <w:tcBorders>
              <w:top w:val="single" w:color="auto" w:sz="4" w:space="0"/>
              <w:left w:val="nil"/>
              <w:right w:val="single" w:color="auto" w:sz="4" w:space="0"/>
            </w:tcBorders>
            <w:vAlign w:val="center"/>
          </w:tcPr>
          <w:p>
            <w:pPr>
              <w:spacing w:line="300" w:lineRule="exact"/>
              <w:jc w:val="left"/>
              <w:rPr>
                <w:sz w:val="18"/>
                <w:szCs w:val="18"/>
              </w:rPr>
            </w:pPr>
            <w:r>
              <w:rPr>
                <w:rFonts w:hint="eastAsia"/>
                <w:sz w:val="18"/>
                <w:szCs w:val="18"/>
              </w:rPr>
              <w:t>观测值</w:t>
            </w:r>
          </w:p>
        </w:tc>
        <w:tc>
          <w:tcPr>
            <w:tcW w:w="1742" w:type="dxa"/>
            <w:tcBorders>
              <w:top w:val="single" w:color="auto" w:sz="4" w:space="0"/>
              <w:left w:val="single" w:color="auto" w:sz="4" w:space="0"/>
              <w:right w:val="nil"/>
            </w:tcBorders>
            <w:vAlign w:val="center"/>
          </w:tcPr>
          <w:p>
            <w:pPr>
              <w:spacing w:line="300" w:lineRule="exact"/>
              <w:jc w:val="center"/>
              <w:rPr>
                <w:sz w:val="18"/>
                <w:szCs w:val="18"/>
              </w:rPr>
            </w:pPr>
            <w:r>
              <w:rPr>
                <w:sz w:val="18"/>
                <w:szCs w:val="18"/>
              </w:rPr>
              <w:t>11834</w:t>
            </w:r>
          </w:p>
        </w:tc>
        <w:tc>
          <w:tcPr>
            <w:tcW w:w="1742" w:type="dxa"/>
            <w:tcBorders>
              <w:top w:val="single" w:color="auto" w:sz="4" w:space="0"/>
              <w:left w:val="nil"/>
              <w:right w:val="single" w:color="auto" w:sz="4" w:space="0"/>
            </w:tcBorders>
            <w:vAlign w:val="center"/>
          </w:tcPr>
          <w:p>
            <w:pPr>
              <w:spacing w:line="300" w:lineRule="exact"/>
              <w:jc w:val="center"/>
              <w:rPr>
                <w:sz w:val="18"/>
                <w:szCs w:val="18"/>
              </w:rPr>
            </w:pPr>
            <w:r>
              <w:rPr>
                <w:sz w:val="18"/>
                <w:szCs w:val="18"/>
              </w:rPr>
              <w:t>20044</w:t>
            </w:r>
          </w:p>
        </w:tc>
        <w:tc>
          <w:tcPr>
            <w:tcW w:w="1742" w:type="dxa"/>
            <w:tcBorders>
              <w:top w:val="single" w:color="auto" w:sz="4" w:space="0"/>
              <w:left w:val="single" w:color="auto" w:sz="4" w:space="0"/>
              <w:bottom w:val="nil"/>
              <w:right w:val="nil"/>
            </w:tcBorders>
            <w:vAlign w:val="center"/>
          </w:tcPr>
          <w:p>
            <w:pPr>
              <w:spacing w:line="300" w:lineRule="exact"/>
              <w:jc w:val="center"/>
              <w:rPr>
                <w:sz w:val="18"/>
                <w:szCs w:val="18"/>
              </w:rPr>
            </w:pPr>
            <w:r>
              <w:rPr>
                <w:sz w:val="18"/>
                <w:szCs w:val="18"/>
              </w:rPr>
              <w:t>20613</w:t>
            </w:r>
          </w:p>
        </w:tc>
        <w:tc>
          <w:tcPr>
            <w:tcW w:w="1743" w:type="dxa"/>
            <w:tcBorders>
              <w:top w:val="single" w:color="auto" w:sz="4" w:space="0"/>
              <w:left w:val="nil"/>
              <w:bottom w:val="nil"/>
              <w:right w:val="nil"/>
            </w:tcBorders>
            <w:vAlign w:val="center"/>
          </w:tcPr>
          <w:p>
            <w:pPr>
              <w:spacing w:line="300" w:lineRule="exact"/>
              <w:jc w:val="center"/>
              <w:rPr>
                <w:sz w:val="18"/>
                <w:szCs w:val="18"/>
              </w:rPr>
            </w:pPr>
            <w:r>
              <w:rPr>
                <w:sz w:val="18"/>
                <w:szCs w:val="18"/>
              </w:rPr>
              <w:t>11255</w:t>
            </w:r>
          </w:p>
        </w:tc>
      </w:tr>
      <w:tr>
        <w:tblPrEx>
          <w:tblLayout w:type="fixed"/>
          <w:tblCellMar>
            <w:top w:w="0" w:type="dxa"/>
            <w:left w:w="108" w:type="dxa"/>
            <w:bottom w:w="0" w:type="dxa"/>
            <w:right w:w="108" w:type="dxa"/>
          </w:tblCellMar>
        </w:tblPrEx>
        <w:trPr>
          <w:trHeight w:val="317" w:hRule="atLeast"/>
        </w:trPr>
        <w:tc>
          <w:tcPr>
            <w:tcW w:w="1730"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R</w:t>
            </w:r>
            <w:r>
              <w:rPr>
                <w:rFonts w:hint="eastAsia"/>
                <w:sz w:val="18"/>
                <w:szCs w:val="18"/>
                <w:vertAlign w:val="superscript"/>
              </w:rPr>
              <w:t>2</w:t>
            </w:r>
          </w:p>
        </w:tc>
        <w:tc>
          <w:tcPr>
            <w:tcW w:w="1742" w:type="dxa"/>
            <w:tcBorders>
              <w:top w:val="nil"/>
              <w:left w:val="single" w:color="auto" w:sz="4" w:space="0"/>
              <w:bottom w:val="single" w:color="auto" w:sz="4" w:space="0"/>
              <w:right w:val="nil"/>
            </w:tcBorders>
            <w:vAlign w:val="center"/>
          </w:tcPr>
          <w:p>
            <w:pPr>
              <w:spacing w:line="300" w:lineRule="exact"/>
              <w:jc w:val="center"/>
              <w:rPr>
                <w:sz w:val="18"/>
                <w:szCs w:val="18"/>
              </w:rPr>
            </w:pPr>
            <w:r>
              <w:rPr>
                <w:sz w:val="18"/>
                <w:szCs w:val="18"/>
              </w:rPr>
              <w:t>0.953</w:t>
            </w:r>
          </w:p>
        </w:tc>
        <w:tc>
          <w:tcPr>
            <w:tcW w:w="1742" w:type="dxa"/>
            <w:tcBorders>
              <w:top w:val="nil"/>
              <w:left w:val="nil"/>
              <w:bottom w:val="single" w:color="auto" w:sz="4" w:space="0"/>
              <w:right w:val="single" w:color="auto" w:sz="4" w:space="0"/>
            </w:tcBorders>
            <w:vAlign w:val="center"/>
          </w:tcPr>
          <w:p>
            <w:pPr>
              <w:spacing w:line="300" w:lineRule="exact"/>
              <w:jc w:val="center"/>
              <w:rPr>
                <w:sz w:val="18"/>
                <w:szCs w:val="18"/>
              </w:rPr>
            </w:pPr>
            <w:r>
              <w:rPr>
                <w:sz w:val="18"/>
                <w:szCs w:val="18"/>
              </w:rPr>
              <w:t>0.979</w:t>
            </w:r>
          </w:p>
        </w:tc>
        <w:tc>
          <w:tcPr>
            <w:tcW w:w="1742" w:type="dxa"/>
            <w:tcBorders>
              <w:top w:val="nil"/>
              <w:left w:val="single" w:color="auto" w:sz="4" w:space="0"/>
              <w:bottom w:val="single" w:color="auto" w:sz="4" w:space="0"/>
              <w:right w:val="nil"/>
            </w:tcBorders>
            <w:vAlign w:val="center"/>
          </w:tcPr>
          <w:p>
            <w:pPr>
              <w:spacing w:line="300" w:lineRule="exact"/>
              <w:jc w:val="center"/>
              <w:rPr>
                <w:sz w:val="18"/>
                <w:szCs w:val="18"/>
              </w:rPr>
            </w:pPr>
            <w:r>
              <w:rPr>
                <w:sz w:val="18"/>
                <w:szCs w:val="18"/>
              </w:rPr>
              <w:t>0.980</w:t>
            </w:r>
          </w:p>
        </w:tc>
        <w:tc>
          <w:tcPr>
            <w:tcW w:w="1743" w:type="dxa"/>
            <w:tcBorders>
              <w:top w:val="nil"/>
              <w:left w:val="nil"/>
              <w:bottom w:val="single" w:color="auto" w:sz="4" w:space="0"/>
              <w:right w:val="nil"/>
            </w:tcBorders>
            <w:vAlign w:val="center"/>
          </w:tcPr>
          <w:p>
            <w:pPr>
              <w:spacing w:line="300" w:lineRule="exact"/>
              <w:jc w:val="center"/>
              <w:rPr>
                <w:sz w:val="18"/>
                <w:szCs w:val="18"/>
              </w:rPr>
            </w:pPr>
            <w:r>
              <w:rPr>
                <w:sz w:val="18"/>
                <w:szCs w:val="18"/>
              </w:rPr>
              <w:t>0.957</w:t>
            </w:r>
          </w:p>
        </w:tc>
      </w:tr>
      <w:tr>
        <w:tblPrEx>
          <w:tblLayout w:type="fixed"/>
          <w:tblCellMar>
            <w:top w:w="0" w:type="dxa"/>
            <w:left w:w="108" w:type="dxa"/>
            <w:bottom w:w="0" w:type="dxa"/>
            <w:right w:w="108" w:type="dxa"/>
          </w:tblCellMar>
        </w:tblPrEx>
        <w:trPr>
          <w:trHeight w:val="317" w:hRule="atLeast"/>
        </w:trPr>
        <w:tc>
          <w:tcPr>
            <w:tcW w:w="1730" w:type="dxa"/>
            <w:tcBorders>
              <w:top w:val="single" w:color="auto" w:sz="4" w:space="0"/>
              <w:left w:val="nil"/>
              <w:bottom w:val="single" w:color="auto" w:sz="12" w:space="0"/>
              <w:right w:val="single" w:color="auto" w:sz="4" w:space="0"/>
            </w:tcBorders>
            <w:vAlign w:val="center"/>
          </w:tcPr>
          <w:p>
            <w:pPr>
              <w:spacing w:line="300" w:lineRule="exact"/>
              <w:jc w:val="left"/>
              <w:rPr>
                <w:sz w:val="18"/>
                <w:szCs w:val="18"/>
              </w:rPr>
            </w:pPr>
            <w:r>
              <w:rPr>
                <w:sz w:val="18"/>
                <w:szCs w:val="18"/>
              </w:rPr>
              <w:t>费舍尔组合检验</w:t>
            </w:r>
          </w:p>
        </w:tc>
        <w:tc>
          <w:tcPr>
            <w:tcW w:w="3484" w:type="dxa"/>
            <w:gridSpan w:val="2"/>
            <w:tcBorders>
              <w:top w:val="single" w:color="auto" w:sz="4" w:space="0"/>
              <w:left w:val="single" w:color="auto" w:sz="4" w:space="0"/>
              <w:bottom w:val="single" w:color="auto" w:sz="12" w:space="0"/>
              <w:right w:val="single" w:color="auto" w:sz="4" w:space="0"/>
            </w:tcBorders>
            <w:vAlign w:val="center"/>
          </w:tcPr>
          <w:p>
            <w:pPr>
              <w:spacing w:line="300" w:lineRule="exact"/>
              <w:jc w:val="center"/>
              <w:rPr>
                <w:sz w:val="18"/>
                <w:szCs w:val="18"/>
              </w:rPr>
            </w:pPr>
            <w:r>
              <w:rPr>
                <w:rFonts w:hint="eastAsia"/>
                <w:sz w:val="18"/>
                <w:szCs w:val="18"/>
              </w:rPr>
              <w:t>p</w:t>
            </w:r>
            <w:r>
              <w:rPr>
                <w:sz w:val="18"/>
                <w:szCs w:val="18"/>
              </w:rPr>
              <w:t>值=</w:t>
            </w:r>
            <w:r>
              <w:rPr>
                <w:rFonts w:hint="eastAsia"/>
                <w:sz w:val="18"/>
                <w:szCs w:val="18"/>
              </w:rPr>
              <w:t>0.022</w:t>
            </w:r>
          </w:p>
        </w:tc>
        <w:tc>
          <w:tcPr>
            <w:tcW w:w="3485" w:type="dxa"/>
            <w:gridSpan w:val="2"/>
            <w:tcBorders>
              <w:top w:val="single" w:color="auto" w:sz="4" w:space="0"/>
              <w:left w:val="single" w:color="auto" w:sz="4" w:space="0"/>
              <w:bottom w:val="single" w:color="auto" w:sz="12" w:space="0"/>
              <w:right w:val="nil"/>
            </w:tcBorders>
            <w:vAlign w:val="center"/>
          </w:tcPr>
          <w:p>
            <w:pPr>
              <w:spacing w:line="300" w:lineRule="exact"/>
              <w:jc w:val="center"/>
              <w:rPr>
                <w:sz w:val="18"/>
                <w:szCs w:val="18"/>
              </w:rPr>
            </w:pPr>
            <w:r>
              <w:rPr>
                <w:rFonts w:hint="eastAsia"/>
                <w:sz w:val="18"/>
                <w:szCs w:val="18"/>
              </w:rPr>
              <w:t>p</w:t>
            </w:r>
            <w:r>
              <w:rPr>
                <w:sz w:val="18"/>
                <w:szCs w:val="18"/>
              </w:rPr>
              <w:t>值=</w:t>
            </w:r>
            <w:r>
              <w:rPr>
                <w:rFonts w:hint="eastAsia"/>
                <w:sz w:val="18"/>
                <w:szCs w:val="18"/>
              </w:rPr>
              <w:t>0.000</w:t>
            </w:r>
          </w:p>
        </w:tc>
      </w:tr>
    </w:tbl>
    <w:p>
      <w:pPr>
        <w:spacing w:line="240" w:lineRule="atLeast"/>
        <w:ind w:firstLine="332" w:firstLineChars="200"/>
        <w:rPr>
          <w:szCs w:val="21"/>
        </w:rPr>
      </w:pPr>
      <w:r>
        <w:rPr>
          <w:rFonts w:hint="eastAsia"/>
          <w:sz w:val="18"/>
          <w:szCs w:val="18"/>
        </w:rPr>
        <w:t>注：①***、**和*分别表示1%、5%和10%的显著性水平；②在异质性分析中，本文使用</w:t>
      </w:r>
      <w:r>
        <w:rPr>
          <w:sz w:val="18"/>
          <w:szCs w:val="18"/>
        </w:rPr>
        <w:t>Bootstrap</w:t>
      </w:r>
      <w:r>
        <w:rPr>
          <w:rFonts w:hint="eastAsia"/>
          <w:sz w:val="18"/>
          <w:szCs w:val="18"/>
        </w:rPr>
        <w:t>抽样检验</w:t>
      </w:r>
      <w:r>
        <w:rPr>
          <w:sz w:val="18"/>
          <w:szCs w:val="18"/>
        </w:rPr>
        <w:t>500</w:t>
      </w:r>
      <w:r>
        <w:rPr>
          <w:rFonts w:hint="eastAsia"/>
          <w:sz w:val="18"/>
          <w:szCs w:val="18"/>
        </w:rPr>
        <w:t>次对分样本回归的组间差异性进行分析；③在回归中，分组控制高维固定效应会自动删除部分观测值。</w:t>
      </w:r>
    </w:p>
    <w:p>
      <w:pPr>
        <w:spacing w:line="240" w:lineRule="atLeast"/>
        <w:ind w:firstLine="392" w:firstLineChars="200"/>
        <w:rPr>
          <w:szCs w:val="21"/>
        </w:rPr>
      </w:pPr>
    </w:p>
    <w:p>
      <w:pPr>
        <w:numPr>
          <w:ilvl w:val="0"/>
          <w:numId w:val="1"/>
        </w:numPr>
        <w:spacing w:line="240" w:lineRule="atLeast"/>
        <w:ind w:firstLine="392" w:firstLineChars="200"/>
        <w:rPr>
          <w:rFonts w:ascii="黑体" w:hAnsi="黑体" w:eastAsia="黑体" w:cs="黑体"/>
          <w:szCs w:val="21"/>
        </w:rPr>
      </w:pPr>
      <w:bookmarkStart w:id="6" w:name="_Toc1968067959"/>
      <w:r>
        <w:rPr>
          <w:rFonts w:hint="eastAsia" w:ascii="黑体" w:hAnsi="黑体" w:eastAsia="黑体" w:cs="黑体"/>
          <w:szCs w:val="21"/>
        </w:rPr>
        <w:t>考虑区域特征的异质性分析</w:t>
      </w:r>
      <w:bookmarkEnd w:id="6"/>
    </w:p>
    <w:p>
      <w:pPr>
        <w:pStyle w:val="2"/>
        <w:spacing w:line="240" w:lineRule="atLeast"/>
        <w:ind w:left="392" w:firstLine="0"/>
      </w:pPr>
      <w:r>
        <w:rPr>
          <w:rFonts w:hint="eastAsia" w:ascii="Times New Roman" w:eastAsia="黑体" w:cs="Times New Roman"/>
          <w:sz w:val="18"/>
          <w:szCs w:val="18"/>
        </w:rPr>
        <w:t>附表8                            考虑区域特征的异质性分析结果</w:t>
      </w:r>
    </w:p>
    <w:tbl>
      <w:tblPr>
        <w:tblStyle w:val="33"/>
        <w:tblW w:w="8607" w:type="dxa"/>
        <w:tblInd w:w="125" w:type="dxa"/>
        <w:tblLayout w:type="fixed"/>
        <w:tblCellMar>
          <w:top w:w="0" w:type="dxa"/>
          <w:left w:w="108" w:type="dxa"/>
          <w:bottom w:w="0" w:type="dxa"/>
          <w:right w:w="108" w:type="dxa"/>
        </w:tblCellMar>
      </w:tblPr>
      <w:tblGrid>
        <w:gridCol w:w="1725"/>
        <w:gridCol w:w="1720"/>
        <w:gridCol w:w="1720"/>
        <w:gridCol w:w="1"/>
        <w:gridCol w:w="1719"/>
        <w:gridCol w:w="1722"/>
      </w:tblGrid>
      <w:tr>
        <w:tblPrEx>
          <w:tblLayout w:type="fixed"/>
          <w:tblCellMar>
            <w:top w:w="0" w:type="dxa"/>
            <w:left w:w="108" w:type="dxa"/>
            <w:bottom w:w="0" w:type="dxa"/>
            <w:right w:w="108" w:type="dxa"/>
          </w:tblCellMar>
        </w:tblPrEx>
        <w:trPr>
          <w:trHeight w:val="317" w:hRule="atLeast"/>
        </w:trPr>
        <w:tc>
          <w:tcPr>
            <w:tcW w:w="1725" w:type="dxa"/>
            <w:vMerge w:val="restart"/>
            <w:tcBorders>
              <w:top w:val="single" w:color="auto" w:sz="12" w:space="0"/>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变量</w:t>
            </w:r>
          </w:p>
        </w:tc>
        <w:tc>
          <w:tcPr>
            <w:tcW w:w="3441" w:type="dxa"/>
            <w:gridSpan w:val="3"/>
            <w:tcBorders>
              <w:top w:val="single" w:color="auto" w:sz="12" w:space="0"/>
              <w:left w:val="single" w:color="auto" w:sz="4" w:space="0"/>
              <w:bottom w:val="single" w:color="auto" w:sz="4" w:space="0"/>
              <w:right w:val="single" w:color="auto" w:sz="4" w:space="0"/>
            </w:tcBorders>
            <w:vAlign w:val="center"/>
          </w:tcPr>
          <w:p>
            <w:pPr>
              <w:spacing w:line="300" w:lineRule="exact"/>
              <w:jc w:val="center"/>
              <w:rPr>
                <w:sz w:val="18"/>
                <w:szCs w:val="18"/>
              </w:rPr>
            </w:pPr>
            <w:r>
              <w:rPr>
                <w:rFonts w:hint="eastAsia"/>
                <w:sz w:val="18"/>
                <w:szCs w:val="18"/>
              </w:rPr>
              <w:t>城市群发展阶段</w:t>
            </w:r>
          </w:p>
        </w:tc>
        <w:tc>
          <w:tcPr>
            <w:tcW w:w="3441" w:type="dxa"/>
            <w:gridSpan w:val="2"/>
            <w:tcBorders>
              <w:top w:val="single" w:color="auto" w:sz="12" w:space="0"/>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数字化水平</w:t>
            </w:r>
          </w:p>
        </w:tc>
      </w:tr>
      <w:tr>
        <w:tblPrEx>
          <w:tblLayout w:type="fixed"/>
          <w:tblCellMar>
            <w:top w:w="0" w:type="dxa"/>
            <w:left w:w="108" w:type="dxa"/>
            <w:bottom w:w="0" w:type="dxa"/>
            <w:right w:w="108" w:type="dxa"/>
          </w:tblCellMar>
        </w:tblPrEx>
        <w:trPr>
          <w:trHeight w:val="317" w:hRule="atLeast"/>
        </w:trPr>
        <w:tc>
          <w:tcPr>
            <w:tcW w:w="1725"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1720" w:type="dxa"/>
            <w:tcBorders>
              <w:top w:val="single" w:color="auto" w:sz="4"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发展型</w:t>
            </w:r>
          </w:p>
        </w:tc>
        <w:tc>
          <w:tcPr>
            <w:tcW w:w="1720" w:type="dxa"/>
            <w:tcBorders>
              <w:top w:val="single" w:color="auto" w:sz="4"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成熟型</w:t>
            </w:r>
          </w:p>
        </w:tc>
        <w:tc>
          <w:tcPr>
            <w:tcW w:w="1720" w:type="dxa"/>
            <w:gridSpan w:val="2"/>
            <w:tcBorders>
              <w:top w:val="single" w:color="auto" w:sz="4" w:space="0"/>
              <w:left w:val="single" w:color="auto" w:sz="4" w:space="0"/>
              <w:bottom w:val="nil"/>
              <w:right w:val="single" w:color="auto" w:sz="4" w:space="0"/>
            </w:tcBorders>
            <w:vAlign w:val="center"/>
          </w:tcPr>
          <w:p>
            <w:pPr>
              <w:spacing w:line="300" w:lineRule="exact"/>
              <w:jc w:val="center"/>
              <w:rPr>
                <w:sz w:val="18"/>
                <w:szCs w:val="18"/>
              </w:rPr>
            </w:pPr>
            <w:r>
              <w:rPr>
                <w:rFonts w:hint="eastAsia"/>
                <w:sz w:val="18"/>
                <w:szCs w:val="18"/>
              </w:rPr>
              <w:t>非试点</w:t>
            </w:r>
          </w:p>
        </w:tc>
        <w:tc>
          <w:tcPr>
            <w:tcW w:w="1722" w:type="dxa"/>
            <w:tcBorders>
              <w:top w:val="single" w:color="auto" w:sz="4" w:space="0"/>
              <w:left w:val="single" w:color="auto" w:sz="4" w:space="0"/>
              <w:bottom w:val="nil"/>
              <w:right w:val="nil"/>
            </w:tcBorders>
            <w:vAlign w:val="center"/>
          </w:tcPr>
          <w:p>
            <w:pPr>
              <w:spacing w:line="300" w:lineRule="exact"/>
              <w:jc w:val="center"/>
              <w:rPr>
                <w:sz w:val="18"/>
                <w:szCs w:val="18"/>
              </w:rPr>
            </w:pPr>
            <w:r>
              <w:rPr>
                <w:rFonts w:hint="eastAsia"/>
                <w:sz w:val="18"/>
                <w:szCs w:val="18"/>
              </w:rPr>
              <w:t>试点</w:t>
            </w:r>
          </w:p>
        </w:tc>
      </w:tr>
      <w:tr>
        <w:tblPrEx>
          <w:tblLayout w:type="fixed"/>
          <w:tblCellMar>
            <w:top w:w="0" w:type="dxa"/>
            <w:left w:w="108" w:type="dxa"/>
            <w:bottom w:w="0" w:type="dxa"/>
            <w:right w:w="108" w:type="dxa"/>
          </w:tblCellMar>
        </w:tblPrEx>
        <w:trPr>
          <w:trHeight w:val="317" w:hRule="atLeast"/>
        </w:trPr>
        <w:tc>
          <w:tcPr>
            <w:tcW w:w="1725" w:type="dxa"/>
            <w:vMerge w:val="continue"/>
            <w:tcBorders>
              <w:top w:val="single" w:color="auto" w:sz="4" w:space="0"/>
              <w:left w:val="nil"/>
              <w:bottom w:val="single" w:color="auto" w:sz="4" w:space="0"/>
              <w:right w:val="single" w:color="auto" w:sz="4" w:space="0"/>
            </w:tcBorders>
            <w:vAlign w:val="center"/>
          </w:tcPr>
          <w:p>
            <w:pPr>
              <w:spacing w:line="300" w:lineRule="exact"/>
              <w:jc w:val="center"/>
              <w:rPr>
                <w:sz w:val="18"/>
                <w:szCs w:val="18"/>
              </w:rPr>
            </w:pPr>
          </w:p>
        </w:tc>
        <w:tc>
          <w:tcPr>
            <w:tcW w:w="1720" w:type="dxa"/>
            <w:tcBorders>
              <w:top w:val="nil"/>
              <w:left w:val="single" w:color="auto" w:sz="4" w:space="0"/>
              <w:bottom w:val="single" w:color="auto" w:sz="4" w:space="0"/>
              <w:right w:val="single" w:color="auto" w:sz="4" w:space="0"/>
            </w:tcBorders>
            <w:vAlign w:val="center"/>
          </w:tcPr>
          <w:p>
            <w:pPr>
              <w:spacing w:line="300" w:lineRule="exact"/>
              <w:jc w:val="center"/>
              <w:rPr>
                <w:sz w:val="18"/>
                <w:szCs w:val="18"/>
              </w:rPr>
            </w:pPr>
            <w:r>
              <w:rPr>
                <w:rFonts w:hint="eastAsia"/>
                <w:sz w:val="18"/>
                <w:szCs w:val="18"/>
              </w:rPr>
              <w:t>（1）</w:t>
            </w:r>
          </w:p>
        </w:tc>
        <w:tc>
          <w:tcPr>
            <w:tcW w:w="1720" w:type="dxa"/>
            <w:tcBorders>
              <w:top w:val="nil"/>
              <w:left w:val="single" w:color="auto" w:sz="4" w:space="0"/>
              <w:bottom w:val="single" w:color="auto" w:sz="4" w:space="0"/>
              <w:right w:val="single" w:color="auto" w:sz="4" w:space="0"/>
            </w:tcBorders>
            <w:vAlign w:val="center"/>
          </w:tcPr>
          <w:p>
            <w:pPr>
              <w:spacing w:line="300" w:lineRule="exact"/>
              <w:jc w:val="center"/>
              <w:rPr>
                <w:sz w:val="18"/>
                <w:szCs w:val="18"/>
              </w:rPr>
            </w:pPr>
            <w:r>
              <w:rPr>
                <w:rFonts w:hint="eastAsia"/>
                <w:sz w:val="18"/>
                <w:szCs w:val="18"/>
              </w:rPr>
              <w:t>（2）</w:t>
            </w:r>
          </w:p>
        </w:tc>
        <w:tc>
          <w:tcPr>
            <w:tcW w:w="1720" w:type="dxa"/>
            <w:gridSpan w:val="2"/>
            <w:tcBorders>
              <w:top w:val="nil"/>
              <w:left w:val="single" w:color="auto" w:sz="4" w:space="0"/>
              <w:bottom w:val="single" w:color="auto" w:sz="4" w:space="0"/>
              <w:right w:val="single" w:color="auto" w:sz="4" w:space="0"/>
            </w:tcBorders>
            <w:vAlign w:val="center"/>
          </w:tcPr>
          <w:p>
            <w:pPr>
              <w:spacing w:line="300" w:lineRule="exact"/>
              <w:jc w:val="center"/>
              <w:rPr>
                <w:sz w:val="18"/>
                <w:szCs w:val="18"/>
              </w:rPr>
            </w:pPr>
            <w:r>
              <w:rPr>
                <w:rFonts w:hint="eastAsia"/>
                <w:sz w:val="18"/>
                <w:szCs w:val="18"/>
              </w:rPr>
              <w:t>（3）</w:t>
            </w:r>
          </w:p>
        </w:tc>
        <w:tc>
          <w:tcPr>
            <w:tcW w:w="1722" w:type="dxa"/>
            <w:tcBorders>
              <w:top w:val="nil"/>
              <w:left w:val="single" w:color="auto" w:sz="4" w:space="0"/>
              <w:bottom w:val="single" w:color="auto" w:sz="4" w:space="0"/>
              <w:right w:val="nil"/>
            </w:tcBorders>
            <w:vAlign w:val="center"/>
          </w:tcPr>
          <w:p>
            <w:pPr>
              <w:spacing w:line="300" w:lineRule="exact"/>
              <w:jc w:val="center"/>
              <w:rPr>
                <w:sz w:val="18"/>
                <w:szCs w:val="18"/>
              </w:rPr>
            </w:pPr>
            <w:r>
              <w:rPr>
                <w:rFonts w:hint="eastAsia"/>
                <w:sz w:val="18"/>
                <w:szCs w:val="18"/>
              </w:rPr>
              <w:t>（4）</w:t>
            </w:r>
          </w:p>
        </w:tc>
      </w:tr>
      <w:tr>
        <w:tblPrEx>
          <w:tblLayout w:type="fixed"/>
          <w:tblCellMar>
            <w:top w:w="0" w:type="dxa"/>
            <w:left w:w="108" w:type="dxa"/>
            <w:bottom w:w="0" w:type="dxa"/>
            <w:right w:w="108" w:type="dxa"/>
          </w:tblCellMar>
        </w:tblPrEx>
        <w:trPr>
          <w:trHeight w:val="317" w:hRule="atLeast"/>
        </w:trPr>
        <w:tc>
          <w:tcPr>
            <w:tcW w:w="1725" w:type="dxa"/>
            <w:tcBorders>
              <w:top w:val="single" w:color="auto" w:sz="4" w:space="0"/>
              <w:left w:val="nil"/>
              <w:bottom w:val="nil"/>
              <w:right w:val="single" w:color="auto" w:sz="4" w:space="0"/>
              <w:tl2br w:val="nil"/>
              <w:tr2bl w:val="nil"/>
            </w:tcBorders>
            <w:vAlign w:val="center"/>
          </w:tcPr>
          <w:p>
            <w:pPr>
              <w:spacing w:line="300" w:lineRule="exact"/>
              <w:jc w:val="left"/>
              <w:rPr>
                <w:sz w:val="18"/>
                <w:szCs w:val="18"/>
              </w:rPr>
            </w:pPr>
            <w:r>
              <w:rPr>
                <w:rFonts w:hint="eastAsia"/>
                <w:sz w:val="18"/>
                <w:szCs w:val="18"/>
              </w:rPr>
              <w:t>全国统一大市场建设</w:t>
            </w:r>
          </w:p>
        </w:tc>
        <w:tc>
          <w:tcPr>
            <w:tcW w:w="1720" w:type="dxa"/>
            <w:tcBorders>
              <w:top w:val="single" w:color="auto" w:sz="4" w:space="0"/>
              <w:left w:val="single" w:color="auto" w:sz="4" w:space="0"/>
              <w:bottom w:val="nil"/>
              <w:right w:val="single" w:color="auto" w:sz="4" w:space="0"/>
              <w:tl2br w:val="nil"/>
              <w:tr2bl w:val="nil"/>
            </w:tcBorders>
            <w:vAlign w:val="center"/>
          </w:tcPr>
          <w:p>
            <w:pPr>
              <w:spacing w:line="300" w:lineRule="exact"/>
              <w:jc w:val="center"/>
              <w:rPr>
                <w:sz w:val="18"/>
                <w:szCs w:val="18"/>
              </w:rPr>
            </w:pPr>
            <w:r>
              <w:rPr>
                <w:sz w:val="18"/>
                <w:szCs w:val="18"/>
              </w:rPr>
              <w:t>0.008</w:t>
            </w:r>
          </w:p>
        </w:tc>
        <w:tc>
          <w:tcPr>
            <w:tcW w:w="1720" w:type="dxa"/>
            <w:tcBorders>
              <w:top w:val="single" w:color="auto" w:sz="4" w:space="0"/>
              <w:left w:val="single" w:color="auto" w:sz="4" w:space="0"/>
              <w:bottom w:val="nil"/>
              <w:right w:val="single" w:color="auto" w:sz="4" w:space="0"/>
              <w:tl2br w:val="nil"/>
              <w:tr2bl w:val="nil"/>
            </w:tcBorders>
            <w:vAlign w:val="center"/>
          </w:tcPr>
          <w:p>
            <w:pPr>
              <w:spacing w:line="300" w:lineRule="exact"/>
              <w:jc w:val="center"/>
              <w:rPr>
                <w:sz w:val="18"/>
                <w:szCs w:val="18"/>
              </w:rPr>
            </w:pPr>
            <w:r>
              <w:rPr>
                <w:sz w:val="18"/>
                <w:szCs w:val="18"/>
              </w:rPr>
              <w:t>0.027</w:t>
            </w:r>
            <w:r>
              <w:rPr>
                <w:sz w:val="18"/>
                <w:szCs w:val="18"/>
                <w:vertAlign w:val="superscript"/>
              </w:rPr>
              <w:t>***</w:t>
            </w:r>
          </w:p>
        </w:tc>
        <w:tc>
          <w:tcPr>
            <w:tcW w:w="1720" w:type="dxa"/>
            <w:gridSpan w:val="2"/>
            <w:tcBorders>
              <w:top w:val="single" w:color="auto" w:sz="4" w:space="0"/>
              <w:left w:val="single" w:color="auto" w:sz="4" w:space="0"/>
              <w:bottom w:val="nil"/>
              <w:right w:val="single" w:color="auto" w:sz="4" w:space="0"/>
              <w:tl2br w:val="nil"/>
              <w:tr2bl w:val="nil"/>
            </w:tcBorders>
            <w:vAlign w:val="center"/>
          </w:tcPr>
          <w:p>
            <w:pPr>
              <w:spacing w:line="300" w:lineRule="exact"/>
              <w:jc w:val="center"/>
              <w:rPr>
                <w:sz w:val="18"/>
                <w:szCs w:val="18"/>
              </w:rPr>
            </w:pPr>
            <w:r>
              <w:rPr>
                <w:sz w:val="18"/>
                <w:szCs w:val="18"/>
              </w:rPr>
              <w:t>0.014</w:t>
            </w:r>
            <w:r>
              <w:rPr>
                <w:sz w:val="18"/>
                <w:szCs w:val="18"/>
                <w:vertAlign w:val="superscript"/>
              </w:rPr>
              <w:t>*</w:t>
            </w:r>
          </w:p>
        </w:tc>
        <w:tc>
          <w:tcPr>
            <w:tcW w:w="1722" w:type="dxa"/>
            <w:tcBorders>
              <w:top w:val="single" w:color="auto" w:sz="4" w:space="0"/>
              <w:left w:val="single" w:color="auto" w:sz="4" w:space="0"/>
              <w:bottom w:val="nil"/>
              <w:right w:val="nil"/>
              <w:tl2br w:val="nil"/>
              <w:tr2bl w:val="nil"/>
            </w:tcBorders>
            <w:vAlign w:val="center"/>
          </w:tcPr>
          <w:p>
            <w:pPr>
              <w:spacing w:line="300" w:lineRule="exact"/>
              <w:jc w:val="center"/>
              <w:rPr>
                <w:sz w:val="18"/>
                <w:szCs w:val="18"/>
              </w:rPr>
            </w:pPr>
            <w:r>
              <w:rPr>
                <w:sz w:val="18"/>
                <w:szCs w:val="18"/>
              </w:rPr>
              <w:t>0.035</w:t>
            </w:r>
            <w:r>
              <w:rPr>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1725" w:type="dxa"/>
            <w:tcBorders>
              <w:top w:val="nil"/>
              <w:left w:val="nil"/>
              <w:bottom w:val="nil"/>
              <w:right w:val="single" w:color="auto" w:sz="4" w:space="0"/>
              <w:tl2br w:val="nil"/>
              <w:tr2bl w:val="nil"/>
            </w:tcBorders>
            <w:vAlign w:val="center"/>
          </w:tcPr>
          <w:p>
            <w:pPr>
              <w:spacing w:line="300" w:lineRule="exact"/>
              <w:jc w:val="left"/>
              <w:rPr>
                <w:sz w:val="18"/>
                <w:szCs w:val="18"/>
              </w:rPr>
            </w:pPr>
          </w:p>
        </w:tc>
        <w:tc>
          <w:tcPr>
            <w:tcW w:w="1720" w:type="dxa"/>
            <w:tcBorders>
              <w:top w:val="nil"/>
              <w:left w:val="single" w:color="auto" w:sz="4" w:space="0"/>
              <w:bottom w:val="nil"/>
              <w:right w:val="single" w:color="auto" w:sz="4" w:space="0"/>
              <w:tl2br w:val="nil"/>
              <w:tr2bl w:val="nil"/>
            </w:tcBorders>
            <w:vAlign w:val="center"/>
          </w:tcPr>
          <w:p>
            <w:pPr>
              <w:spacing w:line="300" w:lineRule="exact"/>
              <w:jc w:val="center"/>
              <w:rPr>
                <w:sz w:val="18"/>
                <w:szCs w:val="18"/>
              </w:rPr>
            </w:pPr>
            <w:r>
              <w:rPr>
                <w:rFonts w:hint="eastAsia"/>
                <w:sz w:val="18"/>
                <w:szCs w:val="18"/>
              </w:rPr>
              <w:t>（</w:t>
            </w:r>
            <w:r>
              <w:rPr>
                <w:sz w:val="18"/>
                <w:szCs w:val="18"/>
              </w:rPr>
              <w:t>0.012</w:t>
            </w:r>
            <w:r>
              <w:rPr>
                <w:rFonts w:hint="eastAsia"/>
                <w:sz w:val="18"/>
                <w:szCs w:val="18"/>
              </w:rPr>
              <w:t>）</w:t>
            </w:r>
          </w:p>
        </w:tc>
        <w:tc>
          <w:tcPr>
            <w:tcW w:w="1720" w:type="dxa"/>
            <w:tcBorders>
              <w:top w:val="nil"/>
              <w:left w:val="single" w:color="auto" w:sz="4" w:space="0"/>
              <w:bottom w:val="nil"/>
              <w:right w:val="single" w:color="auto" w:sz="4" w:space="0"/>
              <w:tl2br w:val="nil"/>
              <w:tr2bl w:val="nil"/>
            </w:tcBorders>
            <w:vAlign w:val="center"/>
          </w:tcPr>
          <w:p>
            <w:pPr>
              <w:spacing w:line="300" w:lineRule="exact"/>
              <w:jc w:val="center"/>
              <w:rPr>
                <w:sz w:val="18"/>
                <w:szCs w:val="18"/>
              </w:rPr>
            </w:pPr>
            <w:r>
              <w:rPr>
                <w:rFonts w:hint="eastAsia"/>
                <w:sz w:val="18"/>
                <w:szCs w:val="18"/>
              </w:rPr>
              <w:t>（</w:t>
            </w:r>
            <w:r>
              <w:rPr>
                <w:sz w:val="18"/>
                <w:szCs w:val="18"/>
              </w:rPr>
              <w:t>0.007</w:t>
            </w:r>
            <w:r>
              <w:rPr>
                <w:rFonts w:hint="eastAsia"/>
                <w:sz w:val="18"/>
                <w:szCs w:val="18"/>
              </w:rPr>
              <w:t>）</w:t>
            </w:r>
          </w:p>
        </w:tc>
        <w:tc>
          <w:tcPr>
            <w:tcW w:w="1720" w:type="dxa"/>
            <w:gridSpan w:val="2"/>
            <w:tcBorders>
              <w:top w:val="nil"/>
              <w:left w:val="single" w:color="auto" w:sz="4" w:space="0"/>
              <w:bottom w:val="nil"/>
              <w:right w:val="single" w:color="auto" w:sz="4" w:space="0"/>
              <w:tl2br w:val="nil"/>
              <w:tr2bl w:val="nil"/>
            </w:tcBorders>
            <w:vAlign w:val="center"/>
          </w:tcPr>
          <w:p>
            <w:pPr>
              <w:spacing w:line="300" w:lineRule="exact"/>
              <w:jc w:val="center"/>
              <w:rPr>
                <w:sz w:val="18"/>
                <w:szCs w:val="18"/>
              </w:rPr>
            </w:pPr>
            <w:r>
              <w:rPr>
                <w:rFonts w:hint="eastAsia"/>
                <w:sz w:val="18"/>
                <w:szCs w:val="18"/>
              </w:rPr>
              <w:t>（</w:t>
            </w:r>
            <w:r>
              <w:rPr>
                <w:sz w:val="18"/>
                <w:szCs w:val="18"/>
              </w:rPr>
              <w:t>0.008</w:t>
            </w:r>
            <w:r>
              <w:rPr>
                <w:rFonts w:hint="eastAsia"/>
                <w:sz w:val="18"/>
                <w:szCs w:val="18"/>
              </w:rPr>
              <w:t>）</w:t>
            </w:r>
          </w:p>
        </w:tc>
        <w:tc>
          <w:tcPr>
            <w:tcW w:w="1722" w:type="dxa"/>
            <w:tcBorders>
              <w:top w:val="nil"/>
              <w:left w:val="single" w:color="auto" w:sz="4" w:space="0"/>
              <w:bottom w:val="nil"/>
              <w:right w:val="nil"/>
              <w:tl2br w:val="nil"/>
              <w:tr2bl w:val="nil"/>
            </w:tcBorders>
            <w:vAlign w:val="center"/>
          </w:tcPr>
          <w:p>
            <w:pPr>
              <w:spacing w:line="300" w:lineRule="exact"/>
              <w:jc w:val="center"/>
              <w:rPr>
                <w:sz w:val="18"/>
                <w:szCs w:val="18"/>
              </w:rPr>
            </w:pPr>
            <w:r>
              <w:rPr>
                <w:rFonts w:hint="eastAsia"/>
                <w:sz w:val="18"/>
                <w:szCs w:val="18"/>
              </w:rPr>
              <w:t>（</w:t>
            </w:r>
            <w:r>
              <w:rPr>
                <w:sz w:val="18"/>
                <w:szCs w:val="18"/>
              </w:rPr>
              <w:t>0.012</w:t>
            </w:r>
            <w:r>
              <w:rPr>
                <w:rFonts w:hint="eastAsia"/>
                <w:sz w:val="18"/>
                <w:szCs w:val="18"/>
              </w:rPr>
              <w:t>）</w:t>
            </w:r>
          </w:p>
        </w:tc>
      </w:tr>
      <w:tr>
        <w:tblPrEx>
          <w:tblLayout w:type="fixed"/>
          <w:tblCellMar>
            <w:top w:w="0" w:type="dxa"/>
            <w:left w:w="108" w:type="dxa"/>
            <w:bottom w:w="0" w:type="dxa"/>
            <w:right w:w="108" w:type="dxa"/>
          </w:tblCellMar>
        </w:tblPrEx>
        <w:trPr>
          <w:trHeight w:val="317" w:hRule="atLeast"/>
        </w:trPr>
        <w:tc>
          <w:tcPr>
            <w:tcW w:w="172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企业控制变量</w:t>
            </w:r>
          </w:p>
        </w:tc>
        <w:tc>
          <w:tcPr>
            <w:tcW w:w="1720"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2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城市控制变量</w:t>
            </w:r>
          </w:p>
        </w:tc>
        <w:tc>
          <w:tcPr>
            <w:tcW w:w="1720"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25" w:type="dxa"/>
            <w:tcBorders>
              <w:top w:val="nil"/>
              <w:left w:val="nil"/>
              <w:bottom w:val="nil"/>
              <w:right w:val="single" w:color="auto" w:sz="4" w:space="0"/>
            </w:tcBorders>
            <w:vAlign w:val="center"/>
          </w:tcPr>
          <w:p>
            <w:pPr>
              <w:spacing w:line="300" w:lineRule="exact"/>
              <w:jc w:val="left"/>
              <w:rPr>
                <w:sz w:val="18"/>
                <w:szCs w:val="18"/>
              </w:rPr>
            </w:pPr>
            <w:r>
              <w:rPr>
                <w:rFonts w:hint="eastAsia"/>
                <w:sz w:val="18"/>
                <w:szCs w:val="18"/>
              </w:rPr>
              <w:t>企业固定效应</w:t>
            </w:r>
          </w:p>
        </w:tc>
        <w:tc>
          <w:tcPr>
            <w:tcW w:w="1720"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gridSpan w:val="2"/>
            <w:tcBorders>
              <w:top w:val="nil"/>
              <w:left w:val="single" w:color="auto" w:sz="4" w:space="0"/>
              <w:bottom w:val="nil"/>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2" w:type="dxa"/>
            <w:tcBorders>
              <w:top w:val="nil"/>
              <w:left w:val="single" w:color="auto" w:sz="4" w:space="0"/>
              <w:bottom w:val="nil"/>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25"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行业固定效应</w:t>
            </w:r>
          </w:p>
        </w:tc>
        <w:tc>
          <w:tcPr>
            <w:tcW w:w="1720" w:type="dxa"/>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gridSpan w:val="2"/>
            <w:tcBorders>
              <w:top w:val="nil"/>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2" w:type="dxa"/>
            <w:tcBorders>
              <w:top w:val="nil"/>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pPr>
      <w:r>
        <w:rPr>
          <w:rFonts w:hint="eastAsia" w:ascii="Times New Roman" w:eastAsia="黑体" w:cs="Times New Roman"/>
          <w:sz w:val="18"/>
          <w:szCs w:val="18"/>
        </w:rPr>
        <w:t>附表</w:t>
      </w:r>
      <w:r>
        <w:rPr>
          <w:rFonts w:hint="eastAsia" w:eastAsia="黑体" w:cs="Times New Roman"/>
          <w:sz w:val="18"/>
          <w:szCs w:val="18"/>
          <w:lang w:val="en-US" w:eastAsia="zh-CN"/>
        </w:rPr>
        <w:t>8</w:t>
      </w:r>
      <w:r>
        <w:rPr>
          <w:rFonts w:hint="eastAsia" w:ascii="Times New Roman" w:eastAsia="黑体" w:cs="Times New Roman"/>
          <w:sz w:val="18"/>
          <w:szCs w:val="18"/>
          <w:lang w:eastAsia="zh-CN"/>
        </w:rPr>
        <w:t>（</w:t>
      </w:r>
      <w:r>
        <w:rPr>
          <w:rFonts w:hint="eastAsia" w:ascii="Times New Roman" w:eastAsia="黑体" w:cs="Times New Roman"/>
          <w:sz w:val="18"/>
          <w:szCs w:val="18"/>
          <w:lang w:val="en-US" w:eastAsia="zh-CN"/>
        </w:rPr>
        <w:t>续</w:t>
      </w:r>
      <w:r>
        <w:rPr>
          <w:rFonts w:hint="eastAsia" w:ascii="Times New Roman" w:eastAsia="黑体" w:cs="Times New Roman"/>
          <w:sz w:val="18"/>
          <w:szCs w:val="18"/>
          <w:lang w:eastAsia="zh-CN"/>
        </w:rPr>
        <w:t>）</w:t>
      </w:r>
    </w:p>
    <w:tbl>
      <w:tblPr>
        <w:tblStyle w:val="33"/>
        <w:tblW w:w="8607" w:type="dxa"/>
        <w:tblInd w:w="125" w:type="dxa"/>
        <w:tblLayout w:type="fixed"/>
        <w:tblCellMar>
          <w:top w:w="0" w:type="dxa"/>
          <w:left w:w="108" w:type="dxa"/>
          <w:bottom w:w="0" w:type="dxa"/>
          <w:right w:w="108" w:type="dxa"/>
        </w:tblCellMar>
      </w:tblPr>
      <w:tblGrid>
        <w:gridCol w:w="1725"/>
        <w:gridCol w:w="1720"/>
        <w:gridCol w:w="1720"/>
        <w:gridCol w:w="1"/>
        <w:gridCol w:w="1719"/>
        <w:gridCol w:w="1722"/>
      </w:tblGrid>
      <w:tr>
        <w:tblPrEx>
          <w:tblLayout w:type="fixed"/>
          <w:tblCellMar>
            <w:top w:w="0" w:type="dxa"/>
            <w:left w:w="108" w:type="dxa"/>
            <w:bottom w:w="0" w:type="dxa"/>
            <w:right w:w="108" w:type="dxa"/>
          </w:tblCellMar>
        </w:tblPrEx>
        <w:trPr>
          <w:trHeight w:val="317" w:hRule="atLeast"/>
        </w:trPr>
        <w:tc>
          <w:tcPr>
            <w:tcW w:w="1725" w:type="dxa"/>
            <w:tcBorders>
              <w:top w:val="single" w:color="auto" w:sz="4" w:space="0"/>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年份固定效应</w:t>
            </w:r>
          </w:p>
        </w:tc>
        <w:tc>
          <w:tcPr>
            <w:tcW w:w="172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Calibri" w:hAnsi="Calibri"/>
              </w:rPr>
            </w:pPr>
            <w:r>
              <w:rPr>
                <w:rFonts w:hint="eastAsia"/>
                <w:sz w:val="18"/>
                <w:szCs w:val="18"/>
              </w:rPr>
              <w:t>已控制</w:t>
            </w:r>
          </w:p>
        </w:tc>
        <w:tc>
          <w:tcPr>
            <w:tcW w:w="1722" w:type="dxa"/>
            <w:tcBorders>
              <w:top w:val="single" w:color="auto" w:sz="4" w:space="0"/>
              <w:left w:val="single" w:color="auto" w:sz="4" w:space="0"/>
              <w:bottom w:val="single" w:color="auto" w:sz="4" w:space="0"/>
              <w:right w:val="nil"/>
            </w:tcBorders>
            <w:vAlign w:val="center"/>
          </w:tcPr>
          <w:p>
            <w:pPr>
              <w:spacing w:line="300" w:lineRule="exact"/>
              <w:jc w:val="center"/>
              <w:rPr>
                <w:rFonts w:ascii="Calibri" w:hAnsi="Calibri"/>
              </w:rPr>
            </w:pPr>
            <w:r>
              <w:rPr>
                <w:rFonts w:hint="eastAsia"/>
                <w:sz w:val="18"/>
                <w:szCs w:val="18"/>
              </w:rPr>
              <w:t>已控制</w:t>
            </w:r>
          </w:p>
        </w:tc>
      </w:tr>
      <w:tr>
        <w:tblPrEx>
          <w:tblLayout w:type="fixed"/>
          <w:tblCellMar>
            <w:top w:w="0" w:type="dxa"/>
            <w:left w:w="108" w:type="dxa"/>
            <w:bottom w:w="0" w:type="dxa"/>
            <w:right w:w="108" w:type="dxa"/>
          </w:tblCellMar>
        </w:tblPrEx>
        <w:trPr>
          <w:trHeight w:val="317" w:hRule="atLeast"/>
        </w:trPr>
        <w:tc>
          <w:tcPr>
            <w:tcW w:w="1725" w:type="dxa"/>
            <w:tcBorders>
              <w:top w:val="single" w:color="auto" w:sz="4" w:space="0"/>
              <w:left w:val="nil"/>
              <w:right w:val="single" w:color="auto" w:sz="4" w:space="0"/>
            </w:tcBorders>
            <w:vAlign w:val="center"/>
          </w:tcPr>
          <w:p>
            <w:pPr>
              <w:spacing w:line="300" w:lineRule="exact"/>
              <w:jc w:val="left"/>
              <w:rPr>
                <w:sz w:val="18"/>
                <w:szCs w:val="18"/>
              </w:rPr>
            </w:pPr>
            <w:r>
              <w:rPr>
                <w:rFonts w:hint="eastAsia"/>
                <w:sz w:val="18"/>
                <w:szCs w:val="18"/>
              </w:rPr>
              <w:t>观测值</w:t>
            </w:r>
          </w:p>
        </w:tc>
        <w:tc>
          <w:tcPr>
            <w:tcW w:w="1720" w:type="dxa"/>
            <w:tcBorders>
              <w:top w:val="single" w:color="auto" w:sz="4" w:space="0"/>
              <w:left w:val="single" w:color="auto" w:sz="4" w:space="0"/>
              <w:right w:val="single" w:color="auto" w:sz="4" w:space="0"/>
            </w:tcBorders>
            <w:vAlign w:val="center"/>
          </w:tcPr>
          <w:p>
            <w:pPr>
              <w:spacing w:line="300" w:lineRule="exact"/>
              <w:jc w:val="center"/>
              <w:rPr>
                <w:sz w:val="18"/>
                <w:szCs w:val="18"/>
              </w:rPr>
            </w:pPr>
            <w:r>
              <w:rPr>
                <w:sz w:val="18"/>
                <w:szCs w:val="18"/>
              </w:rPr>
              <w:t>6792</w:t>
            </w:r>
          </w:p>
        </w:tc>
        <w:tc>
          <w:tcPr>
            <w:tcW w:w="1720" w:type="dxa"/>
            <w:tcBorders>
              <w:top w:val="single" w:color="auto" w:sz="4" w:space="0"/>
              <w:left w:val="single" w:color="auto" w:sz="4" w:space="0"/>
              <w:right w:val="single" w:color="auto" w:sz="4" w:space="0"/>
            </w:tcBorders>
            <w:vAlign w:val="center"/>
          </w:tcPr>
          <w:p>
            <w:pPr>
              <w:spacing w:line="300" w:lineRule="exact"/>
              <w:jc w:val="center"/>
              <w:rPr>
                <w:sz w:val="18"/>
                <w:szCs w:val="18"/>
              </w:rPr>
            </w:pPr>
            <w:r>
              <w:rPr>
                <w:sz w:val="18"/>
                <w:szCs w:val="18"/>
              </w:rPr>
              <w:t>19566</w:t>
            </w:r>
          </w:p>
        </w:tc>
        <w:tc>
          <w:tcPr>
            <w:tcW w:w="1720" w:type="dxa"/>
            <w:gridSpan w:val="2"/>
            <w:tcBorders>
              <w:top w:val="single" w:color="auto" w:sz="4" w:space="0"/>
              <w:left w:val="single" w:color="auto" w:sz="4" w:space="0"/>
              <w:right w:val="single" w:color="auto" w:sz="4" w:space="0"/>
            </w:tcBorders>
            <w:vAlign w:val="center"/>
          </w:tcPr>
          <w:p>
            <w:pPr>
              <w:spacing w:line="300" w:lineRule="exact"/>
              <w:jc w:val="center"/>
              <w:rPr>
                <w:sz w:val="18"/>
                <w:szCs w:val="18"/>
              </w:rPr>
            </w:pPr>
            <w:r>
              <w:rPr>
                <w:sz w:val="18"/>
                <w:szCs w:val="18"/>
              </w:rPr>
              <w:t>17446</w:t>
            </w:r>
          </w:p>
        </w:tc>
        <w:tc>
          <w:tcPr>
            <w:tcW w:w="1722" w:type="dxa"/>
            <w:tcBorders>
              <w:top w:val="single" w:color="auto" w:sz="4" w:space="0"/>
              <w:left w:val="single" w:color="auto" w:sz="4" w:space="0"/>
              <w:right w:val="nil"/>
            </w:tcBorders>
            <w:vAlign w:val="center"/>
          </w:tcPr>
          <w:p>
            <w:pPr>
              <w:spacing w:line="300" w:lineRule="exact"/>
              <w:jc w:val="center"/>
              <w:rPr>
                <w:sz w:val="18"/>
                <w:szCs w:val="18"/>
              </w:rPr>
            </w:pPr>
            <w:r>
              <w:rPr>
                <w:sz w:val="18"/>
                <w:szCs w:val="18"/>
              </w:rPr>
              <w:t>14450</w:t>
            </w:r>
          </w:p>
        </w:tc>
      </w:tr>
      <w:tr>
        <w:tblPrEx>
          <w:tblLayout w:type="fixed"/>
          <w:tblCellMar>
            <w:top w:w="0" w:type="dxa"/>
            <w:left w:w="108" w:type="dxa"/>
            <w:bottom w:w="0" w:type="dxa"/>
            <w:right w:w="108" w:type="dxa"/>
          </w:tblCellMar>
        </w:tblPrEx>
        <w:trPr>
          <w:trHeight w:val="317" w:hRule="atLeast"/>
        </w:trPr>
        <w:tc>
          <w:tcPr>
            <w:tcW w:w="1725" w:type="dxa"/>
            <w:tcBorders>
              <w:top w:val="nil"/>
              <w:left w:val="nil"/>
              <w:bottom w:val="single" w:color="auto" w:sz="4" w:space="0"/>
              <w:right w:val="single" w:color="auto" w:sz="4" w:space="0"/>
            </w:tcBorders>
            <w:vAlign w:val="center"/>
          </w:tcPr>
          <w:p>
            <w:pPr>
              <w:spacing w:line="300" w:lineRule="exact"/>
              <w:jc w:val="left"/>
              <w:rPr>
                <w:sz w:val="18"/>
                <w:szCs w:val="18"/>
              </w:rPr>
            </w:pPr>
            <w:r>
              <w:rPr>
                <w:rFonts w:hint="eastAsia"/>
                <w:sz w:val="18"/>
                <w:szCs w:val="18"/>
              </w:rPr>
              <w:t>R</w:t>
            </w:r>
            <w:r>
              <w:rPr>
                <w:rFonts w:hint="eastAsia"/>
                <w:sz w:val="18"/>
                <w:szCs w:val="18"/>
                <w:vertAlign w:val="superscript"/>
              </w:rPr>
              <w:t>2</w:t>
            </w:r>
          </w:p>
        </w:tc>
        <w:tc>
          <w:tcPr>
            <w:tcW w:w="1720" w:type="dxa"/>
            <w:tcBorders>
              <w:top w:val="nil"/>
              <w:left w:val="single" w:color="auto" w:sz="4" w:space="0"/>
              <w:bottom w:val="single" w:color="auto" w:sz="4" w:space="0"/>
              <w:right w:val="single" w:color="auto" w:sz="4" w:space="0"/>
            </w:tcBorders>
            <w:vAlign w:val="center"/>
          </w:tcPr>
          <w:p>
            <w:pPr>
              <w:spacing w:line="300" w:lineRule="exact"/>
              <w:jc w:val="center"/>
              <w:rPr>
                <w:sz w:val="18"/>
                <w:szCs w:val="18"/>
              </w:rPr>
            </w:pPr>
            <w:r>
              <w:rPr>
                <w:sz w:val="18"/>
                <w:szCs w:val="18"/>
              </w:rPr>
              <w:t>0.975</w:t>
            </w:r>
          </w:p>
        </w:tc>
        <w:tc>
          <w:tcPr>
            <w:tcW w:w="1720" w:type="dxa"/>
            <w:tcBorders>
              <w:top w:val="nil"/>
              <w:left w:val="single" w:color="auto" w:sz="4" w:space="0"/>
              <w:bottom w:val="single" w:color="auto" w:sz="4" w:space="0"/>
              <w:right w:val="single" w:color="auto" w:sz="4" w:space="0"/>
            </w:tcBorders>
            <w:vAlign w:val="center"/>
          </w:tcPr>
          <w:p>
            <w:pPr>
              <w:spacing w:line="300" w:lineRule="exact"/>
              <w:jc w:val="center"/>
              <w:rPr>
                <w:sz w:val="18"/>
                <w:szCs w:val="18"/>
              </w:rPr>
            </w:pPr>
            <w:r>
              <w:rPr>
                <w:sz w:val="18"/>
                <w:szCs w:val="18"/>
              </w:rPr>
              <w:t>0.966</w:t>
            </w:r>
          </w:p>
        </w:tc>
        <w:tc>
          <w:tcPr>
            <w:tcW w:w="1720" w:type="dxa"/>
            <w:gridSpan w:val="2"/>
            <w:tcBorders>
              <w:top w:val="nil"/>
              <w:left w:val="single" w:color="auto" w:sz="4" w:space="0"/>
              <w:bottom w:val="single" w:color="auto" w:sz="4" w:space="0"/>
              <w:right w:val="single" w:color="auto" w:sz="4" w:space="0"/>
            </w:tcBorders>
            <w:vAlign w:val="center"/>
          </w:tcPr>
          <w:p>
            <w:pPr>
              <w:spacing w:line="300" w:lineRule="exact"/>
              <w:jc w:val="center"/>
              <w:rPr>
                <w:sz w:val="18"/>
                <w:szCs w:val="18"/>
              </w:rPr>
            </w:pPr>
            <w:r>
              <w:rPr>
                <w:sz w:val="18"/>
                <w:szCs w:val="18"/>
              </w:rPr>
              <w:t>0.969</w:t>
            </w:r>
          </w:p>
        </w:tc>
        <w:tc>
          <w:tcPr>
            <w:tcW w:w="1722" w:type="dxa"/>
            <w:tcBorders>
              <w:top w:val="nil"/>
              <w:left w:val="single" w:color="auto" w:sz="4" w:space="0"/>
              <w:bottom w:val="single" w:color="auto" w:sz="4" w:space="0"/>
              <w:right w:val="nil"/>
            </w:tcBorders>
            <w:vAlign w:val="center"/>
          </w:tcPr>
          <w:p>
            <w:pPr>
              <w:spacing w:line="300" w:lineRule="exact"/>
              <w:jc w:val="center"/>
              <w:rPr>
                <w:sz w:val="18"/>
                <w:szCs w:val="18"/>
              </w:rPr>
            </w:pPr>
            <w:r>
              <w:rPr>
                <w:sz w:val="18"/>
                <w:szCs w:val="18"/>
              </w:rPr>
              <w:t>0.965</w:t>
            </w:r>
          </w:p>
        </w:tc>
      </w:tr>
      <w:tr>
        <w:tblPrEx>
          <w:tblLayout w:type="fixed"/>
          <w:tblCellMar>
            <w:top w:w="0" w:type="dxa"/>
            <w:left w:w="108" w:type="dxa"/>
            <w:bottom w:w="0" w:type="dxa"/>
            <w:right w:w="108" w:type="dxa"/>
          </w:tblCellMar>
        </w:tblPrEx>
        <w:trPr>
          <w:trHeight w:val="317" w:hRule="atLeast"/>
        </w:trPr>
        <w:tc>
          <w:tcPr>
            <w:tcW w:w="1725" w:type="dxa"/>
            <w:tcBorders>
              <w:top w:val="single" w:color="auto" w:sz="4" w:space="0"/>
              <w:left w:val="nil"/>
              <w:bottom w:val="single" w:color="auto" w:sz="12" w:space="0"/>
              <w:right w:val="single" w:color="auto" w:sz="4" w:space="0"/>
            </w:tcBorders>
            <w:vAlign w:val="center"/>
          </w:tcPr>
          <w:p>
            <w:pPr>
              <w:spacing w:line="300" w:lineRule="exact"/>
              <w:jc w:val="left"/>
              <w:rPr>
                <w:sz w:val="18"/>
                <w:szCs w:val="18"/>
              </w:rPr>
            </w:pPr>
            <w:r>
              <w:rPr>
                <w:sz w:val="18"/>
                <w:szCs w:val="18"/>
              </w:rPr>
              <w:t>费舍尔组合检验</w:t>
            </w:r>
          </w:p>
        </w:tc>
        <w:tc>
          <w:tcPr>
            <w:tcW w:w="3441" w:type="dxa"/>
            <w:gridSpan w:val="3"/>
            <w:tcBorders>
              <w:top w:val="single" w:color="auto" w:sz="4" w:space="0"/>
              <w:left w:val="single" w:color="auto" w:sz="4" w:space="0"/>
              <w:bottom w:val="single" w:color="auto" w:sz="12" w:space="0"/>
              <w:right w:val="single" w:color="auto" w:sz="4" w:space="0"/>
            </w:tcBorders>
            <w:vAlign w:val="center"/>
          </w:tcPr>
          <w:p>
            <w:pPr>
              <w:spacing w:line="300" w:lineRule="exact"/>
              <w:jc w:val="center"/>
              <w:rPr>
                <w:sz w:val="18"/>
                <w:szCs w:val="18"/>
              </w:rPr>
            </w:pPr>
            <w:r>
              <w:rPr>
                <w:rFonts w:hint="eastAsia"/>
                <w:sz w:val="18"/>
                <w:szCs w:val="18"/>
              </w:rPr>
              <w:t>p</w:t>
            </w:r>
            <w:r>
              <w:rPr>
                <w:sz w:val="18"/>
                <w:szCs w:val="18"/>
              </w:rPr>
              <w:t>值=</w:t>
            </w:r>
            <w:r>
              <w:rPr>
                <w:rFonts w:hint="eastAsia"/>
                <w:sz w:val="18"/>
                <w:szCs w:val="18"/>
              </w:rPr>
              <w:t>0.030</w:t>
            </w:r>
          </w:p>
        </w:tc>
        <w:tc>
          <w:tcPr>
            <w:tcW w:w="3441" w:type="dxa"/>
            <w:gridSpan w:val="2"/>
            <w:tcBorders>
              <w:top w:val="single" w:color="auto" w:sz="4" w:space="0"/>
              <w:left w:val="single" w:color="auto" w:sz="4" w:space="0"/>
              <w:bottom w:val="single" w:color="auto" w:sz="12" w:space="0"/>
              <w:right w:val="nil"/>
            </w:tcBorders>
            <w:vAlign w:val="center"/>
          </w:tcPr>
          <w:p>
            <w:pPr>
              <w:spacing w:line="300" w:lineRule="exact"/>
              <w:jc w:val="center"/>
              <w:rPr>
                <w:sz w:val="18"/>
                <w:szCs w:val="18"/>
              </w:rPr>
            </w:pPr>
            <w:r>
              <w:rPr>
                <w:rFonts w:hint="eastAsia"/>
                <w:sz w:val="18"/>
                <w:szCs w:val="18"/>
              </w:rPr>
              <w:t>p</w:t>
            </w:r>
            <w:r>
              <w:rPr>
                <w:sz w:val="18"/>
                <w:szCs w:val="18"/>
              </w:rPr>
              <w:t>值=</w:t>
            </w:r>
            <w:r>
              <w:rPr>
                <w:rFonts w:hint="eastAsia"/>
                <w:sz w:val="18"/>
                <w:szCs w:val="18"/>
              </w:rPr>
              <w:t>0.002</w:t>
            </w:r>
          </w:p>
        </w:tc>
      </w:tr>
    </w:tbl>
    <w:p>
      <w:pPr>
        <w:spacing w:line="240" w:lineRule="atLeast"/>
        <w:ind w:firstLine="332" w:firstLineChars="200"/>
        <w:rPr>
          <w:sz w:val="18"/>
          <w:szCs w:val="18"/>
        </w:rPr>
      </w:pPr>
      <w:r>
        <w:rPr>
          <w:rFonts w:hint="eastAsia"/>
          <w:sz w:val="18"/>
          <w:szCs w:val="18"/>
        </w:rPr>
        <w:t>注：①***和*分别表示1%和10%的显著性水平；②在异质性分析中，本文使用</w:t>
      </w:r>
      <w:r>
        <w:rPr>
          <w:sz w:val="18"/>
          <w:szCs w:val="18"/>
        </w:rPr>
        <w:t>Bootstrap</w:t>
      </w:r>
      <w:r>
        <w:rPr>
          <w:rFonts w:hint="eastAsia"/>
          <w:sz w:val="18"/>
          <w:szCs w:val="18"/>
        </w:rPr>
        <w:t>抽样检验</w:t>
      </w:r>
      <w:r>
        <w:rPr>
          <w:sz w:val="18"/>
          <w:szCs w:val="18"/>
        </w:rPr>
        <w:t>500</w:t>
      </w:r>
      <w:r>
        <w:rPr>
          <w:rFonts w:hint="eastAsia"/>
          <w:sz w:val="18"/>
          <w:szCs w:val="18"/>
        </w:rPr>
        <w:t>次对分样本回归的组间差异性进行分析；③在回归中，分组控制高维固定效应会自动删除部分观测值。</w:t>
      </w:r>
    </w:p>
    <w:p>
      <w:pPr>
        <w:widowControl w:val="0"/>
        <w:spacing w:after="160" w:line="278" w:lineRule="auto"/>
        <w:ind w:firstLine="166" w:firstLineChars="100"/>
        <w:jc w:val="both"/>
        <w:rPr>
          <w:rFonts w:hint="eastAsia" w:ascii="宋体" w:hAnsi="宋体" w:eastAsia="宋体" w:cs="Times New Roman"/>
          <w:b/>
          <w:bCs/>
          <w:color w:val="000000"/>
          <w:kern w:val="2"/>
          <w:sz w:val="18"/>
          <w:szCs w:val="18"/>
          <w:lang w:val="en-US" w:eastAsia="zh-CN" w:bidi="ar-SA"/>
        </w:rPr>
      </w:pP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hint="eastAsia" w:ascii="宋体" w:hAnsi="宋体" w:cs="宋体"/>
          <w:b/>
          <w:bCs/>
          <w:color w:val="FF0000"/>
          <w:kern w:val="0"/>
          <w:szCs w:val="21"/>
          <w:lang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cs="宋体"/>
          <w:color w:val="3C3C3C"/>
          <w:kern w:val="0"/>
          <w:szCs w:val="21"/>
          <w:lang w:bidi="ar"/>
        </w:rPr>
        <w:t>。</w:t>
      </w:r>
      <w:r>
        <w:rPr>
          <w:rFonts w:hint="eastAsia" w:ascii="宋体" w:hAnsi="宋体" w:cs="宋体"/>
          <w:b/>
          <w:bCs/>
          <w:color w:val="FF0000"/>
          <w:kern w:val="0"/>
          <w:szCs w:val="21"/>
          <w:lang w:bidi="ar"/>
        </w:rPr>
        <w:t xml:space="preserve"> </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hint="eastAsia" w:ascii="宋体" w:hAnsi="宋体" w:cs="宋体"/>
          <w:color w:val="3C3C3C"/>
          <w:kern w:val="0"/>
          <w:szCs w:val="21"/>
          <w:lang w:bidi="ar"/>
        </w:rPr>
        <w:t xml:space="preserve">引用示例： </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ascii="黑体" w:hAnsi="宋体" w:eastAsia="黑体" w:cs="黑体"/>
          <w:color w:val="000000"/>
          <w:kern w:val="0"/>
          <w:szCs w:val="21"/>
          <w:lang w:bidi="ar"/>
        </w:rPr>
        <w:t>参考文献引用范例</w:t>
      </w:r>
      <w:r>
        <w:rPr>
          <w:rFonts w:hint="eastAsia" w:ascii="Arial" w:hAnsi="Arial" w:cs="Arial"/>
          <w:color w:val="333333"/>
          <w:szCs w:val="21"/>
          <w:shd w:val="clear" w:color="auto" w:fill="FFFFFF"/>
        </w:rPr>
        <w:t xml:space="preserve">（具体请根据目标投稿期刊对应调整体例）： </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Times New Roman" w:hAnsi="Times New Roman" w:cs="Times New Roman"/>
          <w:color w:val="000000"/>
          <w:spacing w:val="-2"/>
          <w:kern w:val="0"/>
          <w:szCs w:val="21"/>
          <w:lang w:bidi="ar"/>
        </w:rPr>
      </w:pPr>
      <w:r>
        <w:rPr>
          <w:rFonts w:hint="eastAsia" w:ascii="宋体" w:hAnsi="宋体" w:cs="宋体"/>
          <w:color w:val="000000"/>
          <w:spacing w:val="-2"/>
          <w:kern w:val="0"/>
          <w:szCs w:val="21"/>
          <w:lang w:bidi="ar"/>
        </w:rPr>
        <w:t>[</w:t>
      </w:r>
      <w:r>
        <w:rPr>
          <w:rFonts w:ascii="Times New Roman" w:hAnsi="Times New Roman" w:cs="Times New Roman"/>
          <w:color w:val="000000"/>
          <w:spacing w:val="-2"/>
          <w:kern w:val="0"/>
          <w:szCs w:val="21"/>
          <w:lang w:bidi="ar"/>
        </w:rPr>
        <w:t>1</w:t>
      </w:r>
      <w:r>
        <w:rPr>
          <w:rFonts w:hint="eastAsia" w:ascii="宋体" w:hAnsi="宋体" w:cs="宋体"/>
          <w:color w:val="000000"/>
          <w:spacing w:val="-2"/>
          <w:kern w:val="0"/>
          <w:szCs w:val="21"/>
          <w:lang w:bidi="ar"/>
        </w:rPr>
        <w:t>]</w:t>
      </w:r>
      <w:r>
        <w:rPr>
          <w:rFonts w:ascii="Arial" w:hAnsi="Arial" w:cs="Arial"/>
          <w:color w:val="333333"/>
          <w:spacing w:val="-2"/>
          <w:szCs w:val="21"/>
          <w:shd w:val="clear" w:color="auto" w:fill="FFFFFF"/>
        </w:rPr>
        <w:t>王术坤</w:t>
      </w:r>
      <w:r>
        <w:rPr>
          <w:rFonts w:hint="eastAsia" w:ascii="Arial" w:hAnsi="Arial" w:cs="Arial"/>
          <w:color w:val="333333"/>
          <w:spacing w:val="-2"/>
          <w:szCs w:val="21"/>
          <w:shd w:val="clear" w:color="auto" w:fill="FFFFFF"/>
        </w:rPr>
        <w:t>、</w:t>
      </w:r>
      <w:r>
        <w:rPr>
          <w:rFonts w:ascii="Arial" w:hAnsi="Arial" w:cs="Arial"/>
          <w:color w:val="333333"/>
          <w:spacing w:val="-2"/>
          <w:szCs w:val="21"/>
          <w:shd w:val="clear" w:color="auto" w:fill="FFFFFF"/>
        </w:rPr>
        <w:t>林文声</w:t>
      </w:r>
      <w:r>
        <w:rPr>
          <w:rFonts w:ascii="Times New Roman" w:hAnsi="Times New Roman" w:cs="Times New Roman"/>
          <w:color w:val="333333"/>
          <w:spacing w:val="-2"/>
          <w:szCs w:val="21"/>
          <w:shd w:val="clear" w:color="auto" w:fill="FFFFFF"/>
        </w:rPr>
        <w:t>，202</w:t>
      </w:r>
      <w:r>
        <w:rPr>
          <w:rFonts w:hint="eastAsia" w:ascii="Times New Roman" w:hAnsi="Times New Roman" w:cs="Times New Roman"/>
          <w:color w:val="333333"/>
          <w:spacing w:val="-2"/>
          <w:szCs w:val="21"/>
          <w:shd w:val="clear" w:color="auto" w:fill="FFFFFF"/>
        </w:rPr>
        <w:t>3</w:t>
      </w:r>
      <w:r>
        <w:rPr>
          <w:rFonts w:ascii="Times New Roman" w:hAnsi="Times New Roman" w:cs="Times New Roman"/>
          <w:color w:val="333333"/>
          <w:spacing w:val="-2"/>
          <w:szCs w:val="21"/>
          <w:shd w:val="clear" w:color="auto" w:fill="FFFFFF"/>
        </w:rPr>
        <w:t>：《高标准农田建设的农地流转市场转型效应》，《中国农村经济》第1</w:t>
      </w:r>
      <w:r>
        <w:rPr>
          <w:rFonts w:hint="eastAsia" w:ascii="Times New Roman" w:hAnsi="Times New Roman" w:cs="Times New Roman"/>
          <w:color w:val="333333"/>
          <w:spacing w:val="-2"/>
          <w:szCs w:val="21"/>
          <w:shd w:val="clear" w:color="auto" w:fill="FFFFFF"/>
        </w:rPr>
        <w:t>2</w:t>
      </w:r>
      <w:r>
        <w:rPr>
          <w:rFonts w:ascii="Times New Roman" w:hAnsi="Times New Roman" w:cs="Times New Roman"/>
          <w:color w:val="333333"/>
          <w:spacing w:val="-2"/>
          <w:szCs w:val="21"/>
          <w:shd w:val="clear" w:color="auto" w:fill="FFFFFF"/>
        </w:rPr>
        <w:t>期，第23-43页。</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黑体" w:hAnsi="宋体" w:eastAsia="黑体" w:cs="黑体"/>
          <w:color w:val="000000"/>
          <w:kern w:val="0"/>
          <w:szCs w:val="21"/>
          <w:lang w:bidi="ar"/>
        </w:rPr>
      </w:pP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hint="eastAsia" w:ascii="黑体" w:hAnsi="宋体" w:eastAsia="黑体" w:cs="黑体"/>
          <w:color w:val="000000"/>
          <w:kern w:val="0"/>
          <w:szCs w:val="21"/>
          <w:lang w:bidi="ar"/>
        </w:rPr>
        <w:t>如果研究中使用了未在《中国农村经济》纸质版刊发、但在杂志网站上正式公开发表的数字内容（包括数据、程序、附录文件），请务必在研究成果正文中注明：</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ascii="Calibri" w:hAnsi="Calibri" w:cs="Times New Roman"/>
          <w:spacing w:val="-1"/>
        </w:rPr>
        <w:t>某数据（及程序等或其他材料）来自</w:t>
      </w:r>
      <w:r>
        <w:rPr>
          <w:rFonts w:ascii="Arial" w:hAnsi="Arial" w:cs="Arial"/>
          <w:color w:val="333333"/>
          <w:spacing w:val="-1"/>
          <w:szCs w:val="21"/>
          <w:shd w:val="clear" w:color="auto" w:fill="FFFFFF"/>
        </w:rPr>
        <w:t>王术坤</w:t>
      </w:r>
      <w:r>
        <w:rPr>
          <w:rFonts w:hint="eastAsia" w:ascii="Arial" w:hAnsi="Arial" w:cs="Arial"/>
          <w:color w:val="333333"/>
          <w:spacing w:val="-1"/>
          <w:szCs w:val="21"/>
          <w:shd w:val="clear" w:color="auto" w:fill="FFFFFF"/>
        </w:rPr>
        <w:t>、</w:t>
      </w:r>
      <w:r>
        <w:rPr>
          <w:rFonts w:ascii="Arial" w:hAnsi="Arial" w:cs="Arial"/>
          <w:color w:val="333333"/>
          <w:spacing w:val="-1"/>
          <w:szCs w:val="21"/>
          <w:shd w:val="clear" w:color="auto" w:fill="FFFFFF"/>
        </w:rPr>
        <w:t>林文声</w:t>
      </w:r>
      <w:r>
        <w:rPr>
          <w:rFonts w:hint="eastAsia" w:ascii="Calibri" w:hAnsi="Calibri" w:cs="Times New Roman"/>
          <w:spacing w:val="-1"/>
        </w:rPr>
        <w:t>（</w:t>
      </w:r>
      <w:r>
        <w:rPr>
          <w:rFonts w:hint="eastAsia" w:ascii="Times New Roman" w:hAnsi="Times New Roman" w:cs="Times New Roman"/>
          <w:color w:val="333333"/>
          <w:spacing w:val="-1"/>
          <w:szCs w:val="21"/>
          <w:shd w:val="clear" w:color="auto" w:fill="FFFFFF"/>
        </w:rPr>
        <w:t>2023）</w:t>
      </w:r>
      <w:r>
        <w:rPr>
          <w:rFonts w:hint="eastAsia" w:ascii="Calibri" w:hAnsi="Calibri" w:cs="Times New Roman"/>
          <w:spacing w:val="-1"/>
        </w:rPr>
        <w:t>，详见《中国农村经济》网站（</w:t>
      </w:r>
      <w:r>
        <w:rPr>
          <w:rFonts w:ascii="Times New Roman" w:hAnsi="Times New Roman" w:cs="Times New Roman"/>
          <w:spacing w:val="-1"/>
        </w:rPr>
        <w:t>zgncjj.ajcass.</w:t>
      </w:r>
      <w:r>
        <w:rPr>
          <w:rFonts w:hint="eastAsia" w:ascii="Times New Roman" w:hAnsi="Times New Roman" w:cs="Times New Roman"/>
          <w:spacing w:val="-1"/>
        </w:rPr>
        <w:t>com</w:t>
      </w:r>
      <w:r>
        <w:rPr>
          <w:rFonts w:hint="eastAsia" w:ascii="Calibri" w:hAnsi="Calibri" w:cs="Times New Roman"/>
          <w:spacing w:val="-1"/>
        </w:rPr>
        <w:t>）该文的对应附件。</w:t>
      </w: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DejaVu Math TeX Gyre">
    <w:altName w:val="Euclid"/>
    <w:panose1 w:val="02000503000000000000"/>
    <w:charset w:val="00"/>
    <w:family w:val="auto"/>
    <w:pitch w:val="default"/>
    <w:sig w:usb0="00000000" w:usb1="00000000" w:usb2="02000000" w:usb3="00000000" w:csb0="60000193" w:csb1="0DD40000"/>
  </w:font>
  <w:font w:name="楷体">
    <w:panose1 w:val="02010609060101010101"/>
    <w:charset w:val="86"/>
    <w:family w:val="modern"/>
    <w:pitch w:val="default"/>
    <w:sig w:usb0="800002BF" w:usb1="38CF7CFA" w:usb2="00000016" w:usb3="00000000" w:csb0="00040001" w:csb1="00000000"/>
  </w:font>
  <w:font w:name="Times New Roman Italic">
    <w:altName w:val="Times New Roman"/>
    <w:panose1 w:val="02020503050405090304"/>
    <w:charset w:val="00"/>
    <w:family w:val="roman"/>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正文 CS 字体)">
    <w:altName w:val="宋体"/>
    <w:panose1 w:val="020B0604020202020204"/>
    <w:charset w:val="86"/>
    <w:family w:val="roman"/>
    <w:pitch w:val="default"/>
    <w:sig w:usb0="00000000" w:usb1="00000000" w:usb2="00000000" w:usb3="00000000" w:csb0="00000000" w:csb1="00000000"/>
  </w:font>
  <w:font w:name="Euclid">
    <w:panose1 w:val="02020503060505020303"/>
    <w:charset w:val="00"/>
    <w:family w:val="auto"/>
    <w:pitch w:val="default"/>
    <w:sig w:usb0="8000002F" w:usb1="0000000A" w:usb2="00000000" w:usb3="8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ascii="Calibri" w:hAnsi="Calibri" w:cs="Times New Roman"/>
          <w:sz w:val="18"/>
        </w:rPr>
      </w:pPr>
      <w:r>
        <w:rPr>
          <w:rFonts w:ascii="Calibri" w:hAnsi="Calibri" w:cs="Times New Roman"/>
          <w:sz w:val="18"/>
          <w:vertAlign w:val="superscript"/>
        </w:rPr>
        <w:t>*</w:t>
      </w:r>
      <w:r>
        <w:rPr>
          <w:rFonts w:hint="eastAsia" w:ascii="Times New Roman" w:hAnsi="Times New Roman" w:cs="Times New Roman"/>
          <w:sz w:val="18"/>
          <w:szCs w:val="18"/>
        </w:rPr>
        <w:t>附录由作者提供，文责自负。引用该附录中的内容请注明出处，具体要求详见文末。</w:t>
      </w:r>
    </w:p>
  </w:footnote>
  <w:footnote w:id="1">
    <w:p>
      <w:pPr>
        <w:wordWrap w:val="0"/>
        <w:spacing w:line="240" w:lineRule="atLeast"/>
        <w:rPr>
          <w:sz w:val="18"/>
        </w:rPr>
      </w:pPr>
      <w:r>
        <w:rPr>
          <w:sz w:val="18"/>
          <w:vertAlign w:val="superscript"/>
        </w:rPr>
        <w:footnoteRef/>
      </w:r>
      <w:r>
        <w:rPr>
          <w:rFonts w:hint="eastAsia"/>
          <w:sz w:val="18"/>
        </w:rPr>
        <w:t>参见《中华人民共和国国民经济和社会发展第十四个五年规划和</w:t>
      </w:r>
      <w:r>
        <w:rPr>
          <w:sz w:val="18"/>
        </w:rPr>
        <w:t>2035</w:t>
      </w:r>
      <w:r>
        <w:rPr>
          <w:rFonts w:hint="eastAsia"/>
          <w:sz w:val="18"/>
        </w:rPr>
        <w:t>年远景目标纲要》，</w:t>
      </w:r>
      <w:r>
        <w:rPr>
          <w:sz w:val="18"/>
        </w:rPr>
        <w:t>https://www.gov.cn/xinwen/2021-03/13/content_5592681.htm</w:t>
      </w:r>
      <w:r>
        <w:rPr>
          <w:rFonts w:hint="eastAsia"/>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黄漫宇等  全国统一大市场建设如何影响企业产能利用率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ascii="黑体" w:hAnsi="黑体" w:eastAsia="黑体" w:cs="黑体"/>
        <w:lang w:val="en-US" w:eastAsia="zh-CN"/>
      </w:rPr>
      <w:t xml:space="preserve">                                   </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5年第7期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69999"/>
    <w:multiLevelType w:val="singleLevel"/>
    <w:tmpl w:val="3966999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0DE08BE"/>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A805F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770509"/>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9F0AF3"/>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6"/>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8">
    <w:name w:val="Unresolved Mention"/>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rPr>
      <w:rFonts w:ascii="Times New Roman" w:hAnsi="Times New Roman" w:cs="Times New Roman"/>
      <w:szCs w:val="24"/>
    </w:rPr>
  </w:style>
  <w:style w:type="table" w:customStyle="1" w:styleId="111">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2">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3">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4">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6">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6" Type="http://schemas.openxmlformats.org/officeDocument/2006/relationships/fontTable" Target="fontTable.xml"/><Relationship Id="rId75" Type="http://schemas.openxmlformats.org/officeDocument/2006/relationships/numbering" Target="numbering.xml"/><Relationship Id="rId74" Type="http://schemas.openxmlformats.org/officeDocument/2006/relationships/customXml" Target="../customXml/item1.xml"/><Relationship Id="rId73" Type="http://schemas.openxmlformats.org/officeDocument/2006/relationships/oleObject" Target="embeddings/oleObject40.bin"/><Relationship Id="rId72" Type="http://schemas.openxmlformats.org/officeDocument/2006/relationships/image" Target="media/image26.wmf"/><Relationship Id="rId71" Type="http://schemas.openxmlformats.org/officeDocument/2006/relationships/oleObject" Target="embeddings/oleObject39.bin"/><Relationship Id="rId70" Type="http://schemas.openxmlformats.org/officeDocument/2006/relationships/image" Target="media/image25.wmf"/><Relationship Id="rId7" Type="http://schemas.openxmlformats.org/officeDocument/2006/relationships/footer" Target="footer2.xml"/><Relationship Id="rId69" Type="http://schemas.openxmlformats.org/officeDocument/2006/relationships/oleObject" Target="embeddings/oleObject38.bin"/><Relationship Id="rId68" Type="http://schemas.openxmlformats.org/officeDocument/2006/relationships/image" Target="media/image24.wmf"/><Relationship Id="rId67" Type="http://schemas.openxmlformats.org/officeDocument/2006/relationships/oleObject" Target="embeddings/oleObject37.bin"/><Relationship Id="rId66" Type="http://schemas.openxmlformats.org/officeDocument/2006/relationships/image" Target="media/image23.wmf"/><Relationship Id="rId65" Type="http://schemas.openxmlformats.org/officeDocument/2006/relationships/oleObject" Target="embeddings/oleObject36.bin"/><Relationship Id="rId64" Type="http://schemas.openxmlformats.org/officeDocument/2006/relationships/image" Target="media/image22.wmf"/><Relationship Id="rId63" Type="http://schemas.openxmlformats.org/officeDocument/2006/relationships/oleObject" Target="embeddings/oleObject35.bin"/><Relationship Id="rId62" Type="http://schemas.openxmlformats.org/officeDocument/2006/relationships/image" Target="media/image21.wmf"/><Relationship Id="rId61" Type="http://schemas.openxmlformats.org/officeDocument/2006/relationships/oleObject" Target="embeddings/oleObject34.bin"/><Relationship Id="rId60" Type="http://schemas.openxmlformats.org/officeDocument/2006/relationships/image" Target="media/image20.wmf"/><Relationship Id="rId6" Type="http://schemas.openxmlformats.org/officeDocument/2006/relationships/footer" Target="footer1.xml"/><Relationship Id="rId59" Type="http://schemas.openxmlformats.org/officeDocument/2006/relationships/oleObject" Target="embeddings/oleObject33.bin"/><Relationship Id="rId58" Type="http://schemas.openxmlformats.org/officeDocument/2006/relationships/image" Target="media/image19.wmf"/><Relationship Id="rId57" Type="http://schemas.openxmlformats.org/officeDocument/2006/relationships/oleObject" Target="embeddings/oleObject32.bin"/><Relationship Id="rId56" Type="http://schemas.openxmlformats.org/officeDocument/2006/relationships/image" Target="media/image18.wmf"/><Relationship Id="rId55" Type="http://schemas.openxmlformats.org/officeDocument/2006/relationships/oleObject" Target="embeddings/oleObject31.bin"/><Relationship Id="rId54" Type="http://schemas.openxmlformats.org/officeDocument/2006/relationships/oleObject" Target="embeddings/oleObject30.bin"/><Relationship Id="rId53" Type="http://schemas.openxmlformats.org/officeDocument/2006/relationships/image" Target="media/image17.wmf"/><Relationship Id="rId52" Type="http://schemas.openxmlformats.org/officeDocument/2006/relationships/oleObject" Target="embeddings/oleObject29.bin"/><Relationship Id="rId51" Type="http://schemas.openxmlformats.org/officeDocument/2006/relationships/oleObject" Target="embeddings/oleObject28.bin"/><Relationship Id="rId50" Type="http://schemas.openxmlformats.org/officeDocument/2006/relationships/oleObject" Target="embeddings/oleObject27.bin"/><Relationship Id="rId5" Type="http://schemas.openxmlformats.org/officeDocument/2006/relationships/header" Target="header2.xml"/><Relationship Id="rId49" Type="http://schemas.openxmlformats.org/officeDocument/2006/relationships/image" Target="media/image16.wmf"/><Relationship Id="rId48" Type="http://schemas.openxmlformats.org/officeDocument/2006/relationships/oleObject" Target="embeddings/oleObject26.bin"/><Relationship Id="rId47" Type="http://schemas.openxmlformats.org/officeDocument/2006/relationships/image" Target="media/image15.wmf"/><Relationship Id="rId46" Type="http://schemas.openxmlformats.org/officeDocument/2006/relationships/oleObject" Target="embeddings/oleObject25.bin"/><Relationship Id="rId45" Type="http://schemas.openxmlformats.org/officeDocument/2006/relationships/oleObject" Target="embeddings/oleObject24.bin"/><Relationship Id="rId44" Type="http://schemas.openxmlformats.org/officeDocument/2006/relationships/oleObject" Target="embeddings/oleObject23.bin"/><Relationship Id="rId43" Type="http://schemas.openxmlformats.org/officeDocument/2006/relationships/image" Target="media/image14.wmf"/><Relationship Id="rId42" Type="http://schemas.openxmlformats.org/officeDocument/2006/relationships/oleObject" Target="embeddings/oleObject22.bin"/><Relationship Id="rId41" Type="http://schemas.openxmlformats.org/officeDocument/2006/relationships/image" Target="media/image13.wmf"/><Relationship Id="rId40" Type="http://schemas.openxmlformats.org/officeDocument/2006/relationships/oleObject" Target="embeddings/oleObject21.bin"/><Relationship Id="rId4" Type="http://schemas.openxmlformats.org/officeDocument/2006/relationships/header" Target="header1.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image" Target="media/image12.wmf"/><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image" Target="media/image11.wmf"/><Relationship Id="rId32" Type="http://schemas.openxmlformats.org/officeDocument/2006/relationships/oleObject" Target="embeddings/oleObject15.bin"/><Relationship Id="rId31" Type="http://schemas.openxmlformats.org/officeDocument/2006/relationships/image" Target="media/image10.wmf"/><Relationship Id="rId30" Type="http://schemas.openxmlformats.org/officeDocument/2006/relationships/oleObject" Target="embeddings/oleObject14.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13.bin"/><Relationship Id="rId27" Type="http://schemas.openxmlformats.org/officeDocument/2006/relationships/oleObject" Target="embeddings/oleObject12.bin"/><Relationship Id="rId26" Type="http://schemas.openxmlformats.org/officeDocument/2006/relationships/image" Target="media/image8.wmf"/><Relationship Id="rId25" Type="http://schemas.openxmlformats.org/officeDocument/2006/relationships/oleObject" Target="embeddings/oleObject11.bin"/><Relationship Id="rId24" Type="http://schemas.openxmlformats.org/officeDocument/2006/relationships/image" Target="media/image7.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6.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7.bin"/><Relationship Id="rId17" Type="http://schemas.openxmlformats.org/officeDocument/2006/relationships/image" Target="media/image4.w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1</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2025-07-02T05:04:02Z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