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附录一  关于“隐性社会成本”概念的细致阐述</w:t>
      </w:r>
    </w:p>
    <w:p>
      <w:pPr>
        <w:pStyle w:val="96"/>
        <w:spacing w:line="240" w:lineRule="atLeast"/>
        <w:ind w:firstLine="400"/>
        <w:rPr>
          <w:rFonts w:ascii="Times New Roman" w:hAnsi="Times New Roman"/>
          <w:color w:val="000000"/>
          <w:kern w:val="0"/>
          <w:szCs w:val="21"/>
        </w:rPr>
      </w:pPr>
      <w:r>
        <w:rPr>
          <w:rFonts w:hint="eastAsia" w:eastAsia="楷体"/>
          <w:color w:val="000000"/>
        </w:rPr>
        <w:t>2</w:t>
      </w:r>
      <w:r>
        <w:rPr>
          <w:rFonts w:hint="eastAsia" w:eastAsia="楷体"/>
          <w:color w:val="000000"/>
          <w:lang w:val="en-US" w:eastAsia="zh-CN"/>
        </w:rPr>
        <w:t>.</w:t>
      </w:r>
      <w:r>
        <w:rPr>
          <w:rFonts w:hint="eastAsia" w:eastAsia="楷体"/>
          <w:color w:val="000000"/>
        </w:rPr>
        <w:t>隐性社会成本</w:t>
      </w:r>
      <w:r>
        <w:rPr>
          <w:rFonts w:hint="eastAsia" w:eastAsia="楷体"/>
          <w:color w:val="000000"/>
          <w:lang w:eastAsia="zh-CN"/>
        </w:rPr>
        <w:t>。</w:t>
      </w:r>
      <w:r>
        <w:rPr>
          <w:rFonts w:ascii="Times New Roman" w:hAnsi="Times New Roman"/>
          <w:color w:val="000000"/>
          <w:kern w:val="0"/>
          <w:szCs w:val="21"/>
        </w:rPr>
        <w:t>隐性社会成本是指在社会生产与生活活动中，由特定行为或决策所引致、但未在财务报表或市场交易中显性体现的社会性支出。该类成本通常由整个社会共同承担，</w:t>
      </w:r>
      <w:r>
        <w:rPr>
          <w:rFonts w:hint="eastAsia" w:ascii="Times New Roman" w:hAnsi="Times New Roman"/>
          <w:color w:val="000000"/>
          <w:kern w:val="0"/>
          <w:szCs w:val="21"/>
        </w:rPr>
        <w:t>并</w:t>
      </w:r>
      <w:r>
        <w:rPr>
          <w:rFonts w:ascii="Times New Roman" w:hAnsi="Times New Roman"/>
          <w:color w:val="000000"/>
          <w:kern w:val="0"/>
          <w:szCs w:val="21"/>
        </w:rPr>
        <w:t>通过生理、心理、社会经济、生态环境、制度安排与治理结构等多个维度</w:t>
      </w:r>
      <w:r>
        <w:rPr>
          <w:rFonts w:hint="eastAsia" w:ascii="Times New Roman" w:hAnsi="Times New Roman"/>
          <w:color w:val="000000"/>
          <w:kern w:val="0"/>
          <w:szCs w:val="21"/>
        </w:rPr>
        <w:t>呈现</w:t>
      </w:r>
      <w:r>
        <w:rPr>
          <w:rFonts w:ascii="Times New Roman" w:hAnsi="Times New Roman"/>
          <w:color w:val="000000"/>
          <w:kern w:val="0"/>
          <w:szCs w:val="21"/>
        </w:rPr>
        <w:t>，对社会整体福利产生长期性、间接性</w:t>
      </w:r>
      <w:r>
        <w:rPr>
          <w:rFonts w:hint="eastAsia" w:ascii="Times New Roman" w:hAnsi="Times New Roman"/>
          <w:color w:val="000000"/>
          <w:kern w:val="0"/>
          <w:szCs w:val="21"/>
        </w:rPr>
        <w:t>和</w:t>
      </w:r>
      <w:r>
        <w:rPr>
          <w:rFonts w:ascii="Times New Roman" w:hAnsi="Times New Roman"/>
          <w:color w:val="000000"/>
          <w:kern w:val="0"/>
          <w:szCs w:val="21"/>
        </w:rPr>
        <w:t>广泛</w:t>
      </w:r>
      <w:r>
        <w:rPr>
          <w:rFonts w:hint="eastAsia" w:ascii="Times New Roman" w:hAnsi="Times New Roman"/>
          <w:color w:val="000000"/>
          <w:kern w:val="0"/>
          <w:szCs w:val="21"/>
        </w:rPr>
        <w:t>性</w:t>
      </w:r>
      <w:r>
        <w:rPr>
          <w:rFonts w:ascii="Times New Roman" w:hAnsi="Times New Roman"/>
          <w:color w:val="000000"/>
          <w:kern w:val="0"/>
          <w:szCs w:val="21"/>
        </w:rPr>
        <w:t>的负面效应，造成市场失灵与资源配置效率下降。</w:t>
      </w:r>
    </w:p>
    <w:p>
      <w:pPr>
        <w:pStyle w:val="96"/>
        <w:spacing w:line="240" w:lineRule="atLeast"/>
        <w:ind w:firstLine="400"/>
        <w:rPr>
          <w:rFonts w:ascii="Times New Roman" w:hAnsi="Times New Roman"/>
          <w:color w:val="000000"/>
          <w:kern w:val="0"/>
          <w:szCs w:val="21"/>
        </w:rPr>
      </w:pPr>
      <w:r>
        <w:rPr>
          <w:rFonts w:hint="eastAsia" w:ascii="Times New Roman" w:hAnsi="Times New Roman"/>
          <w:color w:val="000000"/>
          <w:kern w:val="0"/>
          <w:szCs w:val="21"/>
        </w:rPr>
        <w:t>其中，（1）生理和心理方面的隐性社会成本，主要是指劳动者的身心健康资本折损，</w:t>
      </w:r>
      <w:r>
        <w:rPr>
          <w:rFonts w:ascii="Times New Roman" w:hAnsi="Times New Roman"/>
          <w:color w:val="000000"/>
          <w:kern w:val="0"/>
          <w:szCs w:val="21"/>
        </w:rPr>
        <w:t>包括因高强度劳动与恶劣工作环境造成的职业健康问题，</w:t>
      </w:r>
      <w:r>
        <w:rPr>
          <w:rFonts w:hint="eastAsia" w:ascii="Times New Roman" w:hAnsi="Times New Roman"/>
          <w:color w:val="000000"/>
          <w:kern w:val="0"/>
          <w:szCs w:val="21"/>
        </w:rPr>
        <w:t>也包括</w:t>
      </w:r>
      <w:r>
        <w:rPr>
          <w:rFonts w:ascii="Times New Roman" w:hAnsi="Times New Roman"/>
          <w:color w:val="000000"/>
          <w:kern w:val="0"/>
          <w:szCs w:val="21"/>
        </w:rPr>
        <w:t>由职场内卷、算法监控等因素引发的焦虑、抑郁等心理健康障碍</w:t>
      </w:r>
      <w:r>
        <w:rPr>
          <w:rFonts w:hint="eastAsia" w:ascii="Times New Roman" w:hAnsi="Times New Roman"/>
          <w:color w:val="000000"/>
          <w:kern w:val="0"/>
          <w:szCs w:val="21"/>
        </w:rPr>
        <w:t>。（2）</w:t>
      </w:r>
      <w:r>
        <w:rPr>
          <w:rFonts w:ascii="Times New Roman" w:hAnsi="Times New Roman"/>
          <w:color w:val="000000"/>
          <w:kern w:val="0"/>
          <w:szCs w:val="21"/>
        </w:rPr>
        <w:t>社会经济层面的隐性社会成本</w:t>
      </w:r>
      <w:r>
        <w:rPr>
          <w:rFonts w:hint="eastAsia" w:ascii="Times New Roman" w:hAnsi="Times New Roman"/>
          <w:color w:val="000000"/>
          <w:kern w:val="0"/>
          <w:szCs w:val="21"/>
        </w:rPr>
        <w:t>，</w:t>
      </w:r>
      <w:r>
        <w:rPr>
          <w:rFonts w:ascii="Times New Roman" w:hAnsi="Times New Roman"/>
          <w:color w:val="000000"/>
          <w:kern w:val="0"/>
          <w:szCs w:val="21"/>
        </w:rPr>
        <w:t>主要体现</w:t>
      </w:r>
      <w:r>
        <w:rPr>
          <w:rFonts w:hint="eastAsia" w:ascii="Times New Roman" w:hAnsi="Times New Roman"/>
          <w:color w:val="000000"/>
          <w:kern w:val="0"/>
          <w:szCs w:val="21"/>
        </w:rPr>
        <w:t>为</w:t>
      </w:r>
      <w:r>
        <w:rPr>
          <w:rFonts w:ascii="Times New Roman" w:hAnsi="Times New Roman"/>
          <w:color w:val="000000"/>
          <w:kern w:val="0"/>
          <w:szCs w:val="21"/>
        </w:rPr>
        <w:t>收入分配不平等的加剧与公共资源的无偿占用。例如，平台经济背景下的零工劳动者由于</w:t>
      </w:r>
      <w:bookmarkStart w:id="1" w:name="_GoBack"/>
      <w:bookmarkEnd w:id="1"/>
      <w:r>
        <w:rPr>
          <w:rFonts w:ascii="Times New Roman" w:hAnsi="Times New Roman"/>
          <w:color w:val="000000"/>
          <w:kern w:val="0"/>
          <w:szCs w:val="21"/>
        </w:rPr>
        <w:t>缺乏职业晋升路径，面临社会流动性受限的风险；又如，共享单车无序停放所增加的市政管理成本，</w:t>
      </w:r>
      <w:r>
        <w:rPr>
          <w:rFonts w:hint="eastAsia" w:ascii="Times New Roman" w:hAnsi="Times New Roman"/>
          <w:color w:val="000000"/>
          <w:kern w:val="0"/>
          <w:szCs w:val="21"/>
        </w:rPr>
        <w:t>并</w:t>
      </w:r>
      <w:r>
        <w:rPr>
          <w:rFonts w:ascii="Times New Roman" w:hAnsi="Times New Roman"/>
          <w:color w:val="000000"/>
          <w:kern w:val="0"/>
          <w:szCs w:val="21"/>
        </w:rPr>
        <w:t>未由相关企业承担，造成公共资源配置的效率损失</w:t>
      </w:r>
      <w:r>
        <w:rPr>
          <w:rFonts w:hint="eastAsia" w:ascii="Times New Roman" w:hAnsi="Times New Roman"/>
          <w:color w:val="000000"/>
          <w:kern w:val="0"/>
          <w:szCs w:val="21"/>
        </w:rPr>
        <w:t>。（3）生态环境方面的隐性社会成本，包括环境污染和资源枯竭，如企业生产排放的三废带来的环境污染，免费灌溉导致农业区地下水位下降等。（4）制度与治理方面的隐性社会成本，</w:t>
      </w:r>
      <w:r>
        <w:rPr>
          <w:rFonts w:ascii="Times New Roman" w:hAnsi="Times New Roman"/>
          <w:color w:val="000000"/>
          <w:kern w:val="0"/>
          <w:szCs w:val="21"/>
        </w:rPr>
        <w:t>主要表现为寻租行为带来的制度性扭曲以及由社会矛盾引发的治理支出。例如，一些企业通过游说行为规避环保监管，以减少本应承担的污染治理成本；又如，劳资纠纷频发使政府需投入额外的维稳与治理资源，增加了公共治理的财政负担。</w:t>
      </w:r>
    </w:p>
    <w:p>
      <w:pPr>
        <w:pStyle w:val="96"/>
        <w:spacing w:line="240" w:lineRule="atLeast"/>
        <w:ind w:firstLine="400"/>
        <w:rPr>
          <w:rFonts w:ascii="Times New Roman" w:hAnsi="Times New Roman"/>
          <w:color w:val="000000"/>
          <w:kern w:val="0"/>
          <w:szCs w:val="21"/>
        </w:rPr>
      </w:pPr>
      <w:r>
        <w:rPr>
          <w:rFonts w:ascii="Times New Roman" w:hAnsi="Times New Roman"/>
          <w:color w:val="000000"/>
          <w:kern w:val="0"/>
          <w:szCs w:val="21"/>
        </w:rPr>
        <w:t>围绕机器人应用所引发的隐性社会成本，已有研究从多个维度展开了</w:t>
      </w:r>
      <w:r>
        <w:rPr>
          <w:rFonts w:hint="eastAsia" w:ascii="Times New Roman" w:hAnsi="Times New Roman"/>
          <w:color w:val="000000"/>
          <w:kern w:val="0"/>
          <w:szCs w:val="21"/>
        </w:rPr>
        <w:t>讨论</w:t>
      </w:r>
      <w:r>
        <w:rPr>
          <w:rFonts w:ascii="Times New Roman" w:hAnsi="Times New Roman"/>
          <w:color w:val="000000"/>
          <w:kern w:val="0"/>
          <w:szCs w:val="21"/>
        </w:rPr>
        <w:t>。</w:t>
      </w:r>
      <w:r>
        <w:rPr>
          <w:rFonts w:hint="eastAsia" w:ascii="Times New Roman" w:hAnsi="Times New Roman"/>
          <w:color w:val="000000"/>
          <w:kern w:val="0"/>
          <w:szCs w:val="21"/>
        </w:rPr>
        <w:t>例如，</w:t>
      </w:r>
      <w:r>
        <w:rPr>
          <w:rFonts w:ascii="Times New Roman" w:hAnsi="Times New Roman"/>
          <w:color w:val="000000"/>
          <w:kern w:val="0"/>
          <w:szCs w:val="21"/>
        </w:rPr>
        <w:t>Gunadi and Ryu（2021）、Gihleb et al.（2022）以及闫雪凌等（2023）聚焦劳动者健康，揭示了机器人应用在生理与心理层面所造成的潜在损害；Acemoglu and Restrepo（2018）、周广肃</w:t>
      </w:r>
      <w:r>
        <w:rPr>
          <w:rFonts w:hint="eastAsia" w:ascii="Times New Roman" w:hAnsi="Times New Roman"/>
          <w:color w:val="000000"/>
          <w:kern w:val="0"/>
          <w:szCs w:val="21"/>
        </w:rPr>
        <w:t>和</w:t>
      </w:r>
      <w:r>
        <w:rPr>
          <w:rFonts w:ascii="Times New Roman" w:hAnsi="Times New Roman"/>
          <w:color w:val="000000"/>
          <w:kern w:val="0"/>
          <w:szCs w:val="21"/>
        </w:rPr>
        <w:t>丁相元（2022）、陈东</w:t>
      </w:r>
      <w:r>
        <w:rPr>
          <w:rFonts w:hint="eastAsia" w:ascii="Times New Roman" w:hAnsi="Times New Roman"/>
          <w:color w:val="000000"/>
          <w:kern w:val="0"/>
          <w:szCs w:val="21"/>
        </w:rPr>
        <w:t>和</w:t>
      </w:r>
      <w:r>
        <w:rPr>
          <w:rFonts w:ascii="Times New Roman" w:hAnsi="Times New Roman"/>
          <w:color w:val="000000"/>
          <w:kern w:val="0"/>
          <w:szCs w:val="21"/>
        </w:rPr>
        <w:t>秦子洋（2022）则从收入分配角度出发，分析了其在社会经济层面引致的不平等后果；盛丹</w:t>
      </w:r>
      <w:r>
        <w:rPr>
          <w:rFonts w:hint="eastAsia" w:ascii="Times New Roman" w:hAnsi="Times New Roman"/>
          <w:color w:val="000000"/>
          <w:kern w:val="0"/>
          <w:szCs w:val="21"/>
        </w:rPr>
        <w:t>和</w:t>
      </w:r>
      <w:r>
        <w:rPr>
          <w:rFonts w:ascii="Times New Roman" w:hAnsi="Times New Roman"/>
          <w:color w:val="000000"/>
          <w:kern w:val="0"/>
          <w:szCs w:val="21"/>
        </w:rPr>
        <w:t>卜文超（2022）、林熙等（2023）关注机器人使用对企业污染排放的影响，强调其对生态环境隐性成本的外部化倾向；而许怡</w:t>
      </w:r>
      <w:r>
        <w:rPr>
          <w:rFonts w:hint="eastAsia" w:ascii="Times New Roman" w:hAnsi="Times New Roman"/>
          <w:color w:val="000000"/>
          <w:kern w:val="0"/>
          <w:szCs w:val="21"/>
        </w:rPr>
        <w:t>和</w:t>
      </w:r>
      <w:r>
        <w:rPr>
          <w:rFonts w:ascii="Times New Roman" w:hAnsi="Times New Roman"/>
          <w:color w:val="000000"/>
          <w:kern w:val="0"/>
          <w:szCs w:val="21"/>
        </w:rPr>
        <w:t>叶欣（2020）、张军等（2023）则从劳资关系视角出发，探讨了机器人普及所引发的制度与治理压力。</w:t>
      </w:r>
      <w:r>
        <w:rPr>
          <w:rFonts w:hint="eastAsia" w:ascii="Times New Roman" w:hAnsi="Times New Roman"/>
          <w:color w:val="000000"/>
          <w:kern w:val="0"/>
          <w:szCs w:val="21"/>
        </w:rPr>
        <w:t>囿于</w:t>
      </w:r>
      <w:r>
        <w:rPr>
          <w:rFonts w:ascii="Times New Roman" w:hAnsi="Times New Roman"/>
          <w:color w:val="000000"/>
          <w:kern w:val="0"/>
          <w:szCs w:val="21"/>
        </w:rPr>
        <w:t>数据可得性，本文无法对机器人应用所涉及的各类隐性社会成本进行全面评估。</w:t>
      </w:r>
      <w:r>
        <w:rPr>
          <w:rFonts w:hint="eastAsia" w:ascii="Times New Roman" w:hAnsi="Times New Roman"/>
          <w:color w:val="000000"/>
          <w:kern w:val="0"/>
          <w:szCs w:val="21"/>
        </w:rPr>
        <w:t>同时</w:t>
      </w:r>
      <w:r>
        <w:rPr>
          <w:rFonts w:ascii="Times New Roman" w:hAnsi="Times New Roman"/>
          <w:color w:val="000000"/>
          <w:kern w:val="0"/>
          <w:szCs w:val="21"/>
        </w:rPr>
        <w:t>，低技能农民工是此类成本的主要承受群体，且机器人技术对其身心健康的冲击尤为显著。因此，本文以低技能农民工的健康为切入点，聚焦机器人应用在该群体中所带来的隐性社会成本。</w:t>
      </w:r>
    </w:p>
    <w:p>
      <w:pPr>
        <w:pStyle w:val="96"/>
        <w:spacing w:line="240" w:lineRule="atLeast"/>
        <w:ind w:firstLine="400"/>
        <w:rPr>
          <w:rFonts w:ascii="Times New Roman" w:hAnsi="Times New Roman"/>
          <w:color w:val="000000"/>
          <w:kern w:val="0"/>
          <w:szCs w:val="21"/>
        </w:rPr>
      </w:pPr>
    </w:p>
    <w:p>
      <w:pPr>
        <w:pStyle w:val="96"/>
        <w:spacing w:line="240" w:lineRule="atLeast"/>
        <w:ind w:firstLine="400"/>
        <w:rPr>
          <w:rFonts w:ascii="Times New Roman" w:hAnsi="Times New Roman"/>
          <w:color w:val="000000"/>
          <w:kern w:val="0"/>
          <w:szCs w:val="21"/>
        </w:rPr>
      </w:pPr>
    </w:p>
    <w:p>
      <w:pPr>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附录二  数据来源与样本选择的详细介绍和特征化事实描述</w:t>
      </w:r>
    </w:p>
    <w:p>
      <w:pPr>
        <w:pStyle w:val="8"/>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sz w:val="21"/>
          <w:szCs w:val="21"/>
        </w:rPr>
      </w:pPr>
      <w:r>
        <w:rPr>
          <w:rFonts w:hint="eastAsia" w:eastAsia="楷体"/>
          <w:b w:val="0"/>
          <w:bCs w:val="0"/>
          <w:color w:val="000000"/>
          <w:sz w:val="21"/>
          <w:szCs w:val="21"/>
          <w:lang w:val="en-US" w:eastAsia="zh-CN"/>
        </w:rPr>
        <w:t>1.</w:t>
      </w:r>
      <w:r>
        <w:rPr>
          <w:rFonts w:hint="eastAsia" w:eastAsia="楷体"/>
          <w:b w:val="0"/>
          <w:bCs w:val="0"/>
          <w:color w:val="000000"/>
          <w:sz w:val="21"/>
          <w:szCs w:val="21"/>
        </w:rPr>
        <w:t>数据来源与样本选择的详细介绍</w:t>
      </w:r>
      <w:r>
        <w:rPr>
          <w:rFonts w:hint="eastAsia" w:eastAsia="楷体"/>
          <w:b w:val="0"/>
          <w:bCs w:val="0"/>
          <w:color w:val="000000"/>
          <w:sz w:val="21"/>
          <w:szCs w:val="21"/>
          <w:lang w:eastAsia="zh-CN"/>
        </w:rPr>
        <w:t>。</w:t>
      </w:r>
      <w:r>
        <w:rPr>
          <w:rFonts w:hint="eastAsia"/>
          <w:sz w:val="21"/>
          <w:szCs w:val="21"/>
        </w:rPr>
        <w:t>在文中，低技能农民工身体健康、心理健康、年龄、性别、吸烟、喝酒、小时劳动收入、年劳动收入、就业状态、每周工作小时数、锻炼时间、睡眠时间等个体层面变量的数据来源于“中国家庭追踪调查”（CFPS）成人问卷数据库；家庭人均收入、家庭规模、健康相关支出等家庭层面变量的数据来源于CFPS家庭经济问卷数据库；城市层面机器人应用的数据来源于国际机器人联合会数据库、2005年1%人口抽样调查数据、《中国劳动统计年鉴》《中国工业统计年鉴》；经济发展水平、医疗资源、教育资源、社会保障水平、人均绿地面积等其他城市层面变量的数据来源于《中经网统计数据库》《中国城市统计年鉴》；省级工伤数量数据来源于《中国劳动统计年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szCs w:val="21"/>
        </w:rPr>
      </w:pPr>
      <w:r>
        <w:rPr>
          <w:szCs w:val="21"/>
        </w:rPr>
        <w:t>本文所使用的微观数据主要来源于CFPS数据库。</w:t>
      </w:r>
      <w:r>
        <w:rPr>
          <w:rFonts w:hint="eastAsia"/>
          <w:szCs w:val="21"/>
        </w:rPr>
        <w:t>该数据库</w:t>
      </w:r>
      <w:r>
        <w:rPr>
          <w:szCs w:val="21"/>
        </w:rPr>
        <w:t>存在一定局限性，如未能覆盖全部省级行政区，且抽样户数相较于全国总户数仍偏有限。因此，基于该数据库的实证研究在解释和推广结论时</w:t>
      </w:r>
      <w:r>
        <w:rPr>
          <w:rFonts w:hint="eastAsia"/>
          <w:szCs w:val="21"/>
        </w:rPr>
        <w:t>，</w:t>
      </w:r>
      <w:r>
        <w:rPr>
          <w:szCs w:val="21"/>
        </w:rPr>
        <w:t>仍需注意其可能带来的</w:t>
      </w:r>
      <w:r>
        <w:rPr>
          <w:rFonts w:hint="eastAsia"/>
          <w:szCs w:val="21"/>
        </w:rPr>
        <w:t>样本</w:t>
      </w:r>
      <w:r>
        <w:rPr>
          <w:szCs w:val="21"/>
        </w:rPr>
        <w:t>偏误</w:t>
      </w:r>
      <w:r>
        <w:rPr>
          <w:rFonts w:hint="eastAsia"/>
          <w:szCs w:val="21"/>
        </w:rPr>
        <w:t>问题。对此，后文采用Heckman两步法模型进行稳健性检验，以证明</w:t>
      </w:r>
      <w:r>
        <w:rPr>
          <w:szCs w:val="21"/>
        </w:rPr>
        <w:t>CFPS数据库</w:t>
      </w:r>
      <w:r>
        <w:rPr>
          <w:rFonts w:hint="eastAsia"/>
          <w:szCs w:val="21"/>
        </w:rPr>
        <w:t>本身存在的样本选择偏误问题不会对基准结论产生明显影响</w:t>
      </w:r>
      <w:r>
        <w:rPr>
          <w:szCs w:val="21"/>
        </w:rPr>
        <w:t>。本文使用的样本范围为2010年、2012年、2014年、2016年、2018年和2020年6期调查数据。参考现有研究，本文对CFPS数据</w:t>
      </w:r>
      <w:r>
        <w:rPr>
          <w:rFonts w:hint="eastAsia"/>
          <w:szCs w:val="21"/>
        </w:rPr>
        <w:t>做如下</w:t>
      </w:r>
      <w:r>
        <w:rPr>
          <w:szCs w:val="21"/>
        </w:rPr>
        <w:t>处理：（1）根据本文构建的个体、家庭层面变量，从CFPS数据库中选取相应的数据，并通过个人识别码、家庭识别码将选取的各期CFPS数据进行纵向匹配；（2）将低技能农民工样本的年龄范围限定为16</w:t>
      </w:r>
      <w:r>
        <w:rPr>
          <w:rFonts w:hint="eastAsia" w:ascii="宋体" w:hAnsi="宋体"/>
          <w:szCs w:val="21"/>
        </w:rPr>
        <w:t>～</w:t>
      </w:r>
      <w:r>
        <w:rPr>
          <w:szCs w:val="21"/>
        </w:rPr>
        <w:t>60岁；（3）删除低技能农民工身心健康、收入、受教育程度等主要变量缺失的样本观测值；（4）CFPS数据存在一些劳动者样本年龄过大、收入过低等极端值问题，可能会影响实证分析结果。基于此，在兼顾保持样本代表性的基础上，本文借鉴Giuntella et al.（2022）的思路，根据考虑年龄、收入等因素的倾向得分匹配回归结果，删除得分位于前1%和后1%的边缘样本，以缓解由极端值导致的回归偏误问题。</w:t>
      </w:r>
    </w:p>
    <w:p>
      <w:pPr>
        <w:pStyle w:val="96"/>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宋体" w:hAnsi="宋体" w:cs="宋体"/>
          <w:color w:val="000000"/>
          <w:szCs w:val="21"/>
        </w:rPr>
      </w:pPr>
      <w:r>
        <w:rPr>
          <w:rFonts w:hint="eastAsia"/>
          <w:szCs w:val="21"/>
        </w:rPr>
        <w:t>在对CFPS数据进行上述处理的基础上，本文根据城市行政区划码、省级行政区划码将使用的城市层面变量、省级层面变量匹配到CFPS数据库上。考虑到当年发布的CFPS数据可能涉及上一年的样本调查信息，并且宏观经济的影响传导到个体也具有一定的滞后效应，因此这里采用调查样本年限滞后一期的城市层面变量和省级层面变量。同时，本文之所以未从企业层面检验机器人应用对低技能农民工身心健康的影响，一是目前对外公开的权威数据库均未包含企业－劳动力匹配的相关信息，无法同时获得企业应用机器人情况和低技能农民工健康状况两个核心指标，从而无法考察企业应用机器人对低技能农民工健康的影响；二是在代表性文献中，使用地级市层面机器人应用数据与劳动者个体调查数据匹配，研究城市机器人应用对劳动者个体行为影响比较常见（</w:t>
      </w:r>
      <w:r>
        <w:rPr>
          <w:szCs w:val="21"/>
        </w:rPr>
        <w:t>Giuntella et al.，2022；王林辉等，2023</w:t>
      </w:r>
      <w:r>
        <w:rPr>
          <w:rFonts w:hint="eastAsia"/>
          <w:szCs w:val="21"/>
        </w:rPr>
        <w:t>）。基于以上原因，本文选择从城市层面检验机器人应用对低技能农民工身心健康的影响。为了尽可能地缓解核心解释变量与被解释变量数据颗粒大小不一致可能带来的估计偏误，本文还在稳健性检验部分构建城市层面的低技能农民工健康指标进行辅助性检验。变量定义及描述性统计结果如表1所示。</w:t>
      </w:r>
    </w:p>
    <w:p>
      <w:pPr>
        <w:pStyle w:val="96"/>
        <w:spacing w:line="240" w:lineRule="atLeast"/>
        <w:ind w:firstLine="402"/>
        <w:rPr>
          <w:rFonts w:hint="eastAsia" w:ascii="宋体" w:hAnsi="宋体" w:cs="宋体"/>
          <w:color w:val="000000"/>
          <w:szCs w:val="21"/>
        </w:rPr>
      </w:pPr>
      <w:r>
        <w:rPr>
          <w:rFonts w:hint="eastAsia" w:eastAsia="楷体"/>
          <w:b w:val="0"/>
          <w:bCs w:val="0"/>
          <w:color w:val="000000"/>
          <w:szCs w:val="21"/>
          <w:lang w:val="en-US" w:eastAsia="zh-CN"/>
        </w:rPr>
        <w:t>2.</w:t>
      </w:r>
      <w:r>
        <w:rPr>
          <w:rFonts w:hint="eastAsia" w:eastAsia="楷体"/>
          <w:b w:val="0"/>
          <w:bCs w:val="0"/>
          <w:color w:val="000000"/>
          <w:szCs w:val="21"/>
        </w:rPr>
        <w:t>特征化事实描述</w:t>
      </w:r>
      <w:r>
        <w:rPr>
          <w:rFonts w:hint="eastAsia" w:eastAsia="楷体"/>
          <w:b w:val="0"/>
          <w:bCs w:val="0"/>
          <w:color w:val="000000"/>
          <w:szCs w:val="21"/>
          <w:lang w:eastAsia="zh-CN"/>
        </w:rPr>
        <w:t>。</w:t>
      </w:r>
      <w:r>
        <w:rPr>
          <w:rFonts w:hint="eastAsia" w:ascii="宋体" w:hAnsi="宋体" w:cs="宋体"/>
          <w:color w:val="000000"/>
          <w:szCs w:val="21"/>
        </w:rPr>
        <w:t>为了初步判断机器人应用与低技能农民工健康之间的关系，本文绘制了两者之间的核密度图，描述不同机器人应用水平下的低技能农民工身心健康变化趋势。其中，横轴为城市平均低技能农民工健康水平，纵轴为不同城市低技能农民工健康水平的分布密度。附</w:t>
      </w:r>
      <w:r>
        <w:rPr>
          <w:color w:val="000000"/>
          <w:szCs w:val="21"/>
        </w:rPr>
        <w:t>图1（a）、</w:t>
      </w:r>
      <w:r>
        <w:rPr>
          <w:rFonts w:hint="eastAsia"/>
          <w:color w:val="000000"/>
          <w:szCs w:val="21"/>
        </w:rPr>
        <w:t>附</w:t>
      </w:r>
      <w:r>
        <w:rPr>
          <w:color w:val="000000"/>
          <w:szCs w:val="21"/>
        </w:rPr>
        <w:t>图1（b）展示了低技能农民工身体健康的核密度回归结果，可以看出随着时间推移，与机器人应用水平较低城市相比，机器人应用水平较高城市的核密度线向左偏移的趋势更加明显。同时，</w:t>
      </w:r>
      <w:r>
        <w:rPr>
          <w:rFonts w:hint="eastAsia" w:ascii="宋体" w:hAnsi="宋体" w:cs="宋体"/>
          <w:color w:val="000000"/>
          <w:szCs w:val="21"/>
        </w:rPr>
        <w:t>附</w:t>
      </w:r>
      <w:r>
        <w:rPr>
          <w:color w:val="000000"/>
          <w:szCs w:val="21"/>
        </w:rPr>
        <w:t>图2（a）、</w:t>
      </w:r>
      <w:r>
        <w:rPr>
          <w:rFonts w:hint="eastAsia" w:ascii="宋体" w:hAnsi="宋体" w:cs="宋体"/>
          <w:color w:val="000000"/>
          <w:szCs w:val="21"/>
        </w:rPr>
        <w:t>附</w:t>
      </w:r>
      <w:r>
        <w:rPr>
          <w:color w:val="000000"/>
          <w:szCs w:val="21"/>
        </w:rPr>
        <w:t>图2（b）展示了低技</w:t>
      </w:r>
      <w:r>
        <w:rPr>
          <w:rFonts w:hint="eastAsia" w:ascii="宋体" w:hAnsi="宋体" w:cs="宋体"/>
          <w:color w:val="000000"/>
          <w:szCs w:val="21"/>
        </w:rPr>
        <w:t>能农民工心理健康变化的核密度回归结果，可以发现机器人应用水平较低城市的核密度线几乎没有变动，而机器人应用水平较高城市的核密度线则呈较为明显的向左偏移趋势。上述核密度分析表明，与机器人应用水平较低城市相比，机器人应用水平较高城市的低技能农民工身心健康有着较为明显的下降，机器人应用与低技能农民工健康可能存在负相关关系。</w:t>
      </w:r>
    </w:p>
    <w:p>
      <w:pPr>
        <w:rPr>
          <w:color w:val="000000"/>
        </w:rPr>
      </w:pPr>
      <w:r>
        <w:rPr>
          <w:color w:val="000000"/>
        </w:rPr>
        <w:drawing>
          <wp:inline distT="0" distB="0" distL="114300" distR="114300">
            <wp:extent cx="2519680" cy="1832610"/>
            <wp:effectExtent l="0" t="0" r="13970" b="1524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2519680" cy="1832610"/>
                    </a:xfrm>
                    <a:prstGeom prst="rect">
                      <a:avLst/>
                    </a:prstGeom>
                    <a:noFill/>
                    <a:ln>
                      <a:noFill/>
                    </a:ln>
                  </pic:spPr>
                </pic:pic>
              </a:graphicData>
            </a:graphic>
          </wp:inline>
        </w:drawing>
      </w:r>
      <w:r>
        <w:rPr>
          <w:rFonts w:hint="eastAsia"/>
          <w:color w:val="000000"/>
        </w:rPr>
        <w:t xml:space="preserve">  </w:t>
      </w:r>
      <w:r>
        <w:rPr>
          <w:color w:val="000000"/>
        </w:rPr>
        <w:drawing>
          <wp:inline distT="0" distB="0" distL="114300" distR="114300">
            <wp:extent cx="2519680" cy="1832610"/>
            <wp:effectExtent l="0" t="0" r="13970" b="152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0"/>
                    <a:stretch>
                      <a:fillRect/>
                    </a:stretch>
                  </pic:blipFill>
                  <pic:spPr>
                    <a:xfrm>
                      <a:off x="0" y="0"/>
                      <a:ext cx="2519680" cy="1832610"/>
                    </a:xfrm>
                    <a:prstGeom prst="rect">
                      <a:avLst/>
                    </a:prstGeom>
                    <a:noFill/>
                    <a:ln>
                      <a:noFill/>
                    </a:ln>
                  </pic:spPr>
                </pic:pic>
              </a:graphicData>
            </a:graphic>
          </wp:inline>
        </w:drawing>
      </w:r>
    </w:p>
    <w:p>
      <w:pPr>
        <w:spacing w:line="240" w:lineRule="atLeast"/>
        <w:ind w:firstLine="664" w:firstLineChars="400"/>
        <w:rPr>
          <w:rFonts w:hint="eastAsia" w:ascii="黑体" w:hAnsi="黑体" w:eastAsia="黑体" w:cs="黑体"/>
          <w:color w:val="000000"/>
          <w:sz w:val="18"/>
          <w:szCs w:val="18"/>
        </w:rPr>
      </w:pPr>
      <w:r>
        <w:rPr>
          <w:rFonts w:hint="eastAsia" w:ascii="黑体" w:hAnsi="黑体" w:eastAsia="黑体" w:cs="黑体"/>
          <w:color w:val="000000"/>
          <w:sz w:val="18"/>
          <w:szCs w:val="18"/>
        </w:rPr>
        <w:t>（</w:t>
      </w:r>
      <w:r>
        <w:rPr>
          <w:rFonts w:ascii="Times New Roman" w:hAnsi="Times New Roman" w:eastAsia="黑体"/>
          <w:color w:val="000000"/>
          <w:sz w:val="18"/>
          <w:szCs w:val="18"/>
        </w:rPr>
        <w:t>a</w:t>
      </w:r>
      <w:r>
        <w:rPr>
          <w:rFonts w:hint="eastAsia" w:ascii="黑体" w:hAnsi="黑体" w:eastAsia="黑体" w:cs="黑体"/>
          <w:color w:val="000000"/>
          <w:sz w:val="18"/>
          <w:szCs w:val="18"/>
        </w:rPr>
        <w:t>）机器人应用水平较高城市                         （</w:t>
      </w:r>
      <w:r>
        <w:rPr>
          <w:rFonts w:hint="eastAsia" w:ascii="Times New Roman" w:hAnsi="Times New Roman" w:eastAsia="黑体"/>
          <w:color w:val="000000"/>
          <w:sz w:val="18"/>
          <w:szCs w:val="18"/>
        </w:rPr>
        <w:t>b</w:t>
      </w:r>
      <w:r>
        <w:rPr>
          <w:rFonts w:hint="eastAsia" w:ascii="黑体" w:hAnsi="黑体" w:eastAsia="黑体" w:cs="黑体"/>
          <w:color w:val="000000"/>
          <w:sz w:val="18"/>
          <w:szCs w:val="18"/>
        </w:rPr>
        <w:t>）机器人应用水平较低城市</w:t>
      </w:r>
    </w:p>
    <w:p>
      <w:pPr>
        <w:pStyle w:val="96"/>
        <w:spacing w:line="240" w:lineRule="atLeast"/>
        <w:ind w:firstLine="0" w:firstLineChars="0"/>
        <w:jc w:val="center"/>
        <w:rPr>
          <w:rFonts w:hint="eastAsia" w:ascii="黑体" w:hAnsi="黑体" w:eastAsia="黑体" w:cs="黑体"/>
          <w:color w:val="000000"/>
          <w:sz w:val="18"/>
          <w:szCs w:val="18"/>
        </w:rPr>
      </w:pPr>
      <w:r>
        <w:rPr>
          <w:rFonts w:hint="eastAsia" w:ascii="黑体" w:hAnsi="黑体" w:eastAsia="黑体" w:cs="黑体"/>
          <w:color w:val="000000"/>
          <w:sz w:val="18"/>
          <w:szCs w:val="18"/>
        </w:rPr>
        <w:t>附图</w:t>
      </w:r>
      <w:r>
        <w:rPr>
          <w:rFonts w:hint="eastAsia" w:ascii="Times New Roman" w:hAnsi="Times New Roman" w:eastAsia="黑体"/>
          <w:color w:val="000000"/>
          <w:sz w:val="18"/>
          <w:szCs w:val="18"/>
        </w:rPr>
        <w:t>1</w:t>
      </w:r>
      <w:r>
        <w:rPr>
          <w:rFonts w:hint="eastAsia" w:ascii="黑体" w:hAnsi="黑体" w:eastAsia="黑体" w:cs="黑体"/>
          <w:color w:val="000000"/>
          <w:sz w:val="18"/>
          <w:szCs w:val="18"/>
        </w:rPr>
        <w:t xml:space="preserve">  不同机器人应用水平下的低技能农民工身体健康变化趋势</w:t>
      </w:r>
    </w:p>
    <w:p>
      <w:pPr>
        <w:rPr>
          <w:color w:val="000000"/>
        </w:rPr>
      </w:pPr>
      <w:r>
        <w:rPr>
          <w:color w:val="000000"/>
        </w:rPr>
        <w:drawing>
          <wp:inline distT="0" distB="0" distL="114300" distR="114300">
            <wp:extent cx="2519680" cy="1832610"/>
            <wp:effectExtent l="0" t="0" r="1397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19680" cy="1832610"/>
                    </a:xfrm>
                    <a:prstGeom prst="rect">
                      <a:avLst/>
                    </a:prstGeom>
                    <a:noFill/>
                    <a:ln>
                      <a:noFill/>
                    </a:ln>
                  </pic:spPr>
                </pic:pic>
              </a:graphicData>
            </a:graphic>
          </wp:inline>
        </w:drawing>
      </w:r>
      <w:r>
        <w:rPr>
          <w:rFonts w:hint="eastAsia"/>
          <w:color w:val="000000"/>
        </w:rPr>
        <w:t xml:space="preserve">  </w:t>
      </w:r>
      <w:r>
        <w:rPr>
          <w:color w:val="000000"/>
        </w:rPr>
        <w:drawing>
          <wp:inline distT="0" distB="0" distL="114300" distR="114300">
            <wp:extent cx="2519680" cy="1832610"/>
            <wp:effectExtent l="0" t="0" r="13970"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519680" cy="1832610"/>
                    </a:xfrm>
                    <a:prstGeom prst="rect">
                      <a:avLst/>
                    </a:prstGeom>
                    <a:noFill/>
                    <a:ln>
                      <a:noFill/>
                    </a:ln>
                  </pic:spPr>
                </pic:pic>
              </a:graphicData>
            </a:graphic>
          </wp:inline>
        </w:drawing>
      </w:r>
    </w:p>
    <w:p>
      <w:pPr>
        <w:spacing w:line="240" w:lineRule="atLeast"/>
        <w:ind w:firstLine="664" w:firstLineChars="400"/>
        <w:rPr>
          <w:rFonts w:hint="eastAsia" w:ascii="黑体" w:hAnsi="黑体" w:eastAsia="黑体" w:cs="黑体"/>
          <w:color w:val="000000"/>
          <w:sz w:val="18"/>
          <w:szCs w:val="18"/>
        </w:rPr>
      </w:pPr>
      <w:r>
        <w:rPr>
          <w:rFonts w:hint="eastAsia" w:ascii="黑体" w:hAnsi="黑体" w:eastAsia="黑体" w:cs="黑体"/>
          <w:color w:val="000000"/>
          <w:sz w:val="18"/>
          <w:szCs w:val="18"/>
        </w:rPr>
        <w:t>（</w:t>
      </w:r>
      <w:r>
        <w:rPr>
          <w:rFonts w:hint="eastAsia" w:ascii="Times New Roman" w:hAnsi="Times New Roman" w:eastAsia="黑体"/>
          <w:color w:val="000000"/>
          <w:sz w:val="18"/>
          <w:szCs w:val="18"/>
        </w:rPr>
        <w:t>a</w:t>
      </w:r>
      <w:r>
        <w:rPr>
          <w:rFonts w:hint="eastAsia" w:ascii="黑体" w:hAnsi="黑体" w:eastAsia="黑体" w:cs="黑体"/>
          <w:color w:val="000000"/>
          <w:sz w:val="18"/>
          <w:szCs w:val="18"/>
        </w:rPr>
        <w:t>）机器人应用水平较高城市                         （</w:t>
      </w:r>
      <w:r>
        <w:rPr>
          <w:rFonts w:hint="eastAsia" w:ascii="Times New Roman" w:hAnsi="Times New Roman" w:eastAsia="黑体"/>
          <w:color w:val="000000"/>
          <w:sz w:val="18"/>
          <w:szCs w:val="18"/>
        </w:rPr>
        <w:t>b</w:t>
      </w:r>
      <w:r>
        <w:rPr>
          <w:rFonts w:hint="eastAsia" w:ascii="黑体" w:hAnsi="黑体" w:eastAsia="黑体" w:cs="黑体"/>
          <w:color w:val="000000"/>
          <w:sz w:val="18"/>
          <w:szCs w:val="18"/>
        </w:rPr>
        <w:t>）机器人应用水平较低城市</w:t>
      </w:r>
    </w:p>
    <w:p>
      <w:pPr>
        <w:pStyle w:val="96"/>
        <w:spacing w:line="240" w:lineRule="atLeast"/>
        <w:ind w:firstLine="0" w:firstLineChars="0"/>
        <w:jc w:val="center"/>
        <w:rPr>
          <w:rFonts w:hint="eastAsia" w:ascii="黑体" w:hAnsi="黑体" w:eastAsia="黑体" w:cs="黑体"/>
          <w:color w:val="000000"/>
          <w:sz w:val="18"/>
          <w:szCs w:val="18"/>
        </w:rPr>
      </w:pPr>
      <w:r>
        <w:rPr>
          <w:rFonts w:hint="eastAsia" w:ascii="黑体" w:hAnsi="黑体" w:eastAsia="黑体" w:cs="黑体"/>
          <w:color w:val="000000"/>
          <w:sz w:val="18"/>
          <w:szCs w:val="18"/>
        </w:rPr>
        <w:t>附图</w:t>
      </w:r>
      <w:r>
        <w:rPr>
          <w:rFonts w:hint="eastAsia" w:ascii="Times New Roman" w:hAnsi="Times New Roman" w:eastAsia="黑体"/>
          <w:color w:val="000000"/>
          <w:sz w:val="18"/>
          <w:szCs w:val="18"/>
        </w:rPr>
        <w:t>2</w:t>
      </w:r>
      <w:r>
        <w:rPr>
          <w:rFonts w:hint="eastAsia" w:ascii="黑体" w:hAnsi="黑体" w:eastAsia="黑体" w:cs="黑体"/>
          <w:color w:val="000000"/>
          <w:sz w:val="18"/>
          <w:szCs w:val="18"/>
        </w:rPr>
        <w:t xml:space="preserve">  不同机器人应用水平条件下的低技能农民工心理健康变化趋势</w:t>
      </w:r>
    </w:p>
    <w:p>
      <w:pPr>
        <w:pStyle w:val="96"/>
        <w:spacing w:line="240" w:lineRule="atLeast"/>
        <w:ind w:firstLine="400"/>
        <w:rPr>
          <w:rFonts w:hint="eastAsia"/>
          <w:color w:val="000000"/>
          <w:szCs w:val="21"/>
        </w:rPr>
      </w:pPr>
      <w:r>
        <w:rPr>
          <w:rFonts w:hint="eastAsia"/>
          <w:color w:val="000000"/>
          <w:szCs w:val="21"/>
        </w:rPr>
        <w:t>在此基础上，本文进一步绘制了机器人应用与低技能农民工身心健康之间的分仓散点图及拟合线。附图3（a）和附图3（b）基于个体层面数据，分别展示了机器人应用与低技能农民工身体健康和心理健康的分仓散点图。从图中可以看出，机器人应用与低技能农民工的身心健康呈显著的负相关关系，这一结果与上文附图1和附图2的结论相互印证。为进一步验证这一关系，本文计算了城市层面处于身体健康和心理健康状态的低技能农民工所占比例，并在附图4a和附图4b中展示了相应的分仓散点图。结果显示，机器人应用与城市低技能农民工的身心健康水平依然呈现出显著的负相关关系，进一步支持了前文的发现。</w:t>
      </w:r>
    </w:p>
    <w:p>
      <w:pPr>
        <w:spacing w:line="240" w:lineRule="atLeast"/>
        <w:rPr>
          <w:color w:val="000000"/>
        </w:rPr>
      </w:pPr>
      <w:r>
        <w:rPr>
          <w:color w:val="000000"/>
        </w:rPr>
        <w:drawing>
          <wp:inline distT="0" distB="0" distL="114300" distR="114300">
            <wp:extent cx="2518410" cy="1832610"/>
            <wp:effectExtent l="0" t="0" r="15240"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2518410" cy="1832610"/>
                    </a:xfrm>
                    <a:prstGeom prst="rect">
                      <a:avLst/>
                    </a:prstGeom>
                    <a:noFill/>
                    <a:ln>
                      <a:noFill/>
                    </a:ln>
                  </pic:spPr>
                </pic:pic>
              </a:graphicData>
            </a:graphic>
          </wp:inline>
        </w:drawing>
      </w:r>
      <w:r>
        <w:rPr>
          <w:rFonts w:hint="eastAsia"/>
          <w:color w:val="000000"/>
        </w:rPr>
        <w:t xml:space="preserve">  </w:t>
      </w:r>
      <w:r>
        <w:rPr>
          <w:color w:val="000000"/>
        </w:rPr>
        <w:drawing>
          <wp:inline distT="0" distB="0" distL="114300" distR="114300">
            <wp:extent cx="2519045" cy="1832610"/>
            <wp:effectExtent l="0" t="0" r="14605" b="152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a:stretch>
                      <a:fillRect/>
                    </a:stretch>
                  </pic:blipFill>
                  <pic:spPr>
                    <a:xfrm>
                      <a:off x="0" y="0"/>
                      <a:ext cx="2519045" cy="1832610"/>
                    </a:xfrm>
                    <a:prstGeom prst="rect">
                      <a:avLst/>
                    </a:prstGeom>
                    <a:noFill/>
                    <a:ln>
                      <a:noFill/>
                    </a:ln>
                  </pic:spPr>
                </pic:pic>
              </a:graphicData>
            </a:graphic>
          </wp:inline>
        </w:drawing>
      </w:r>
    </w:p>
    <w:p>
      <w:pPr>
        <w:spacing w:line="240" w:lineRule="atLeast"/>
        <w:jc w:val="center"/>
        <w:rPr>
          <w:rFonts w:hint="eastAsia" w:ascii="黑体" w:hAnsi="黑体" w:eastAsia="黑体" w:cs="黑体"/>
          <w:color w:val="000000"/>
          <w:sz w:val="18"/>
          <w:szCs w:val="18"/>
        </w:rPr>
      </w:pPr>
      <w:r>
        <w:rPr>
          <w:rFonts w:hint="eastAsia" w:ascii="黑体" w:hAnsi="黑体" w:eastAsia="黑体" w:cs="黑体"/>
          <w:color w:val="000000"/>
          <w:sz w:val="18"/>
          <w:szCs w:val="18"/>
        </w:rPr>
        <w:t>（</w:t>
      </w:r>
      <w:r>
        <w:rPr>
          <w:rFonts w:hint="eastAsia" w:ascii="Times New Roman" w:hAnsi="Times New Roman" w:eastAsia="黑体"/>
          <w:color w:val="000000"/>
          <w:sz w:val="18"/>
          <w:szCs w:val="18"/>
        </w:rPr>
        <w:t>a</w:t>
      </w:r>
      <w:r>
        <w:rPr>
          <w:rFonts w:hint="eastAsia" w:ascii="黑体" w:hAnsi="黑体" w:eastAsia="黑体" w:cs="黑体"/>
          <w:color w:val="000000"/>
          <w:sz w:val="18"/>
          <w:szCs w:val="18"/>
        </w:rPr>
        <w:t>）身体健康                               （</w:t>
      </w:r>
      <w:r>
        <w:rPr>
          <w:rFonts w:hint="eastAsia" w:ascii="Times New Roman" w:hAnsi="Times New Roman" w:eastAsia="黑体"/>
          <w:color w:val="000000"/>
          <w:sz w:val="18"/>
          <w:szCs w:val="18"/>
        </w:rPr>
        <w:t>b</w:t>
      </w:r>
      <w:r>
        <w:rPr>
          <w:rFonts w:hint="eastAsia" w:ascii="黑体" w:hAnsi="黑体" w:eastAsia="黑体" w:cs="黑体"/>
          <w:color w:val="000000"/>
          <w:sz w:val="18"/>
          <w:szCs w:val="18"/>
        </w:rPr>
        <w:t>）心理健康</w:t>
      </w:r>
    </w:p>
    <w:p>
      <w:pPr>
        <w:pStyle w:val="96"/>
        <w:spacing w:line="240" w:lineRule="atLeast"/>
        <w:ind w:firstLine="0" w:firstLineChars="0"/>
        <w:jc w:val="center"/>
        <w:rPr>
          <w:rFonts w:hint="eastAsia" w:ascii="黑体" w:hAnsi="黑体" w:eastAsia="黑体" w:cs="黑体"/>
          <w:color w:val="000000"/>
          <w:sz w:val="18"/>
          <w:szCs w:val="18"/>
        </w:rPr>
      </w:pPr>
      <w:r>
        <w:rPr>
          <w:rFonts w:hint="eastAsia" w:ascii="黑体" w:hAnsi="黑体" w:eastAsia="黑体" w:cs="黑体"/>
          <w:color w:val="000000"/>
          <w:sz w:val="18"/>
          <w:szCs w:val="18"/>
        </w:rPr>
        <w:t>附图</w:t>
      </w:r>
      <w:r>
        <w:rPr>
          <w:rFonts w:hint="eastAsia" w:ascii="Times New Roman" w:hAnsi="Times New Roman" w:eastAsia="黑体"/>
          <w:color w:val="000000"/>
          <w:sz w:val="18"/>
          <w:szCs w:val="18"/>
        </w:rPr>
        <w:t>3</w:t>
      </w:r>
      <w:r>
        <w:rPr>
          <w:rFonts w:hint="eastAsia" w:ascii="黑体" w:hAnsi="黑体" w:eastAsia="黑体" w:cs="黑体"/>
          <w:color w:val="000000"/>
          <w:sz w:val="18"/>
          <w:szCs w:val="18"/>
        </w:rPr>
        <w:t xml:space="preserve">  机器人应用与低技能农民工身心健康的分仓散点图（个体层面）</w:t>
      </w:r>
    </w:p>
    <w:p>
      <w:pPr>
        <w:spacing w:line="240" w:lineRule="atLeast"/>
        <w:rPr>
          <w:color w:val="000000"/>
        </w:rPr>
      </w:pPr>
      <w:r>
        <w:drawing>
          <wp:inline distT="0" distB="0" distL="114300" distR="114300">
            <wp:extent cx="2519680" cy="1832610"/>
            <wp:effectExtent l="0" t="0" r="13970" b="152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5"/>
                    <a:stretch>
                      <a:fillRect/>
                    </a:stretch>
                  </pic:blipFill>
                  <pic:spPr>
                    <a:xfrm>
                      <a:off x="0" y="0"/>
                      <a:ext cx="2519680" cy="1832610"/>
                    </a:xfrm>
                    <a:prstGeom prst="rect">
                      <a:avLst/>
                    </a:prstGeom>
                    <a:noFill/>
                    <a:ln>
                      <a:noFill/>
                    </a:ln>
                  </pic:spPr>
                </pic:pic>
              </a:graphicData>
            </a:graphic>
          </wp:inline>
        </w:drawing>
      </w:r>
      <w:r>
        <w:rPr>
          <w:rFonts w:hint="eastAsia"/>
          <w:color w:val="000000"/>
        </w:rPr>
        <w:t xml:space="preserve">  </w:t>
      </w:r>
      <w:r>
        <w:drawing>
          <wp:inline distT="0" distB="0" distL="114300" distR="114300">
            <wp:extent cx="2519680" cy="1832610"/>
            <wp:effectExtent l="0" t="0" r="13970" b="1524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6"/>
                    <a:stretch>
                      <a:fillRect/>
                    </a:stretch>
                  </pic:blipFill>
                  <pic:spPr>
                    <a:xfrm>
                      <a:off x="0" y="0"/>
                      <a:ext cx="2519680" cy="1832610"/>
                    </a:xfrm>
                    <a:prstGeom prst="rect">
                      <a:avLst/>
                    </a:prstGeom>
                    <a:noFill/>
                    <a:ln>
                      <a:noFill/>
                    </a:ln>
                  </pic:spPr>
                </pic:pic>
              </a:graphicData>
            </a:graphic>
          </wp:inline>
        </w:drawing>
      </w:r>
    </w:p>
    <w:p>
      <w:pPr>
        <w:spacing w:line="240" w:lineRule="atLeast"/>
        <w:jc w:val="center"/>
        <w:rPr>
          <w:rFonts w:hint="eastAsia" w:ascii="黑体" w:hAnsi="黑体" w:eastAsia="黑体" w:cs="黑体"/>
          <w:color w:val="000000"/>
          <w:sz w:val="18"/>
          <w:szCs w:val="18"/>
        </w:rPr>
      </w:pPr>
      <w:r>
        <w:rPr>
          <w:rFonts w:hint="eastAsia" w:ascii="黑体" w:hAnsi="黑体" w:eastAsia="黑体" w:cs="黑体"/>
          <w:color w:val="000000"/>
          <w:sz w:val="18"/>
          <w:szCs w:val="18"/>
        </w:rPr>
        <w:t>（</w:t>
      </w:r>
      <w:r>
        <w:rPr>
          <w:rFonts w:hint="eastAsia" w:ascii="Times New Roman" w:hAnsi="Times New Roman" w:eastAsia="黑体"/>
          <w:color w:val="000000"/>
          <w:sz w:val="18"/>
          <w:szCs w:val="18"/>
        </w:rPr>
        <w:t>a</w:t>
      </w:r>
      <w:r>
        <w:rPr>
          <w:rFonts w:hint="eastAsia" w:ascii="黑体" w:hAnsi="黑体" w:eastAsia="黑体" w:cs="黑体"/>
          <w:color w:val="000000"/>
          <w:sz w:val="18"/>
          <w:szCs w:val="18"/>
        </w:rPr>
        <w:t>）身体健康                              （</w:t>
      </w:r>
      <w:r>
        <w:rPr>
          <w:rFonts w:hint="eastAsia" w:ascii="Times New Roman" w:hAnsi="Times New Roman" w:eastAsia="黑体"/>
          <w:color w:val="000000"/>
          <w:sz w:val="18"/>
          <w:szCs w:val="18"/>
        </w:rPr>
        <w:t>b</w:t>
      </w:r>
      <w:r>
        <w:rPr>
          <w:rFonts w:hint="eastAsia" w:ascii="黑体" w:hAnsi="黑体" w:eastAsia="黑体" w:cs="黑体"/>
          <w:color w:val="000000"/>
          <w:sz w:val="18"/>
          <w:szCs w:val="18"/>
        </w:rPr>
        <w:t>）心理健康</w:t>
      </w:r>
    </w:p>
    <w:p>
      <w:pPr>
        <w:pStyle w:val="96"/>
        <w:spacing w:after="178" w:afterLines="50" w:line="240" w:lineRule="atLeast"/>
        <w:ind w:firstLine="0" w:firstLineChars="0"/>
        <w:jc w:val="center"/>
        <w:rPr>
          <w:rFonts w:hint="eastAsia" w:ascii="黑体" w:hAnsi="黑体" w:eastAsia="黑体" w:cs="黑体"/>
          <w:color w:val="000000"/>
          <w:sz w:val="18"/>
          <w:szCs w:val="18"/>
        </w:rPr>
      </w:pPr>
      <w:r>
        <w:rPr>
          <w:rFonts w:hint="eastAsia" w:ascii="黑体" w:hAnsi="黑体" w:eastAsia="黑体" w:cs="黑体"/>
          <w:color w:val="000000"/>
          <w:sz w:val="18"/>
          <w:szCs w:val="18"/>
        </w:rPr>
        <w:t>附图</w:t>
      </w:r>
      <w:r>
        <w:rPr>
          <w:rFonts w:hint="eastAsia" w:ascii="Times New Roman" w:hAnsi="Times New Roman" w:eastAsia="黑体"/>
          <w:color w:val="000000"/>
          <w:sz w:val="18"/>
          <w:szCs w:val="18"/>
        </w:rPr>
        <w:t>4</w:t>
      </w:r>
      <w:r>
        <w:rPr>
          <w:rFonts w:hint="eastAsia" w:ascii="黑体" w:hAnsi="黑体" w:eastAsia="黑体" w:cs="黑体"/>
          <w:color w:val="000000"/>
          <w:sz w:val="18"/>
          <w:szCs w:val="18"/>
        </w:rPr>
        <w:t xml:space="preserve">  机器人应用与低技能农民工身心健康的分仓散点图（城市层面）</w:t>
      </w:r>
    </w:p>
    <w:p>
      <w:pPr>
        <w:widowControl/>
        <w:shd w:val="clear" w:color="auto" w:fill="FFFFFF"/>
        <w:spacing w:line="240" w:lineRule="atLeast"/>
        <w:ind w:firstLine="392" w:firstLineChars="200"/>
        <w:jc w:val="left"/>
        <w:rPr>
          <w:rFonts w:hint="eastAsia" w:ascii="宋体" w:hAnsi="宋体" w:cs="宋体"/>
          <w:color w:val="000000"/>
          <w:szCs w:val="21"/>
        </w:rPr>
      </w:pPr>
      <w:r>
        <w:rPr>
          <w:rFonts w:hint="eastAsia" w:ascii="宋体" w:hAnsi="宋体" w:cs="宋体"/>
          <w:color w:val="000000"/>
          <w:szCs w:val="21"/>
        </w:rPr>
        <w:t>上述特征化事实分析初步表明，机器人应用对低技能农民工身心健康可能存在显著的负面影响，而二者之间是否存在因果关系，需要后文进行严谨的实证检验。</w:t>
      </w:r>
    </w:p>
    <w:p>
      <w:pPr>
        <w:keepNext w:val="0"/>
        <w:keepLines w:val="0"/>
        <w:pageBreakBefore w:val="0"/>
        <w:widowControl w:val="0"/>
        <w:shd w:val="clear" w:color="auto" w:fill="FFFFFF"/>
        <w:kinsoku/>
        <w:wordWrap/>
        <w:overflowPunct/>
        <w:topLinePunct w:val="0"/>
        <w:autoSpaceDE/>
        <w:autoSpaceDN/>
        <w:bidi w:val="0"/>
        <w:adjustRightInd/>
        <w:snapToGrid/>
        <w:spacing w:before="184" w:beforeLines="50"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附录三  控制变量回归结果的解释</w:t>
      </w:r>
    </w:p>
    <w:p>
      <w:pPr>
        <w:ind w:firstLine="392" w:firstLineChars="200"/>
        <w:rPr>
          <w:color w:val="000000"/>
          <w:szCs w:val="21"/>
        </w:rPr>
      </w:pPr>
      <w:r>
        <w:rPr>
          <w:rFonts w:hint="eastAsia"/>
          <w:color w:val="000000"/>
          <w:szCs w:val="21"/>
        </w:rPr>
        <w:t>在控制变量方面，性别、家庭人均收入和家庭规模对低技能农民工身心健康均有着显著的正向影响。这是因为，男性所赚取的劳动收入相对更多，健康投资能力也就更强（周广肃等，2014），而家庭人均收入较高和家庭规模较大，则意味着低技能农民工的家庭关系较为完整且家庭负担较小，有助于其身心健康的改善。同时</w:t>
      </w:r>
      <w:r>
        <w:rPr>
          <w:rFonts w:hint="eastAsia"/>
          <w:color w:val="000000"/>
          <w:szCs w:val="21"/>
          <w:highlight w:val="none"/>
        </w:rPr>
        <w:t>，年龄对低</w:t>
      </w:r>
      <w:r>
        <w:rPr>
          <w:rFonts w:hint="eastAsia"/>
          <w:color w:val="000000"/>
          <w:szCs w:val="21"/>
        </w:rPr>
        <w:t>技能农民工身心健康有着显著的负向影响。一般而言，年龄的增加意味着低技能农民工健康资本折旧速度的加快（赵忠和侯振刚，2005），不利于身心健康的改善。城市医疗资源、社会保障的改善显著提高了低技能农民工的心理健康。这说明城市拥有良好的医疗服务和较高的社会保障能力，可以给低技能农民工带来安全感和获得感，促进其心理健康水平的改善。</w:t>
      </w:r>
    </w:p>
    <w:p>
      <w:pPr>
        <w:keepNext w:val="0"/>
        <w:keepLines w:val="0"/>
        <w:pageBreakBefore w:val="0"/>
        <w:widowControl w:val="0"/>
        <w:shd w:val="clear" w:color="auto" w:fill="FFFFFF"/>
        <w:kinsoku/>
        <w:wordWrap/>
        <w:overflowPunct/>
        <w:topLinePunct w:val="0"/>
        <w:autoSpaceDE/>
        <w:autoSpaceDN/>
        <w:bidi w:val="0"/>
        <w:adjustRightInd/>
        <w:snapToGrid/>
        <w:spacing w:before="178" w:beforeLines="50"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附录四  遗漏变量的敏感性分析未展示的估计结果</w:t>
      </w:r>
    </w:p>
    <w:p>
      <w:pPr>
        <w:spacing w:line="240" w:lineRule="atLeast"/>
        <w:rPr>
          <w:color w:val="000000"/>
        </w:rPr>
      </w:pPr>
      <w:r>
        <w:rPr>
          <w:rFonts w:hint="eastAsia"/>
          <w:color w:val="000000"/>
        </w:rPr>
        <w:t xml:space="preserve">   </w:t>
      </w:r>
      <w:r>
        <w:rPr>
          <w:color w:val="000000"/>
        </w:rPr>
        <w:drawing>
          <wp:inline distT="0" distB="0" distL="114300" distR="114300">
            <wp:extent cx="2367280" cy="1722120"/>
            <wp:effectExtent l="0" t="0" r="13970" b="1143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7"/>
                    <a:stretch>
                      <a:fillRect/>
                    </a:stretch>
                  </pic:blipFill>
                  <pic:spPr>
                    <a:xfrm>
                      <a:off x="0" y="0"/>
                      <a:ext cx="2367280" cy="1722120"/>
                    </a:xfrm>
                    <a:prstGeom prst="rect">
                      <a:avLst/>
                    </a:prstGeom>
                    <a:noFill/>
                    <a:ln>
                      <a:noFill/>
                    </a:ln>
                  </pic:spPr>
                </pic:pic>
              </a:graphicData>
            </a:graphic>
          </wp:inline>
        </w:drawing>
      </w:r>
      <w:r>
        <w:rPr>
          <w:rFonts w:hint="eastAsia"/>
          <w:color w:val="000000"/>
        </w:rPr>
        <w:t xml:space="preserve">       </w:t>
      </w:r>
      <w:r>
        <w:rPr>
          <w:color w:val="000000"/>
        </w:rPr>
        <w:drawing>
          <wp:inline distT="0" distB="0" distL="114300" distR="114300">
            <wp:extent cx="2368550" cy="1723390"/>
            <wp:effectExtent l="0" t="0" r="12700" b="1016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8"/>
                    <a:stretch>
                      <a:fillRect/>
                    </a:stretch>
                  </pic:blipFill>
                  <pic:spPr>
                    <a:xfrm>
                      <a:off x="0" y="0"/>
                      <a:ext cx="2368550" cy="1723390"/>
                    </a:xfrm>
                    <a:prstGeom prst="rect">
                      <a:avLst/>
                    </a:prstGeom>
                    <a:noFill/>
                    <a:ln>
                      <a:noFill/>
                    </a:ln>
                  </pic:spPr>
                </pic:pic>
              </a:graphicData>
            </a:graphic>
          </wp:inline>
        </w:drawing>
      </w:r>
    </w:p>
    <w:p>
      <w:pPr>
        <w:spacing w:line="240" w:lineRule="atLeast"/>
        <w:ind w:firstLine="1660" w:firstLineChars="1000"/>
        <w:rPr>
          <w:rFonts w:hint="eastAsia" w:ascii="黑体" w:hAnsi="黑体" w:eastAsia="黑体" w:cs="黑体"/>
          <w:color w:val="000000"/>
          <w:sz w:val="18"/>
          <w:szCs w:val="18"/>
        </w:rPr>
      </w:pPr>
      <w:r>
        <w:rPr>
          <w:rFonts w:hint="eastAsia" w:ascii="黑体" w:hAnsi="黑体" w:eastAsia="黑体" w:cs="黑体"/>
          <w:color w:val="000000"/>
          <w:sz w:val="18"/>
          <w:szCs w:val="18"/>
        </w:rPr>
        <w:t>（</w:t>
      </w:r>
      <w:r>
        <w:rPr>
          <w:rFonts w:hint="eastAsia" w:ascii="Times New Roman" w:hAnsi="Times New Roman" w:eastAsia="黑体"/>
          <w:color w:val="000000"/>
          <w:sz w:val="18"/>
          <w:szCs w:val="18"/>
        </w:rPr>
        <w:t>a</w:t>
      </w:r>
      <w:r>
        <w:rPr>
          <w:rFonts w:hint="eastAsia" w:ascii="黑体" w:hAnsi="黑体" w:eastAsia="黑体" w:cs="黑体"/>
          <w:color w:val="000000"/>
          <w:sz w:val="18"/>
          <w:szCs w:val="18"/>
        </w:rPr>
        <w:t>）身体健康                                      （</w:t>
      </w:r>
      <w:r>
        <w:rPr>
          <w:rFonts w:hint="eastAsia" w:ascii="Times New Roman" w:hAnsi="Times New Roman" w:eastAsia="黑体"/>
          <w:color w:val="000000"/>
          <w:sz w:val="18"/>
          <w:szCs w:val="18"/>
        </w:rPr>
        <w:t>b</w:t>
      </w:r>
      <w:r>
        <w:rPr>
          <w:rFonts w:hint="eastAsia" w:ascii="黑体" w:hAnsi="黑体" w:eastAsia="黑体" w:cs="黑体"/>
          <w:color w:val="000000"/>
          <w:sz w:val="18"/>
          <w:szCs w:val="18"/>
        </w:rPr>
        <w:t>）心理健康</w:t>
      </w:r>
    </w:p>
    <w:p>
      <w:pPr>
        <w:spacing w:line="240" w:lineRule="atLeast"/>
        <w:ind w:firstLine="332" w:firstLineChars="200"/>
        <w:jc w:val="center"/>
        <w:rPr>
          <w:rFonts w:hint="eastAsia" w:ascii="黑体" w:hAnsi="黑体" w:eastAsia="黑体" w:cs="黑体"/>
          <w:color w:val="000000"/>
          <w:sz w:val="18"/>
          <w:szCs w:val="18"/>
        </w:rPr>
      </w:pPr>
      <w:r>
        <w:rPr>
          <w:rFonts w:hint="eastAsia" w:ascii="黑体" w:hAnsi="黑体" w:eastAsia="黑体" w:cs="黑体"/>
          <w:bCs/>
          <w:color w:val="000000"/>
          <w:sz w:val="18"/>
          <w:szCs w:val="18"/>
        </w:rPr>
        <w:t>附图</w:t>
      </w:r>
      <w:r>
        <w:rPr>
          <w:rFonts w:hint="eastAsia" w:ascii="Times New Roman" w:hAnsi="Times New Roman" w:eastAsia="黑体"/>
          <w:color w:val="000000"/>
          <w:sz w:val="18"/>
          <w:szCs w:val="18"/>
        </w:rPr>
        <w:t>5</w:t>
      </w:r>
      <w:r>
        <w:rPr>
          <w:rFonts w:hint="eastAsia" w:ascii="黑体" w:hAnsi="黑体" w:eastAsia="黑体" w:cs="黑体"/>
          <w:bCs/>
          <w:color w:val="000000"/>
          <w:sz w:val="18"/>
          <w:szCs w:val="18"/>
        </w:rPr>
        <w:t xml:space="preserve">  低技能农民工健康的敏感性分析</w:t>
      </w:r>
    </w:p>
    <w:p>
      <w:pPr>
        <w:keepNext w:val="0"/>
        <w:keepLines w:val="0"/>
        <w:pageBreakBefore w:val="0"/>
        <w:widowControl w:val="0"/>
        <w:kinsoku/>
        <w:wordWrap/>
        <w:overflowPunct/>
        <w:topLinePunct w:val="0"/>
        <w:autoSpaceDE/>
        <w:autoSpaceDN/>
        <w:bidi w:val="0"/>
        <w:adjustRightInd/>
        <w:snapToGrid/>
        <w:spacing w:before="178" w:beforeLines="50" w:line="480" w:lineRule="auto"/>
        <w:ind w:firstLine="452" w:firstLineChars="200"/>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附录五  稳健性检验未展示的估计结果</w:t>
      </w:r>
    </w:p>
    <w:p>
      <w:pPr>
        <w:spacing w:before="178" w:beforeLines="50"/>
        <w:ind w:firstLine="392" w:firstLineChars="200"/>
        <w:rPr>
          <w:rFonts w:hint="eastAsia" w:eastAsia="楷体"/>
          <w:b w:val="0"/>
          <w:bCs w:val="0"/>
          <w:color w:val="000000"/>
          <w:sz w:val="21"/>
          <w:szCs w:val="18"/>
          <w:lang w:eastAsia="zh-CN"/>
        </w:rPr>
      </w:pPr>
      <w:r>
        <w:rPr>
          <w:rFonts w:hint="eastAsia" w:eastAsia="楷体"/>
          <w:b w:val="0"/>
          <w:bCs w:val="0"/>
          <w:color w:val="000000"/>
          <w:sz w:val="21"/>
          <w:szCs w:val="21"/>
          <w:lang w:val="en-US" w:eastAsia="zh-CN"/>
        </w:rPr>
        <w:t>1.</w:t>
      </w:r>
      <w:r>
        <w:rPr>
          <w:rFonts w:hint="eastAsia" w:eastAsia="楷体"/>
          <w:b w:val="0"/>
          <w:bCs w:val="0"/>
          <w:color w:val="000000"/>
          <w:sz w:val="21"/>
          <w:szCs w:val="21"/>
        </w:rPr>
        <w:t>更换核心变量、重新定义“低技能农民工”概念的稳健性检验结果</w:t>
      </w:r>
      <w:r>
        <w:rPr>
          <w:rFonts w:hint="eastAsia" w:eastAsia="楷体"/>
          <w:b w:val="0"/>
          <w:bCs w:val="0"/>
          <w:color w:val="000000"/>
          <w:sz w:val="21"/>
          <w:szCs w:val="21"/>
          <w:lang w:eastAsia="zh-CN"/>
        </w:rPr>
        <w:t>。</w:t>
      </w:r>
    </w:p>
    <w:p>
      <w:pPr>
        <w:tabs>
          <w:tab w:val="center" w:pos="4200"/>
        </w:tabs>
        <w:adjustRightInd w:val="0"/>
        <w:spacing w:before="89" w:beforeLines="25" w:line="240" w:lineRule="atLeast"/>
        <w:ind w:firstLine="332" w:firstLineChars="200"/>
        <w:jc w:val="left"/>
        <w:rPr>
          <w:rFonts w:hint="eastAsia" w:eastAsia="黑体"/>
          <w:bCs/>
          <w:color w:val="000000"/>
          <w:sz w:val="18"/>
          <w:szCs w:val="18"/>
        </w:rPr>
      </w:pPr>
      <w:r>
        <w:rPr>
          <w:rFonts w:hint="eastAsia" w:eastAsia="黑体"/>
          <w:bCs/>
          <w:color w:val="000000"/>
          <w:sz w:val="18"/>
          <w:szCs w:val="18"/>
        </w:rPr>
        <w:t xml:space="preserve">附表1  </w:t>
      </w:r>
      <w:r>
        <w:rPr>
          <w:rFonts w:hint="eastAsia" w:eastAsia="黑体"/>
          <w:bCs/>
          <w:color w:val="000000"/>
          <w:sz w:val="18"/>
          <w:szCs w:val="18"/>
        </w:rPr>
        <w:tab/>
      </w:r>
      <w:r>
        <w:rPr>
          <w:rFonts w:hint="eastAsia" w:eastAsia="黑体"/>
          <w:bCs/>
          <w:color w:val="000000"/>
          <w:sz w:val="18"/>
          <w:szCs w:val="18"/>
        </w:rPr>
        <w:t>更换核心变量和重新定义“低技能农民工”概念</w:t>
      </w:r>
    </w:p>
    <w:tbl>
      <w:tblPr>
        <w:tblStyle w:val="33"/>
        <w:tblW w:w="10018"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079"/>
        <w:gridCol w:w="1080"/>
        <w:gridCol w:w="1080"/>
        <w:gridCol w:w="1080"/>
        <w:gridCol w:w="1080"/>
        <w:gridCol w:w="1080"/>
        <w:gridCol w:w="1080"/>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vMerge w:val="restart"/>
            <w:tcBorders>
              <w:top w:val="single" w:color="auto" w:sz="12" w:space="0"/>
              <w:left w:val="nil"/>
              <w:bottom w:val="nil"/>
              <w:right w:val="single" w:color="auto" w:sz="4" w:space="0"/>
            </w:tcBorders>
            <w:noWrap w:val="0"/>
            <w:vAlign w:val="center"/>
          </w:tcPr>
          <w:p>
            <w:pPr>
              <w:keepNext w:val="0"/>
              <w:keepLines w:val="0"/>
              <w:pageBreakBefore w:val="0"/>
              <w:widowControl w:val="0"/>
              <w:tabs>
                <w:tab w:val="center" w:pos="4200"/>
              </w:tabs>
              <w:kinsoku/>
              <w:wordWrap/>
              <w:overflowPunct/>
              <w:topLinePunct w:val="0"/>
              <w:autoSpaceDE/>
              <w:autoSpaceDN/>
              <w:bidi w:val="0"/>
              <w:adjustRightInd w:val="0"/>
              <w:snapToGrid/>
              <w:spacing w:before="89" w:beforeLines="25" w:line="300" w:lineRule="exact"/>
              <w:jc w:val="center"/>
              <w:textAlignment w:val="auto"/>
              <w:rPr>
                <w:rFonts w:hint="eastAsia" w:eastAsia="黑体"/>
                <w:bCs/>
                <w:color w:val="000000"/>
                <w:sz w:val="18"/>
                <w:szCs w:val="18"/>
              </w:rPr>
            </w:pPr>
            <w:r>
              <w:rPr>
                <w:color w:val="000000"/>
                <w:sz w:val="18"/>
                <w:szCs w:val="18"/>
              </w:rPr>
              <w:t>（A）</w:t>
            </w:r>
          </w:p>
        </w:tc>
        <w:tc>
          <w:tcPr>
            <w:tcW w:w="1079" w:type="dxa"/>
            <w:tcBorders>
              <w:top w:val="single" w:color="auto" w:sz="12"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c>
          <w:tcPr>
            <w:tcW w:w="1080"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6" w:type="dxa"/>
            <w:tcBorders>
              <w:top w:val="single" w:color="auto" w:sz="12"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vMerge w:val="continue"/>
            <w:tcBorders>
              <w:top w:val="nil"/>
              <w:left w:val="nil"/>
              <w:bottom w:val="single" w:color="auto" w:sz="4" w:space="0"/>
              <w:right w:val="single" w:color="auto" w:sz="4" w:space="0"/>
            </w:tcBorders>
            <w:noWrap w:val="0"/>
            <w:vAlign w:val="top"/>
          </w:tcPr>
          <w:p>
            <w:pPr>
              <w:keepNext w:val="0"/>
              <w:keepLines w:val="0"/>
              <w:pageBreakBefore w:val="0"/>
              <w:widowControl w:val="0"/>
              <w:tabs>
                <w:tab w:val="center" w:pos="4200"/>
              </w:tabs>
              <w:kinsoku/>
              <w:wordWrap/>
              <w:overflowPunct/>
              <w:topLinePunct w:val="0"/>
              <w:autoSpaceDE/>
              <w:autoSpaceDN/>
              <w:bidi w:val="0"/>
              <w:adjustRightInd w:val="0"/>
              <w:snapToGrid/>
              <w:spacing w:before="89" w:beforeLines="25" w:line="300" w:lineRule="exact"/>
              <w:jc w:val="left"/>
              <w:textAlignment w:val="auto"/>
              <w:rPr>
                <w:rFonts w:hint="eastAsia" w:eastAsia="黑体"/>
                <w:bCs/>
                <w:color w:val="000000"/>
                <w:sz w:val="18"/>
                <w:szCs w:val="18"/>
              </w:rPr>
            </w:pPr>
          </w:p>
        </w:tc>
        <w:tc>
          <w:tcPr>
            <w:tcW w:w="1079" w:type="dxa"/>
            <w:tcBorders>
              <w:top w:val="nil"/>
              <w:left w:val="single" w:color="auto" w:sz="4" w:space="0"/>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1</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2</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3</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4</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（5）</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（6）</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（7）</w:t>
            </w:r>
          </w:p>
        </w:tc>
        <w:tc>
          <w:tcPr>
            <w:tcW w:w="1086"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single" w:color="auto" w:sz="4" w:space="0"/>
              <w:left w:val="nil"/>
              <w:bottom w:val="nil"/>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机器人应用</w:t>
            </w:r>
          </w:p>
        </w:tc>
        <w:tc>
          <w:tcPr>
            <w:tcW w:w="1079" w:type="dxa"/>
            <w:tcBorders>
              <w:top w:val="single" w:color="auto" w:sz="4"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−0.0633</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0.0579</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−0.0368</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−0.2632</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−0.0626</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849</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854</w:t>
            </w:r>
            <w:r>
              <w:rPr>
                <w:color w:val="000000"/>
                <w:sz w:val="18"/>
                <w:szCs w:val="18"/>
                <w:vertAlign w:val="superscript"/>
              </w:rPr>
              <w:t>***</w:t>
            </w:r>
          </w:p>
        </w:tc>
        <w:tc>
          <w:tcPr>
            <w:tcW w:w="1086"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343</w:t>
            </w:r>
            <w:r>
              <w:rPr>
                <w:color w:val="000000"/>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p>
        </w:tc>
        <w:tc>
          <w:tcPr>
            <w:tcW w:w="1079" w:type="dxa"/>
            <w:tcBorders>
              <w:top w:val="nil"/>
              <w:left w:val="single" w:color="auto" w:sz="4" w:space="0"/>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0.0224</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0.0235</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0.0144</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0.1109</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w:t>
            </w:r>
            <w:r>
              <w:rPr>
                <w:rFonts w:hint="eastAsia"/>
                <w:color w:val="000000"/>
                <w:sz w:val="18"/>
                <w:szCs w:val="18"/>
              </w:rPr>
              <w:t>346）</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w:t>
            </w:r>
            <w:r>
              <w:rPr>
                <w:rFonts w:hint="eastAsia"/>
                <w:color w:val="000000"/>
                <w:sz w:val="18"/>
                <w:szCs w:val="18"/>
              </w:rPr>
              <w:t>402）</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w:t>
            </w:r>
            <w:r>
              <w:rPr>
                <w:rFonts w:hint="eastAsia"/>
                <w:color w:val="000000"/>
                <w:sz w:val="18"/>
                <w:szCs w:val="18"/>
              </w:rPr>
              <w:t>52）</w:t>
            </w:r>
          </w:p>
        </w:tc>
        <w:tc>
          <w:tcPr>
            <w:tcW w:w="1086"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0.01</w:t>
            </w:r>
            <w:r>
              <w:rPr>
                <w:rFonts w:hint="eastAsia"/>
                <w:color w:val="000000"/>
                <w:sz w:val="18"/>
                <w:szCs w:val="18"/>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single" w:color="auto" w:sz="4" w:space="0"/>
              <w:left w:val="nil"/>
              <w:bottom w:val="nil"/>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观测值数</w:t>
            </w:r>
          </w:p>
        </w:tc>
        <w:tc>
          <w:tcPr>
            <w:tcW w:w="1079" w:type="dxa"/>
            <w:tcBorders>
              <w:top w:val="single" w:color="auto" w:sz="4"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25474</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27465</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649</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649</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6"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nil"/>
              <w:left w:val="nil"/>
              <w:bottom w:val="doub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R</w:t>
            </w:r>
            <w:r>
              <w:rPr>
                <w:color w:val="000000"/>
                <w:sz w:val="18"/>
                <w:szCs w:val="18"/>
                <w:vertAlign w:val="superscript"/>
              </w:rPr>
              <w:t>2</w:t>
            </w:r>
          </w:p>
        </w:tc>
        <w:tc>
          <w:tcPr>
            <w:tcW w:w="1079" w:type="dxa"/>
            <w:tcBorders>
              <w:top w:val="nil"/>
              <w:left w:val="single" w:color="auto" w:sz="4" w:space="0"/>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0.114</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0.051</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0.041</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0.083</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0.327</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0.251</w:t>
            </w:r>
          </w:p>
        </w:tc>
        <w:tc>
          <w:tcPr>
            <w:tcW w:w="1080"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0.099</w:t>
            </w:r>
          </w:p>
        </w:tc>
        <w:tc>
          <w:tcPr>
            <w:tcW w:w="1086" w:type="dxa"/>
            <w:tcBorders>
              <w:top w:val="nil"/>
              <w:left w:val="nil"/>
              <w:bottom w:val="doub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vMerge w:val="restart"/>
            <w:tcBorders>
              <w:top w:val="double" w:color="auto" w:sz="4" w:space="0"/>
              <w:left w:val="nil"/>
              <w:bottom w:val="nil"/>
              <w:right w:val="single" w:color="auto" w:sz="4" w:space="0"/>
            </w:tcBorders>
            <w:noWrap w:val="0"/>
            <w:vAlign w:val="center"/>
          </w:tcPr>
          <w:p>
            <w:pPr>
              <w:keepNext w:val="0"/>
              <w:keepLines w:val="0"/>
              <w:pageBreakBefore w:val="0"/>
              <w:widowControl w:val="0"/>
              <w:tabs>
                <w:tab w:val="center" w:pos="4200"/>
              </w:tabs>
              <w:kinsoku/>
              <w:wordWrap/>
              <w:overflowPunct/>
              <w:topLinePunct w:val="0"/>
              <w:autoSpaceDE/>
              <w:autoSpaceDN/>
              <w:bidi w:val="0"/>
              <w:adjustRightInd w:val="0"/>
              <w:snapToGrid/>
              <w:spacing w:before="89" w:beforeLines="25" w:line="300" w:lineRule="exact"/>
              <w:jc w:val="center"/>
              <w:textAlignment w:val="auto"/>
              <w:rPr>
                <w:rFonts w:hint="eastAsia" w:eastAsia="黑体"/>
                <w:bCs/>
                <w:color w:val="000000"/>
                <w:sz w:val="18"/>
                <w:szCs w:val="18"/>
              </w:rPr>
            </w:pPr>
            <w:r>
              <w:rPr>
                <w:color w:val="000000"/>
                <w:sz w:val="18"/>
                <w:szCs w:val="18"/>
              </w:rPr>
              <w:t>（B）</w:t>
            </w:r>
          </w:p>
        </w:tc>
        <w:tc>
          <w:tcPr>
            <w:tcW w:w="1079" w:type="dxa"/>
            <w:tcBorders>
              <w:top w:val="double" w:color="auto" w:sz="4"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c>
          <w:tcPr>
            <w:tcW w:w="1080"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身体健康</w:t>
            </w:r>
          </w:p>
        </w:tc>
        <w:tc>
          <w:tcPr>
            <w:tcW w:w="1086" w:type="dxa"/>
            <w:tcBorders>
              <w:top w:val="doub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vMerge w:val="continue"/>
            <w:tcBorders>
              <w:top w:val="nil"/>
              <w:left w:val="nil"/>
              <w:bottom w:val="single" w:color="auto" w:sz="4" w:space="0"/>
              <w:right w:val="single" w:color="auto" w:sz="4" w:space="0"/>
            </w:tcBorders>
            <w:noWrap w:val="0"/>
            <w:vAlign w:val="top"/>
          </w:tcPr>
          <w:p>
            <w:pPr>
              <w:keepNext w:val="0"/>
              <w:keepLines w:val="0"/>
              <w:pageBreakBefore w:val="0"/>
              <w:widowControl w:val="0"/>
              <w:tabs>
                <w:tab w:val="center" w:pos="4200"/>
              </w:tabs>
              <w:kinsoku/>
              <w:wordWrap/>
              <w:overflowPunct/>
              <w:topLinePunct w:val="0"/>
              <w:autoSpaceDE/>
              <w:autoSpaceDN/>
              <w:bidi w:val="0"/>
              <w:adjustRightInd w:val="0"/>
              <w:snapToGrid/>
              <w:spacing w:before="89" w:beforeLines="25" w:line="300" w:lineRule="exact"/>
              <w:jc w:val="left"/>
              <w:textAlignment w:val="auto"/>
              <w:rPr>
                <w:rFonts w:hint="eastAsia" w:eastAsia="黑体"/>
                <w:bCs/>
                <w:color w:val="000000"/>
                <w:sz w:val="18"/>
                <w:szCs w:val="18"/>
              </w:rPr>
            </w:pPr>
          </w:p>
        </w:tc>
        <w:tc>
          <w:tcPr>
            <w:tcW w:w="1079" w:type="dxa"/>
            <w:tcBorders>
              <w:top w:val="nil"/>
              <w:left w:val="single" w:color="auto" w:sz="4" w:space="0"/>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（9）</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（10）</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（11）</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（12）</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（13）</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（14）</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（15）</w:t>
            </w:r>
          </w:p>
        </w:tc>
        <w:tc>
          <w:tcPr>
            <w:tcW w:w="1086"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single" w:color="auto" w:sz="4" w:space="0"/>
              <w:left w:val="nil"/>
              <w:bottom w:val="nil"/>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机器人应用</w:t>
            </w:r>
          </w:p>
        </w:tc>
        <w:tc>
          <w:tcPr>
            <w:tcW w:w="1079" w:type="dxa"/>
            <w:tcBorders>
              <w:top w:val="single" w:color="auto" w:sz="4"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802</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318</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−0.0164</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−0.0063</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−0.06</w:t>
            </w:r>
            <w:r>
              <w:rPr>
                <w:rFonts w:hint="eastAsia"/>
                <w:color w:val="000000"/>
                <w:sz w:val="18"/>
                <w:szCs w:val="18"/>
              </w:rPr>
              <w:t>84</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−0.02</w:t>
            </w:r>
            <w:r>
              <w:rPr>
                <w:rFonts w:hint="eastAsia"/>
                <w:color w:val="000000"/>
                <w:sz w:val="18"/>
                <w:szCs w:val="18"/>
              </w:rPr>
              <w:t>75</w:t>
            </w:r>
            <w:r>
              <w:rPr>
                <w:color w:val="000000"/>
                <w:sz w:val="18"/>
                <w:szCs w:val="18"/>
                <w:vertAlign w:val="superscript"/>
              </w:rPr>
              <w:t>**</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w:t>
            </w:r>
            <w:r>
              <w:rPr>
                <w:rFonts w:hint="eastAsia"/>
                <w:color w:val="000000"/>
                <w:sz w:val="18"/>
                <w:szCs w:val="18"/>
              </w:rPr>
              <w:t>756</w:t>
            </w:r>
            <w:r>
              <w:rPr>
                <w:color w:val="000000"/>
                <w:sz w:val="18"/>
                <w:szCs w:val="18"/>
                <w:vertAlign w:val="superscript"/>
              </w:rPr>
              <w:t>***</w:t>
            </w:r>
          </w:p>
        </w:tc>
        <w:tc>
          <w:tcPr>
            <w:tcW w:w="1086"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−0.02</w:t>
            </w:r>
            <w:r>
              <w:rPr>
                <w:rFonts w:hint="eastAsia"/>
                <w:color w:val="000000"/>
                <w:sz w:val="18"/>
                <w:szCs w:val="18"/>
              </w:rPr>
              <w:t>37</w:t>
            </w:r>
            <w:r>
              <w:rPr>
                <w:color w:val="000000"/>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p>
        </w:tc>
        <w:tc>
          <w:tcPr>
            <w:tcW w:w="1079" w:type="dxa"/>
            <w:tcBorders>
              <w:top w:val="nil"/>
              <w:left w:val="single" w:color="auto" w:sz="4" w:space="0"/>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w:t>
            </w:r>
            <w:r>
              <w:rPr>
                <w:rFonts w:hint="eastAsia"/>
                <w:color w:val="000000"/>
                <w:sz w:val="18"/>
                <w:szCs w:val="18"/>
              </w:rPr>
              <w:t>48）</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0.01</w:t>
            </w:r>
            <w:r>
              <w:rPr>
                <w:rFonts w:hint="eastAsia"/>
                <w:color w:val="000000"/>
                <w:sz w:val="18"/>
                <w:szCs w:val="18"/>
              </w:rPr>
              <w:t>66）</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0.0048</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0.0030</w:t>
            </w:r>
            <w:r>
              <w:rPr>
                <w:rFonts w:hint="eastAsia"/>
                <w:color w:val="000000"/>
                <w:sz w:val="18"/>
                <w:szCs w:val="18"/>
              </w:rPr>
              <w:t>）</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w:t>
            </w:r>
            <w:r>
              <w:rPr>
                <w:rFonts w:hint="eastAsia"/>
                <w:color w:val="000000"/>
                <w:sz w:val="18"/>
                <w:szCs w:val="18"/>
              </w:rPr>
              <w:t>62）</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0.01</w:t>
            </w:r>
            <w:r>
              <w:rPr>
                <w:rFonts w:hint="eastAsia"/>
                <w:color w:val="000000"/>
                <w:sz w:val="18"/>
                <w:szCs w:val="18"/>
              </w:rPr>
              <w:t>29）</w:t>
            </w:r>
          </w:p>
        </w:tc>
        <w:tc>
          <w:tcPr>
            <w:tcW w:w="1080"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0.02</w:t>
            </w:r>
            <w:r>
              <w:rPr>
                <w:rFonts w:hint="eastAsia"/>
                <w:color w:val="000000"/>
                <w:sz w:val="18"/>
                <w:szCs w:val="18"/>
              </w:rPr>
              <w:t>85）</w:t>
            </w:r>
          </w:p>
        </w:tc>
        <w:tc>
          <w:tcPr>
            <w:tcW w:w="1086" w:type="dxa"/>
            <w:tcBorders>
              <w:top w:val="nil"/>
              <w:left w:val="nil"/>
              <w:bottom w:val="single" w:color="auto" w:sz="4"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w:t>
            </w:r>
            <w:r>
              <w:rPr>
                <w:color w:val="000000"/>
                <w:sz w:val="18"/>
                <w:szCs w:val="18"/>
              </w:rPr>
              <w:t>0.0123</w:t>
            </w:r>
            <w:r>
              <w:rPr>
                <w:rFonts w:hint="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single" w:color="auto" w:sz="4" w:space="0"/>
              <w:left w:val="nil"/>
              <w:bottom w:val="nil"/>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观测值数</w:t>
            </w:r>
          </w:p>
        </w:tc>
        <w:tc>
          <w:tcPr>
            <w:tcW w:w="1079" w:type="dxa"/>
            <w:tcBorders>
              <w:top w:val="single" w:color="auto" w:sz="4" w:space="0"/>
              <w:left w:val="single" w:color="auto" w:sz="4" w:space="0"/>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29303</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22316</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22316</w:t>
            </w:r>
          </w:p>
        </w:tc>
        <w:tc>
          <w:tcPr>
            <w:tcW w:w="1080"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21695</w:t>
            </w:r>
          </w:p>
        </w:tc>
        <w:tc>
          <w:tcPr>
            <w:tcW w:w="1086" w:type="dxa"/>
            <w:tcBorders>
              <w:top w:val="single" w:color="auto" w:sz="4" w:space="0"/>
              <w:left w:val="nil"/>
              <w:bottom w:val="nil"/>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21695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373" w:type="dxa"/>
            <w:tcBorders>
              <w:top w:val="nil"/>
              <w:left w:val="nil"/>
              <w:bottom w:val="single" w:color="auto" w:sz="12" w:space="0"/>
              <w:right w:val="single" w:color="auto" w:sz="4" w:space="0"/>
            </w:tcBorders>
            <w:noWrap w:val="0"/>
            <w:vAlign w:val="top"/>
          </w:tcPr>
          <w:p>
            <w:pPr>
              <w:keepNext w:val="0"/>
              <w:keepLines w:val="0"/>
              <w:pageBreakBefore w:val="0"/>
              <w:widowControl w:val="0"/>
              <w:kinsoku/>
              <w:wordWrap/>
              <w:overflowPunct/>
              <w:topLinePunct w:val="0"/>
              <w:autoSpaceDE/>
              <w:autoSpaceDN/>
              <w:bidi w:val="0"/>
              <w:snapToGrid/>
              <w:spacing w:line="300" w:lineRule="exact"/>
              <w:jc w:val="left"/>
              <w:textAlignment w:val="auto"/>
              <w:rPr>
                <w:rFonts w:hint="eastAsia" w:eastAsia="黑体"/>
                <w:bCs/>
                <w:color w:val="000000"/>
                <w:sz w:val="18"/>
                <w:szCs w:val="18"/>
              </w:rPr>
            </w:pPr>
            <w:r>
              <w:rPr>
                <w:color w:val="000000"/>
                <w:sz w:val="18"/>
                <w:szCs w:val="18"/>
              </w:rPr>
              <w:t>R</w:t>
            </w:r>
            <w:r>
              <w:rPr>
                <w:color w:val="000000"/>
                <w:sz w:val="18"/>
                <w:szCs w:val="18"/>
                <w:vertAlign w:val="superscript"/>
              </w:rPr>
              <w:t>2</w:t>
            </w:r>
          </w:p>
        </w:tc>
        <w:tc>
          <w:tcPr>
            <w:tcW w:w="1079" w:type="dxa"/>
            <w:tcBorders>
              <w:top w:val="nil"/>
              <w:left w:val="single" w:color="auto" w:sz="4" w:space="0"/>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0.099</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rFonts w:hint="eastAsia"/>
                <w:color w:val="000000"/>
                <w:sz w:val="18"/>
                <w:szCs w:val="18"/>
              </w:rPr>
              <w:t>0.078</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0.103</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0.082</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w:t>
            </w:r>
            <w:r>
              <w:rPr>
                <w:rFonts w:hint="eastAsia"/>
                <w:color w:val="000000"/>
                <w:sz w:val="18"/>
                <w:szCs w:val="18"/>
              </w:rPr>
              <w:t>096</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0.078</w:t>
            </w:r>
          </w:p>
        </w:tc>
        <w:tc>
          <w:tcPr>
            <w:tcW w:w="1080"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0.09</w:t>
            </w:r>
            <w:r>
              <w:rPr>
                <w:rFonts w:hint="eastAsia"/>
                <w:color w:val="000000"/>
                <w:sz w:val="18"/>
                <w:szCs w:val="18"/>
              </w:rPr>
              <w:t>6</w:t>
            </w:r>
          </w:p>
        </w:tc>
        <w:tc>
          <w:tcPr>
            <w:tcW w:w="1086" w:type="dxa"/>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snapToGrid/>
              <w:spacing w:line="300" w:lineRule="exact"/>
              <w:jc w:val="center"/>
              <w:textAlignment w:val="auto"/>
              <w:rPr>
                <w:rFonts w:hint="eastAsia" w:eastAsia="黑体"/>
                <w:bCs/>
                <w:color w:val="000000"/>
                <w:sz w:val="18"/>
                <w:szCs w:val="18"/>
              </w:rPr>
            </w:pPr>
            <w:r>
              <w:rPr>
                <w:color w:val="000000"/>
                <w:sz w:val="18"/>
                <w:szCs w:val="18"/>
              </w:rPr>
              <w:t>0.080</w:t>
            </w:r>
          </w:p>
        </w:tc>
      </w:tr>
    </w:tbl>
    <w:p>
      <w:pPr>
        <w:spacing w:before="178" w:beforeLines="50"/>
        <w:ind w:firstLine="392" w:firstLineChars="200"/>
        <w:rPr>
          <w:rFonts w:hint="eastAsia" w:eastAsia="楷体"/>
          <w:b w:val="0"/>
          <w:bCs w:val="0"/>
          <w:color w:val="000000"/>
          <w:sz w:val="21"/>
          <w:szCs w:val="18"/>
          <w:lang w:eastAsia="zh-CN"/>
        </w:rPr>
      </w:pPr>
      <w:r>
        <w:rPr>
          <w:rFonts w:hint="eastAsia" w:eastAsia="楷体"/>
          <w:b w:val="0"/>
          <w:bCs w:val="0"/>
          <w:color w:val="000000"/>
          <w:sz w:val="21"/>
          <w:szCs w:val="21"/>
          <w:lang w:val="en-US" w:eastAsia="zh-CN"/>
        </w:rPr>
        <w:t>2.</w:t>
      </w:r>
      <w:r>
        <w:rPr>
          <w:rFonts w:hint="eastAsia" w:eastAsia="楷体"/>
          <w:b w:val="0"/>
          <w:bCs w:val="0"/>
          <w:color w:val="000000"/>
          <w:sz w:val="21"/>
          <w:szCs w:val="21"/>
        </w:rPr>
        <w:t>更换计量模型、考虑机器人应用的城市-行业特征、控制多维固定效应和排除其他事件干扰的稳健性检验结果</w:t>
      </w:r>
      <w:r>
        <w:rPr>
          <w:rFonts w:hint="eastAsia" w:eastAsia="楷体"/>
          <w:b w:val="0"/>
          <w:bCs w:val="0"/>
          <w:color w:val="000000"/>
          <w:sz w:val="21"/>
          <w:szCs w:val="21"/>
          <w:lang w:eastAsia="zh-CN"/>
        </w:rPr>
        <w:t>。</w:t>
      </w:r>
    </w:p>
    <w:p>
      <w:pPr>
        <w:tabs>
          <w:tab w:val="center" w:pos="4200"/>
        </w:tabs>
        <w:spacing w:before="89" w:beforeLines="25" w:line="240" w:lineRule="atLeast"/>
        <w:ind w:firstLine="332" w:firstLineChars="200"/>
        <w:jc w:val="left"/>
        <w:rPr>
          <w:rFonts w:eastAsia="黑体"/>
          <w:bCs/>
          <w:color w:val="000000"/>
          <w:sz w:val="18"/>
          <w:szCs w:val="18"/>
        </w:rPr>
      </w:pPr>
      <w:r>
        <w:rPr>
          <w:rFonts w:hint="eastAsia" w:eastAsia="黑体"/>
          <w:bCs/>
          <w:color w:val="000000"/>
          <w:sz w:val="18"/>
          <w:szCs w:val="18"/>
        </w:rPr>
        <w:t>附表2</w:t>
      </w:r>
      <w:r>
        <w:rPr>
          <w:rFonts w:eastAsia="黑体"/>
          <w:bCs/>
          <w:color w:val="000000"/>
          <w:sz w:val="18"/>
          <w:szCs w:val="18"/>
        </w:rPr>
        <w:t xml:space="preserve"> </w:t>
      </w:r>
      <w:r>
        <w:rPr>
          <w:rFonts w:hint="eastAsia" w:eastAsia="黑体"/>
          <w:bCs/>
          <w:color w:val="000000"/>
          <w:sz w:val="18"/>
          <w:szCs w:val="18"/>
        </w:rPr>
        <w:t xml:space="preserve"> </w:t>
      </w:r>
      <w:r>
        <w:rPr>
          <w:rFonts w:hint="eastAsia" w:eastAsia="黑体"/>
          <w:bCs/>
          <w:color w:val="000000"/>
          <w:sz w:val="18"/>
          <w:szCs w:val="18"/>
        </w:rPr>
        <w:tab/>
      </w:r>
      <w:r>
        <w:rPr>
          <w:rFonts w:hint="eastAsia" w:eastAsia="黑体"/>
          <w:bCs/>
          <w:color w:val="000000"/>
          <w:sz w:val="18"/>
          <w:szCs w:val="18"/>
        </w:rPr>
        <w:t>其他稳健性检验</w:t>
      </w:r>
    </w:p>
    <w:tbl>
      <w:tblPr>
        <w:tblStyle w:val="33"/>
        <w:tblW w:w="9375" w:type="dxa"/>
        <w:jc w:val="center"/>
        <w:tblInd w:w="0" w:type="dxa"/>
        <w:tblLayout w:type="fixed"/>
        <w:tblCellMar>
          <w:top w:w="0" w:type="dxa"/>
          <w:left w:w="108" w:type="dxa"/>
          <w:bottom w:w="0" w:type="dxa"/>
          <w:right w:w="108" w:type="dxa"/>
        </w:tblCellMar>
      </w:tblPr>
      <w:tblGrid>
        <w:gridCol w:w="1203"/>
        <w:gridCol w:w="1022"/>
        <w:gridCol w:w="323"/>
        <w:gridCol w:w="699"/>
        <w:gridCol w:w="642"/>
        <w:gridCol w:w="381"/>
        <w:gridCol w:w="960"/>
        <w:gridCol w:w="62"/>
        <w:gridCol w:w="1022"/>
        <w:gridCol w:w="276"/>
        <w:gridCol w:w="747"/>
        <w:gridCol w:w="640"/>
        <w:gridCol w:w="383"/>
        <w:gridCol w:w="1015"/>
      </w:tblGrid>
      <w:tr>
        <w:tblPrEx>
          <w:tblLayout w:type="fixed"/>
        </w:tblPrEx>
        <w:trPr>
          <w:trHeight w:val="317" w:hRule="atLeast"/>
          <w:jc w:val="center"/>
        </w:trPr>
        <w:tc>
          <w:tcPr>
            <w:tcW w:w="1203" w:type="dxa"/>
            <w:vMerge w:val="restart"/>
            <w:tcBorders>
              <w:top w:val="single" w:color="000000" w:sz="12" w:space="0"/>
              <w:left w:val="nil"/>
              <w:bottom w:val="nil"/>
              <w:right w:val="single" w:color="000000" w:sz="4" w:space="0"/>
            </w:tcBorders>
            <w:noWrap w:val="0"/>
            <w:vAlign w:val="center"/>
          </w:tcPr>
          <w:p>
            <w:pPr>
              <w:spacing w:line="300" w:lineRule="exact"/>
              <w:jc w:val="center"/>
              <w:rPr>
                <w:color w:val="000000"/>
                <w:sz w:val="18"/>
                <w:szCs w:val="18"/>
              </w:rPr>
            </w:pPr>
            <w:r>
              <w:rPr>
                <w:color w:val="000000"/>
                <w:sz w:val="18"/>
                <w:szCs w:val="18"/>
              </w:rPr>
              <w:t>（A）</w:t>
            </w:r>
          </w:p>
        </w:tc>
        <w:tc>
          <w:tcPr>
            <w:tcW w:w="1022" w:type="dxa"/>
            <w:tcBorders>
              <w:top w:val="single" w:color="000000" w:sz="12" w:space="0"/>
              <w:left w:val="single" w:color="000000" w:sz="4" w:space="0"/>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022" w:type="dxa"/>
            <w:gridSpan w:val="2"/>
            <w:tcBorders>
              <w:top w:val="single" w:color="000000" w:sz="12" w:space="0"/>
              <w:left w:val="nil"/>
              <w:bottom w:val="nil"/>
              <w:right w:val="nil"/>
            </w:tcBorders>
            <w:noWrap w:val="0"/>
            <w:vAlign w:val="top"/>
          </w:tcPr>
          <w:p>
            <w:pPr>
              <w:spacing w:line="300" w:lineRule="exact"/>
              <w:jc w:val="center"/>
              <w:rPr>
                <w:color w:val="000000"/>
                <w:sz w:val="18"/>
                <w:szCs w:val="18"/>
              </w:rPr>
            </w:pPr>
            <w:r>
              <w:rPr>
                <w:rFonts w:hint="eastAsia"/>
                <w:color w:val="000000"/>
                <w:sz w:val="18"/>
                <w:szCs w:val="18"/>
                <w:lang w:val="en-US" w:eastAsia="zh-CN"/>
              </w:rPr>
              <w:t>身体</w:t>
            </w:r>
            <w:r>
              <w:rPr>
                <w:color w:val="000000"/>
                <w:sz w:val="18"/>
                <w:szCs w:val="18"/>
              </w:rPr>
              <w:t>健康</w:t>
            </w:r>
          </w:p>
        </w:tc>
        <w:tc>
          <w:tcPr>
            <w:tcW w:w="1023" w:type="dxa"/>
            <w:gridSpan w:val="2"/>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022" w:type="dxa"/>
            <w:gridSpan w:val="2"/>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c>
          <w:tcPr>
            <w:tcW w:w="1022" w:type="dxa"/>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023" w:type="dxa"/>
            <w:gridSpan w:val="2"/>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c>
          <w:tcPr>
            <w:tcW w:w="1023" w:type="dxa"/>
            <w:gridSpan w:val="2"/>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015" w:type="dxa"/>
            <w:tcBorders>
              <w:top w:val="single" w:color="000000"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r>
      <w:tr>
        <w:tblPrEx>
          <w:tblLayout w:type="fixed"/>
          <w:tblCellMar>
            <w:top w:w="0" w:type="dxa"/>
            <w:left w:w="108" w:type="dxa"/>
            <w:bottom w:w="0" w:type="dxa"/>
            <w:right w:w="108" w:type="dxa"/>
          </w:tblCellMar>
        </w:tblPrEx>
        <w:trPr>
          <w:trHeight w:val="317" w:hRule="atLeast"/>
          <w:jc w:val="center"/>
        </w:trPr>
        <w:tc>
          <w:tcPr>
            <w:tcW w:w="1203" w:type="dxa"/>
            <w:vMerge w:val="continue"/>
            <w:tcBorders>
              <w:top w:val="nil"/>
              <w:left w:val="nil"/>
              <w:bottom w:val="single" w:color="000000" w:sz="4" w:space="0"/>
              <w:right w:val="single" w:color="000000" w:sz="4" w:space="0"/>
            </w:tcBorders>
            <w:noWrap w:val="0"/>
            <w:vAlign w:val="top"/>
          </w:tcPr>
          <w:p>
            <w:pPr>
              <w:spacing w:line="300" w:lineRule="exact"/>
              <w:jc w:val="center"/>
              <w:rPr>
                <w:color w:val="000000"/>
                <w:sz w:val="18"/>
                <w:szCs w:val="18"/>
              </w:rPr>
            </w:pPr>
          </w:p>
        </w:tc>
        <w:tc>
          <w:tcPr>
            <w:tcW w:w="1022" w:type="dxa"/>
            <w:tcBorders>
              <w:top w:val="nil"/>
              <w:left w:val="single" w:color="000000" w:sz="4" w:space="0"/>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（1）</w:t>
            </w:r>
          </w:p>
        </w:tc>
        <w:tc>
          <w:tcPr>
            <w:tcW w:w="1022" w:type="dxa"/>
            <w:gridSpan w:val="2"/>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（2）</w:t>
            </w:r>
          </w:p>
        </w:tc>
        <w:tc>
          <w:tcPr>
            <w:tcW w:w="1023" w:type="dxa"/>
            <w:gridSpan w:val="2"/>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（3）</w:t>
            </w:r>
          </w:p>
        </w:tc>
        <w:tc>
          <w:tcPr>
            <w:tcW w:w="1022" w:type="dxa"/>
            <w:gridSpan w:val="2"/>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（4）</w:t>
            </w:r>
          </w:p>
        </w:tc>
        <w:tc>
          <w:tcPr>
            <w:tcW w:w="1022" w:type="dxa"/>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（5）</w:t>
            </w:r>
          </w:p>
        </w:tc>
        <w:tc>
          <w:tcPr>
            <w:tcW w:w="1023" w:type="dxa"/>
            <w:gridSpan w:val="2"/>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（6）</w:t>
            </w:r>
          </w:p>
        </w:tc>
        <w:tc>
          <w:tcPr>
            <w:tcW w:w="1023" w:type="dxa"/>
            <w:gridSpan w:val="2"/>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（7）</w:t>
            </w:r>
          </w:p>
        </w:tc>
        <w:tc>
          <w:tcPr>
            <w:tcW w:w="1015" w:type="dxa"/>
            <w:tcBorders>
              <w:top w:val="nil"/>
              <w:left w:val="nil"/>
              <w:bottom w:val="single" w:color="000000" w:sz="4"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（8）</w:t>
            </w:r>
          </w:p>
        </w:tc>
      </w:tr>
      <w:tr>
        <w:tblPrEx>
          <w:tblLayout w:type="fixed"/>
          <w:tblCellMar>
            <w:top w:w="0" w:type="dxa"/>
            <w:left w:w="108" w:type="dxa"/>
            <w:bottom w:w="0" w:type="dxa"/>
            <w:right w:w="108" w:type="dxa"/>
          </w:tblCellMar>
        </w:tblPrEx>
        <w:trPr>
          <w:trHeight w:val="317" w:hRule="atLeast"/>
          <w:jc w:val="center"/>
        </w:trPr>
        <w:tc>
          <w:tcPr>
            <w:tcW w:w="1203" w:type="dxa"/>
            <w:tcBorders>
              <w:top w:val="single" w:color="000000" w:sz="4" w:space="0"/>
              <w:left w:val="nil"/>
              <w:bottom w:val="nil"/>
              <w:right w:val="single" w:color="000000" w:sz="4" w:space="0"/>
            </w:tcBorders>
            <w:noWrap w:val="0"/>
            <w:vAlign w:val="top"/>
          </w:tcPr>
          <w:p>
            <w:pPr>
              <w:spacing w:line="300" w:lineRule="exact"/>
              <w:jc w:val="left"/>
              <w:rPr>
                <w:color w:val="000000"/>
                <w:sz w:val="18"/>
                <w:szCs w:val="18"/>
              </w:rPr>
            </w:pPr>
            <w:r>
              <w:rPr>
                <w:color w:val="000000"/>
                <w:sz w:val="18"/>
                <w:szCs w:val="18"/>
              </w:rPr>
              <w:t>机器人应用</w:t>
            </w:r>
          </w:p>
        </w:tc>
        <w:tc>
          <w:tcPr>
            <w:tcW w:w="1022" w:type="dxa"/>
            <w:tcBorders>
              <w:top w:val="single" w:color="000000" w:sz="4" w:space="0"/>
              <w:left w:val="single" w:color="000000" w:sz="4" w:space="0"/>
              <w:bottom w:val="nil"/>
              <w:right w:val="nil"/>
            </w:tcBorders>
            <w:noWrap w:val="0"/>
            <w:vAlign w:val="top"/>
          </w:tcPr>
          <w:p>
            <w:pPr>
              <w:spacing w:line="300" w:lineRule="exact"/>
              <w:jc w:val="center"/>
              <w:rPr>
                <w:color w:val="000000"/>
                <w:sz w:val="18"/>
                <w:szCs w:val="18"/>
              </w:rPr>
            </w:pPr>
            <w:r>
              <w:rPr>
                <w:color w:val="000000"/>
                <w:sz w:val="18"/>
                <w:szCs w:val="18"/>
              </w:rPr>
              <w:t>−0.6527</w:t>
            </w:r>
            <w:r>
              <w:rPr>
                <w:color w:val="000000"/>
                <w:sz w:val="18"/>
                <w:szCs w:val="18"/>
                <w:vertAlign w:val="superscript"/>
              </w:rPr>
              <w:t>***</w:t>
            </w:r>
          </w:p>
        </w:tc>
        <w:tc>
          <w:tcPr>
            <w:tcW w:w="1022"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w:t>
            </w:r>
            <w:r>
              <w:rPr>
                <w:rFonts w:hint="eastAsia"/>
                <w:color w:val="000000"/>
                <w:sz w:val="18"/>
                <w:szCs w:val="18"/>
              </w:rPr>
              <w:t>3551</w:t>
            </w:r>
            <w:r>
              <w:rPr>
                <w:rFonts w:hint="eastAsia"/>
                <w:color w:val="000000"/>
                <w:sz w:val="18"/>
                <w:szCs w:val="18"/>
                <w:vertAlign w:val="superscript"/>
              </w:rPr>
              <w:t>*</w:t>
            </w:r>
            <w:r>
              <w:rPr>
                <w:color w:val="000000"/>
                <w:sz w:val="18"/>
                <w:szCs w:val="18"/>
                <w:vertAlign w:val="superscript"/>
              </w:rPr>
              <w:t>**</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−0.0806</w:t>
            </w:r>
            <w:r>
              <w:rPr>
                <w:color w:val="000000"/>
                <w:sz w:val="18"/>
                <w:szCs w:val="18"/>
                <w:vertAlign w:val="superscript"/>
              </w:rPr>
              <w:t>***</w:t>
            </w:r>
          </w:p>
        </w:tc>
        <w:tc>
          <w:tcPr>
            <w:tcW w:w="1022"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−0.0340</w:t>
            </w:r>
            <w:r>
              <w:rPr>
                <w:color w:val="000000"/>
                <w:sz w:val="18"/>
                <w:szCs w:val="18"/>
                <w:vertAlign w:val="superscript"/>
              </w:rPr>
              <w:t>***</w:t>
            </w:r>
          </w:p>
        </w:tc>
        <w:tc>
          <w:tcPr>
            <w:tcW w:w="1022" w:type="dxa"/>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−0.1942</w:t>
            </w:r>
            <w:r>
              <w:rPr>
                <w:color w:val="000000"/>
                <w:sz w:val="18"/>
                <w:szCs w:val="18"/>
                <w:vertAlign w:val="superscript"/>
              </w:rPr>
              <w:t>***</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−0.0787</w:t>
            </w:r>
            <w:r>
              <w:rPr>
                <w:color w:val="000000"/>
                <w:sz w:val="18"/>
                <w:szCs w:val="18"/>
                <w:vertAlign w:val="superscript"/>
              </w:rPr>
              <w:t>**</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−0.0606</w:t>
            </w:r>
            <w:r>
              <w:rPr>
                <w:color w:val="000000"/>
                <w:sz w:val="18"/>
                <w:szCs w:val="18"/>
                <w:vertAlign w:val="superscript"/>
              </w:rPr>
              <w:t>***</w:t>
            </w:r>
          </w:p>
        </w:tc>
        <w:tc>
          <w:tcPr>
            <w:tcW w:w="1015" w:type="dxa"/>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−0.0222</w:t>
            </w:r>
            <w:r>
              <w:rPr>
                <w:color w:val="000000"/>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000000" w:sz="4" w:space="0"/>
            </w:tcBorders>
            <w:noWrap w:val="0"/>
            <w:vAlign w:val="top"/>
          </w:tcPr>
          <w:p>
            <w:pPr>
              <w:spacing w:line="300" w:lineRule="exact"/>
              <w:jc w:val="left"/>
              <w:rPr>
                <w:color w:val="000000"/>
                <w:sz w:val="18"/>
                <w:szCs w:val="18"/>
              </w:rPr>
            </w:pPr>
          </w:p>
        </w:tc>
        <w:tc>
          <w:tcPr>
            <w:tcW w:w="1022" w:type="dxa"/>
            <w:tcBorders>
              <w:top w:val="nil"/>
              <w:left w:val="single" w:color="000000" w:sz="4" w:space="0"/>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0.1664</w:t>
            </w:r>
            <w:r>
              <w:rPr>
                <w:rFonts w:hint="eastAsia"/>
                <w:color w:val="000000"/>
                <w:sz w:val="18"/>
                <w:szCs w:val="18"/>
              </w:rPr>
              <w:t>）</w:t>
            </w:r>
          </w:p>
        </w:tc>
        <w:tc>
          <w:tcPr>
            <w:tcW w:w="1022"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w:t>
            </w:r>
            <w:r>
              <w:rPr>
                <w:rFonts w:hint="eastAsia"/>
                <w:color w:val="000000"/>
                <w:sz w:val="18"/>
                <w:szCs w:val="18"/>
              </w:rPr>
              <w:t>966）</w:t>
            </w:r>
          </w:p>
        </w:tc>
        <w:tc>
          <w:tcPr>
            <w:tcW w:w="1023"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0.0239</w:t>
            </w:r>
            <w:r>
              <w:rPr>
                <w:rFonts w:hint="eastAsia"/>
                <w:color w:val="000000"/>
                <w:sz w:val="18"/>
                <w:szCs w:val="18"/>
              </w:rPr>
              <w:t>）</w:t>
            </w:r>
          </w:p>
        </w:tc>
        <w:tc>
          <w:tcPr>
            <w:tcW w:w="1022"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0.0106</w:t>
            </w:r>
            <w:r>
              <w:rPr>
                <w:rFonts w:hint="eastAsia"/>
                <w:color w:val="000000"/>
                <w:sz w:val="18"/>
                <w:szCs w:val="18"/>
              </w:rPr>
              <w:t>）</w:t>
            </w:r>
          </w:p>
        </w:tc>
        <w:tc>
          <w:tcPr>
            <w:tcW w:w="1022" w:type="dxa"/>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0.0639</w:t>
            </w:r>
            <w:r>
              <w:rPr>
                <w:rFonts w:hint="eastAsia"/>
                <w:color w:val="000000"/>
                <w:sz w:val="18"/>
                <w:szCs w:val="18"/>
              </w:rPr>
              <w:t>）</w:t>
            </w:r>
          </w:p>
        </w:tc>
        <w:tc>
          <w:tcPr>
            <w:tcW w:w="1023"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0.0308</w:t>
            </w:r>
            <w:r>
              <w:rPr>
                <w:rFonts w:hint="eastAsia"/>
                <w:color w:val="000000"/>
                <w:sz w:val="18"/>
                <w:szCs w:val="18"/>
              </w:rPr>
              <w:t>）</w:t>
            </w:r>
          </w:p>
        </w:tc>
        <w:tc>
          <w:tcPr>
            <w:tcW w:w="1023"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0.0219</w:t>
            </w:r>
            <w:r>
              <w:rPr>
                <w:rFonts w:hint="eastAsia"/>
                <w:color w:val="000000"/>
                <w:sz w:val="18"/>
                <w:szCs w:val="18"/>
              </w:rPr>
              <w:t>）</w:t>
            </w:r>
          </w:p>
        </w:tc>
        <w:tc>
          <w:tcPr>
            <w:tcW w:w="1015" w:type="dxa"/>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0.0113</w:t>
            </w:r>
            <w:r>
              <w:rPr>
                <w:rFonts w:hint="eastAsia"/>
                <w:color w:val="000000"/>
                <w:sz w:val="18"/>
                <w:szCs w:val="18"/>
              </w:rPr>
              <w:t>）</w:t>
            </w: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single" w:color="000000" w:sz="4" w:space="0"/>
              <w:right w:val="single" w:color="000000" w:sz="4" w:space="0"/>
            </w:tcBorders>
            <w:noWrap w:val="0"/>
            <w:vAlign w:val="top"/>
          </w:tcPr>
          <w:p>
            <w:pPr>
              <w:spacing w:line="300" w:lineRule="exact"/>
              <w:jc w:val="left"/>
              <w:rPr>
                <w:color w:val="000000"/>
                <w:sz w:val="18"/>
                <w:szCs w:val="18"/>
              </w:rPr>
            </w:pPr>
            <w:r>
              <w:rPr>
                <w:color w:val="000000"/>
                <w:sz w:val="18"/>
                <w:szCs w:val="18"/>
              </w:rPr>
              <w:t>行业固定效应</w:t>
            </w:r>
          </w:p>
        </w:tc>
        <w:tc>
          <w:tcPr>
            <w:tcW w:w="1022" w:type="dxa"/>
            <w:tcBorders>
              <w:top w:val="nil"/>
              <w:left w:val="single" w:color="000000" w:sz="4" w:space="0"/>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2" w:type="dxa"/>
            <w:gridSpan w:val="2"/>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3" w:type="dxa"/>
            <w:gridSpan w:val="2"/>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2" w:type="dxa"/>
            <w:gridSpan w:val="2"/>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2" w:type="dxa"/>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3" w:type="dxa"/>
            <w:gridSpan w:val="2"/>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未控制</w:t>
            </w:r>
          </w:p>
        </w:tc>
        <w:tc>
          <w:tcPr>
            <w:tcW w:w="1023" w:type="dxa"/>
            <w:gridSpan w:val="2"/>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已控制</w:t>
            </w:r>
          </w:p>
        </w:tc>
        <w:tc>
          <w:tcPr>
            <w:tcW w:w="1015" w:type="dxa"/>
            <w:tcBorders>
              <w:top w:val="nil"/>
              <w:left w:val="nil"/>
              <w:bottom w:val="single" w:color="000000" w:sz="4" w:space="0"/>
              <w:right w:val="nil"/>
            </w:tcBorders>
            <w:noWrap w:val="0"/>
            <w:vAlign w:val="center"/>
          </w:tcPr>
          <w:p>
            <w:pPr>
              <w:spacing w:line="300" w:lineRule="exact"/>
              <w:jc w:val="center"/>
              <w:rPr>
                <w:color w:val="000000"/>
                <w:kern w:val="0"/>
                <w:sz w:val="18"/>
                <w:szCs w:val="21"/>
              </w:rPr>
            </w:pPr>
            <w:r>
              <w:rPr>
                <w:color w:val="000000"/>
                <w:kern w:val="0"/>
                <w:sz w:val="18"/>
                <w:szCs w:val="21"/>
              </w:rPr>
              <w:t>已控制</w:t>
            </w:r>
          </w:p>
        </w:tc>
      </w:tr>
      <w:tr>
        <w:tblPrEx>
          <w:tblLayout w:type="fixed"/>
          <w:tblCellMar>
            <w:top w:w="0" w:type="dxa"/>
            <w:left w:w="108" w:type="dxa"/>
            <w:bottom w:w="0" w:type="dxa"/>
            <w:right w:w="108" w:type="dxa"/>
          </w:tblCellMar>
        </w:tblPrEx>
        <w:trPr>
          <w:trHeight w:val="317" w:hRule="atLeast"/>
          <w:jc w:val="center"/>
        </w:trPr>
        <w:tc>
          <w:tcPr>
            <w:tcW w:w="1203" w:type="dxa"/>
            <w:tcBorders>
              <w:top w:val="single" w:color="000000" w:sz="4" w:space="0"/>
              <w:left w:val="nil"/>
              <w:bottom w:val="nil"/>
              <w:right w:val="single" w:color="000000" w:sz="4" w:space="0"/>
            </w:tcBorders>
            <w:noWrap w:val="0"/>
            <w:vAlign w:val="top"/>
          </w:tcPr>
          <w:p>
            <w:pPr>
              <w:spacing w:line="300" w:lineRule="exact"/>
              <w:jc w:val="left"/>
              <w:rPr>
                <w:color w:val="000000"/>
                <w:sz w:val="18"/>
                <w:szCs w:val="18"/>
              </w:rPr>
            </w:pPr>
            <w:r>
              <w:rPr>
                <w:color w:val="000000"/>
                <w:sz w:val="18"/>
                <w:szCs w:val="18"/>
              </w:rPr>
              <w:t>观测值数</w:t>
            </w:r>
          </w:p>
        </w:tc>
        <w:tc>
          <w:tcPr>
            <w:tcW w:w="1022" w:type="dxa"/>
            <w:tcBorders>
              <w:top w:val="single" w:color="000000" w:sz="4" w:space="0"/>
              <w:left w:val="single" w:color="000000" w:sz="4" w:space="0"/>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022"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rFonts w:hint="eastAsia"/>
                <w:color w:val="000000"/>
                <w:sz w:val="18"/>
                <w:szCs w:val="18"/>
              </w:rPr>
              <w:t>29303</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022"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022" w:type="dxa"/>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023" w:type="dxa"/>
            <w:gridSpan w:val="2"/>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20985</w:t>
            </w:r>
          </w:p>
        </w:tc>
        <w:tc>
          <w:tcPr>
            <w:tcW w:w="1015" w:type="dxa"/>
            <w:tcBorders>
              <w:top w:val="single" w:color="000000" w:sz="4" w:space="0"/>
              <w:left w:val="nil"/>
              <w:bottom w:val="nil"/>
              <w:right w:val="nil"/>
            </w:tcBorders>
            <w:noWrap w:val="0"/>
            <w:vAlign w:val="top"/>
          </w:tcPr>
          <w:p>
            <w:pPr>
              <w:spacing w:line="300" w:lineRule="exact"/>
              <w:jc w:val="center"/>
              <w:rPr>
                <w:color w:val="000000"/>
                <w:sz w:val="18"/>
                <w:szCs w:val="18"/>
              </w:rPr>
            </w:pPr>
            <w:r>
              <w:rPr>
                <w:color w:val="000000"/>
                <w:sz w:val="18"/>
                <w:szCs w:val="18"/>
              </w:rPr>
              <w:t>20985</w:t>
            </w:r>
          </w:p>
        </w:tc>
      </w:tr>
      <w:tr>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03" w:type="dxa"/>
            <w:tcBorders>
              <w:top w:val="nil"/>
              <w:left w:val="nil"/>
              <w:bottom w:val="single" w:color="auto" w:sz="12" w:space="0"/>
              <w:right w:val="single" w:color="000000" w:sz="4" w:space="0"/>
            </w:tcBorders>
            <w:noWrap w:val="0"/>
            <w:vAlign w:val="top"/>
          </w:tcPr>
          <w:p>
            <w:pPr>
              <w:spacing w:line="300" w:lineRule="exact"/>
              <w:jc w:val="left"/>
              <w:rPr>
                <w:color w:val="000000"/>
                <w:sz w:val="18"/>
                <w:szCs w:val="18"/>
              </w:rPr>
            </w:pPr>
            <w:r>
              <w:rPr>
                <w:color w:val="000000"/>
                <w:sz w:val="18"/>
                <w:szCs w:val="18"/>
              </w:rPr>
              <w:t>R</w:t>
            </w:r>
            <w:r>
              <w:rPr>
                <w:color w:val="000000"/>
                <w:sz w:val="18"/>
                <w:szCs w:val="18"/>
                <w:vertAlign w:val="superscript"/>
              </w:rPr>
              <w:t>2</w:t>
            </w:r>
          </w:p>
        </w:tc>
        <w:tc>
          <w:tcPr>
            <w:tcW w:w="1022" w:type="dxa"/>
            <w:tcBorders>
              <w:top w:val="nil"/>
              <w:left w:val="single" w:color="000000" w:sz="4" w:space="0"/>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0.11</w:t>
            </w:r>
            <w:r>
              <w:rPr>
                <w:rFonts w:hint="eastAsia"/>
                <w:color w:val="000000"/>
                <w:sz w:val="18"/>
                <w:szCs w:val="18"/>
              </w:rPr>
              <w:t>1</w:t>
            </w:r>
          </w:p>
        </w:tc>
        <w:tc>
          <w:tcPr>
            <w:tcW w:w="1022" w:type="dxa"/>
            <w:gridSpan w:val="2"/>
            <w:tcBorders>
              <w:top w:val="nil"/>
              <w:left w:val="nil"/>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w:t>
            </w:r>
            <w:r>
              <w:rPr>
                <w:rFonts w:hint="eastAsia"/>
                <w:color w:val="000000"/>
                <w:sz w:val="18"/>
                <w:szCs w:val="18"/>
              </w:rPr>
              <w:t>111</w:t>
            </w:r>
          </w:p>
        </w:tc>
        <w:tc>
          <w:tcPr>
            <w:tcW w:w="1023" w:type="dxa"/>
            <w:gridSpan w:val="2"/>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0.10</w:t>
            </w:r>
            <w:r>
              <w:rPr>
                <w:rFonts w:hint="eastAsia"/>
                <w:color w:val="000000"/>
                <w:sz w:val="18"/>
                <w:szCs w:val="18"/>
              </w:rPr>
              <w:t>3</w:t>
            </w:r>
          </w:p>
        </w:tc>
        <w:tc>
          <w:tcPr>
            <w:tcW w:w="1022" w:type="dxa"/>
            <w:gridSpan w:val="2"/>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0.082</w:t>
            </w:r>
          </w:p>
        </w:tc>
        <w:tc>
          <w:tcPr>
            <w:tcW w:w="1022" w:type="dxa"/>
            <w:tcBorders>
              <w:top w:val="nil"/>
              <w:left w:val="nil"/>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0.10</w:t>
            </w:r>
            <w:r>
              <w:rPr>
                <w:rFonts w:hint="eastAsia"/>
                <w:color w:val="000000"/>
                <w:sz w:val="18"/>
                <w:szCs w:val="18"/>
              </w:rPr>
              <w:t>3</w:t>
            </w:r>
          </w:p>
        </w:tc>
        <w:tc>
          <w:tcPr>
            <w:tcW w:w="1023" w:type="dxa"/>
            <w:gridSpan w:val="2"/>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0.082</w:t>
            </w:r>
          </w:p>
        </w:tc>
        <w:tc>
          <w:tcPr>
            <w:tcW w:w="1023" w:type="dxa"/>
            <w:gridSpan w:val="2"/>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0.101</w:t>
            </w:r>
          </w:p>
        </w:tc>
        <w:tc>
          <w:tcPr>
            <w:tcW w:w="1015" w:type="dxa"/>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0.083</w:t>
            </w:r>
          </w:p>
        </w:tc>
      </w:tr>
      <w:tr>
        <w:tblPrEx>
          <w:tblLayout w:type="fixed"/>
          <w:tblCellMar>
            <w:top w:w="0" w:type="dxa"/>
            <w:left w:w="108" w:type="dxa"/>
            <w:bottom w:w="0" w:type="dxa"/>
            <w:right w:w="108" w:type="dxa"/>
          </w:tblCellMar>
        </w:tblPrEx>
        <w:trPr>
          <w:trHeight w:val="317" w:hRule="atLeast"/>
          <w:jc w:val="center"/>
        </w:trPr>
        <w:tc>
          <w:tcPr>
            <w:tcW w:w="1203" w:type="dxa"/>
            <w:vMerge w:val="restart"/>
            <w:tcBorders>
              <w:top w:val="single" w:color="auto" w:sz="12" w:space="0"/>
              <w:left w:val="nil"/>
              <w:right w:val="single" w:color="auto" w:sz="4" w:space="0"/>
            </w:tcBorders>
            <w:noWrap w:val="0"/>
            <w:vAlign w:val="center"/>
          </w:tcPr>
          <w:p>
            <w:pPr>
              <w:spacing w:line="300" w:lineRule="exact"/>
              <w:jc w:val="center"/>
              <w:rPr>
                <w:color w:val="000000"/>
                <w:sz w:val="18"/>
                <w:szCs w:val="18"/>
              </w:rPr>
            </w:pPr>
            <w:r>
              <w:rPr>
                <w:color w:val="000000"/>
                <w:sz w:val="18"/>
                <w:szCs w:val="18"/>
              </w:rPr>
              <w:t>（B）</w:t>
            </w:r>
          </w:p>
        </w:tc>
        <w:tc>
          <w:tcPr>
            <w:tcW w:w="1345" w:type="dxa"/>
            <w:gridSpan w:val="2"/>
            <w:tcBorders>
              <w:top w:val="single" w:color="auto" w:sz="12" w:space="0"/>
              <w:left w:val="single" w:color="auto" w:sz="4" w:space="0"/>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341" w:type="dxa"/>
            <w:gridSpan w:val="2"/>
            <w:tcBorders>
              <w:top w:val="single" w:color="auto"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c>
          <w:tcPr>
            <w:tcW w:w="1341" w:type="dxa"/>
            <w:gridSpan w:val="2"/>
            <w:tcBorders>
              <w:top w:val="single" w:color="auto" w:sz="12" w:space="0"/>
              <w:left w:val="nil"/>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360" w:type="dxa"/>
            <w:gridSpan w:val="3"/>
            <w:tcBorders>
              <w:top w:val="single" w:color="auto"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c>
          <w:tcPr>
            <w:tcW w:w="1387" w:type="dxa"/>
            <w:gridSpan w:val="2"/>
            <w:tcBorders>
              <w:top w:val="single" w:color="auto" w:sz="12" w:space="0"/>
              <w:left w:val="nil"/>
              <w:bottom w:val="nil"/>
              <w:right w:val="nil"/>
            </w:tcBorders>
            <w:noWrap w:val="0"/>
            <w:vAlign w:val="top"/>
          </w:tcPr>
          <w:p>
            <w:pPr>
              <w:spacing w:line="300" w:lineRule="exact"/>
              <w:jc w:val="center"/>
              <w:rPr>
                <w:color w:val="000000"/>
                <w:sz w:val="18"/>
                <w:szCs w:val="18"/>
              </w:rPr>
            </w:pPr>
            <w:r>
              <w:rPr>
                <w:color w:val="000000"/>
                <w:sz w:val="18"/>
                <w:szCs w:val="18"/>
              </w:rPr>
              <w:t>身体健康</w:t>
            </w:r>
          </w:p>
        </w:tc>
        <w:tc>
          <w:tcPr>
            <w:tcW w:w="1398" w:type="dxa"/>
            <w:gridSpan w:val="2"/>
            <w:tcBorders>
              <w:top w:val="single" w:color="auto" w:sz="12" w:space="0"/>
              <w:left w:val="nil"/>
              <w:bottom w:val="nil"/>
              <w:right w:val="nil"/>
            </w:tcBorders>
            <w:noWrap w:val="0"/>
            <w:vAlign w:val="top"/>
          </w:tcPr>
          <w:p>
            <w:pPr>
              <w:spacing w:line="300" w:lineRule="exact"/>
              <w:jc w:val="center"/>
              <w:rPr>
                <w:color w:val="000000"/>
                <w:sz w:val="18"/>
                <w:szCs w:val="18"/>
              </w:rPr>
            </w:pPr>
            <w:r>
              <w:rPr>
                <w:color w:val="000000"/>
                <w:sz w:val="18"/>
                <w:szCs w:val="18"/>
              </w:rPr>
              <w:t>心理健康</w:t>
            </w:r>
          </w:p>
        </w:tc>
      </w:tr>
      <w:tr>
        <w:tblPrEx>
          <w:tblLayout w:type="fixed"/>
          <w:tblCellMar>
            <w:top w:w="0" w:type="dxa"/>
            <w:left w:w="108" w:type="dxa"/>
            <w:bottom w:w="0" w:type="dxa"/>
            <w:right w:w="108" w:type="dxa"/>
          </w:tblCellMar>
        </w:tblPrEx>
        <w:trPr>
          <w:trHeight w:val="317" w:hRule="atLeast"/>
          <w:jc w:val="center"/>
        </w:trPr>
        <w:tc>
          <w:tcPr>
            <w:tcW w:w="1203" w:type="dxa"/>
            <w:vMerge w:val="continue"/>
            <w:tcBorders>
              <w:left w:val="nil"/>
              <w:bottom w:val="single" w:color="auto" w:sz="6" w:space="0"/>
              <w:right w:val="single" w:color="auto" w:sz="4" w:space="0"/>
            </w:tcBorders>
            <w:noWrap w:val="0"/>
            <w:vAlign w:val="top"/>
          </w:tcPr>
          <w:p>
            <w:pPr>
              <w:spacing w:line="300" w:lineRule="exact"/>
              <w:jc w:val="center"/>
              <w:rPr>
                <w:color w:val="000000"/>
                <w:sz w:val="18"/>
                <w:szCs w:val="18"/>
              </w:rPr>
            </w:pPr>
          </w:p>
        </w:tc>
        <w:tc>
          <w:tcPr>
            <w:tcW w:w="1345" w:type="dxa"/>
            <w:gridSpan w:val="2"/>
            <w:tcBorders>
              <w:top w:val="nil"/>
              <w:left w:val="single" w:color="auto" w:sz="4" w:space="0"/>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1</w:t>
            </w:r>
            <w:r>
              <w:rPr>
                <w:rFonts w:hint="eastAsia"/>
                <w:color w:val="000000"/>
                <w:sz w:val="18"/>
                <w:szCs w:val="18"/>
              </w:rPr>
              <w:t>）</w:t>
            </w:r>
          </w:p>
        </w:tc>
        <w:tc>
          <w:tcPr>
            <w:tcW w:w="1341" w:type="dxa"/>
            <w:gridSpan w:val="2"/>
            <w:tcBorders>
              <w:top w:val="nil"/>
              <w:left w:val="nil"/>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2</w:t>
            </w:r>
            <w:r>
              <w:rPr>
                <w:rFonts w:hint="eastAsia"/>
                <w:color w:val="000000"/>
                <w:sz w:val="18"/>
                <w:szCs w:val="18"/>
              </w:rPr>
              <w:t>）</w:t>
            </w:r>
          </w:p>
        </w:tc>
        <w:tc>
          <w:tcPr>
            <w:tcW w:w="1341" w:type="dxa"/>
            <w:gridSpan w:val="2"/>
            <w:tcBorders>
              <w:top w:val="nil"/>
              <w:left w:val="nil"/>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3</w:t>
            </w:r>
            <w:r>
              <w:rPr>
                <w:rFonts w:hint="eastAsia"/>
                <w:color w:val="000000"/>
                <w:sz w:val="18"/>
                <w:szCs w:val="18"/>
              </w:rPr>
              <w:t>）</w:t>
            </w:r>
          </w:p>
        </w:tc>
        <w:tc>
          <w:tcPr>
            <w:tcW w:w="1360" w:type="dxa"/>
            <w:gridSpan w:val="3"/>
            <w:tcBorders>
              <w:top w:val="nil"/>
              <w:left w:val="nil"/>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4</w:t>
            </w:r>
            <w:r>
              <w:rPr>
                <w:rFonts w:hint="eastAsia"/>
                <w:color w:val="000000"/>
                <w:sz w:val="18"/>
                <w:szCs w:val="18"/>
              </w:rPr>
              <w:t>）</w:t>
            </w:r>
          </w:p>
        </w:tc>
        <w:tc>
          <w:tcPr>
            <w:tcW w:w="1387" w:type="dxa"/>
            <w:gridSpan w:val="2"/>
            <w:tcBorders>
              <w:top w:val="nil"/>
              <w:left w:val="nil"/>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5</w:t>
            </w:r>
            <w:r>
              <w:rPr>
                <w:rFonts w:hint="eastAsia"/>
                <w:color w:val="000000"/>
                <w:sz w:val="18"/>
                <w:szCs w:val="18"/>
              </w:rPr>
              <w:t>）</w:t>
            </w:r>
          </w:p>
        </w:tc>
        <w:tc>
          <w:tcPr>
            <w:tcW w:w="1398" w:type="dxa"/>
            <w:gridSpan w:val="2"/>
            <w:tcBorders>
              <w:top w:val="nil"/>
              <w:left w:val="nil"/>
              <w:bottom w:val="single" w:color="auto" w:sz="6" w:space="0"/>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6</w:t>
            </w:r>
            <w:r>
              <w:rPr>
                <w:rFonts w:hint="eastAsia"/>
                <w:color w:val="000000"/>
                <w:sz w:val="18"/>
                <w:szCs w:val="18"/>
              </w:rPr>
              <w:t>）</w:t>
            </w: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r>
              <w:rPr>
                <w:color w:val="000000"/>
                <w:sz w:val="18"/>
                <w:szCs w:val="18"/>
              </w:rPr>
              <w:t>机器人应用</w:t>
            </w: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r>
              <w:rPr>
                <w:color w:val="000000"/>
                <w:sz w:val="18"/>
                <w:szCs w:val="18"/>
              </w:rPr>
              <w:t>−0.0853</w:t>
            </w:r>
            <w:r>
              <w:rPr>
                <w:rFonts w:hint="eastAsia"/>
                <w:color w:val="000000"/>
                <w:sz w:val="18"/>
                <w:szCs w:val="18"/>
                <w:vertAlign w:val="superscript"/>
              </w:rPr>
              <w:t>***</w:t>
            </w: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−0.0368</w:t>
            </w:r>
            <w:r>
              <w:rPr>
                <w:rFonts w:hint="eastAsia"/>
                <w:color w:val="000000"/>
                <w:sz w:val="18"/>
                <w:szCs w:val="18"/>
                <w:vertAlign w:val="superscript"/>
              </w:rPr>
              <w:t>***</w:t>
            </w: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−0.0707</w:t>
            </w:r>
            <w:r>
              <w:rPr>
                <w:rFonts w:hint="eastAsia"/>
                <w:color w:val="000000"/>
                <w:sz w:val="18"/>
                <w:szCs w:val="18"/>
                <w:vertAlign w:val="superscript"/>
              </w:rPr>
              <w:t>***</w:t>
            </w:r>
          </w:p>
        </w:tc>
        <w:tc>
          <w:tcPr>
            <w:tcW w:w="1360" w:type="dxa"/>
            <w:gridSpan w:val="3"/>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−0.0221</w:t>
            </w:r>
            <w:r>
              <w:rPr>
                <w:rFonts w:hint="eastAsia"/>
                <w:color w:val="000000"/>
                <w:sz w:val="18"/>
                <w:szCs w:val="18"/>
                <w:vertAlign w:val="superscript"/>
              </w:rPr>
              <w:t>*</w:t>
            </w: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−0.0661</w:t>
            </w:r>
            <w:r>
              <w:rPr>
                <w:rFonts w:hint="eastAsia"/>
                <w:color w:val="000000"/>
                <w:sz w:val="18"/>
                <w:szCs w:val="18"/>
                <w:vertAlign w:val="superscript"/>
              </w:rPr>
              <w:t>**</w:t>
            </w: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−0.0234</w:t>
            </w:r>
            <w:r>
              <w:rPr>
                <w:color w:val="000000"/>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p>
        </w:tc>
        <w:tc>
          <w:tcPr>
            <w:tcW w:w="1345" w:type="dxa"/>
            <w:gridSpan w:val="2"/>
            <w:tcBorders>
              <w:top w:val="nil"/>
              <w:left w:val="single" w:color="auto" w:sz="4" w:space="0"/>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0.0253</w:t>
            </w:r>
            <w:r>
              <w:rPr>
                <w:rFonts w:hint="eastAsia"/>
                <w:color w:val="000000"/>
                <w:sz w:val="18"/>
                <w:szCs w:val="18"/>
              </w:rPr>
              <w:t>）</w:t>
            </w:r>
          </w:p>
        </w:tc>
        <w:tc>
          <w:tcPr>
            <w:tcW w:w="1341"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0.0116</w:t>
            </w:r>
            <w:r>
              <w:rPr>
                <w:rFonts w:hint="eastAsia"/>
                <w:color w:val="000000"/>
                <w:sz w:val="18"/>
                <w:szCs w:val="18"/>
              </w:rPr>
              <w:t>）</w:t>
            </w:r>
          </w:p>
        </w:tc>
        <w:tc>
          <w:tcPr>
            <w:tcW w:w="1341"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0.0241</w:t>
            </w:r>
            <w:r>
              <w:rPr>
                <w:rFonts w:hint="eastAsia"/>
                <w:color w:val="000000"/>
                <w:sz w:val="18"/>
                <w:szCs w:val="18"/>
              </w:rPr>
              <w:t>）</w:t>
            </w:r>
          </w:p>
        </w:tc>
        <w:tc>
          <w:tcPr>
            <w:tcW w:w="1360" w:type="dxa"/>
            <w:gridSpan w:val="3"/>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0.0127</w:t>
            </w:r>
            <w:r>
              <w:rPr>
                <w:rFonts w:hint="eastAsia"/>
                <w:color w:val="000000"/>
                <w:sz w:val="18"/>
                <w:szCs w:val="18"/>
              </w:rPr>
              <w:t>）</w:t>
            </w:r>
          </w:p>
        </w:tc>
        <w:tc>
          <w:tcPr>
            <w:tcW w:w="1387"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0.0263</w:t>
            </w:r>
            <w:r>
              <w:rPr>
                <w:rFonts w:hint="eastAsia"/>
                <w:color w:val="000000"/>
                <w:sz w:val="18"/>
                <w:szCs w:val="18"/>
              </w:rPr>
              <w:t>）</w:t>
            </w:r>
          </w:p>
        </w:tc>
        <w:tc>
          <w:tcPr>
            <w:tcW w:w="1398"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0.0102</w:t>
            </w:r>
            <w:r>
              <w:rPr>
                <w:rFonts w:hint="eastAsia"/>
                <w:color w:val="000000"/>
                <w:sz w:val="18"/>
                <w:szCs w:val="18"/>
              </w:rPr>
              <w:t>）</w:t>
            </w: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r>
              <w:rPr>
                <w:color w:val="000000"/>
                <w:sz w:val="18"/>
                <w:szCs w:val="18"/>
              </w:rPr>
              <w:t>ICT技术</w:t>
            </w: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r>
              <w:rPr>
                <w:color w:val="000000"/>
                <w:sz w:val="18"/>
                <w:szCs w:val="18"/>
              </w:rPr>
              <w:t>0.0075</w:t>
            </w: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0.0102</w:t>
            </w:r>
            <w:r>
              <w:rPr>
                <w:color w:val="000000"/>
                <w:sz w:val="18"/>
                <w:szCs w:val="18"/>
                <w:vertAlign w:val="superscript"/>
              </w:rPr>
              <w:t>*</w:t>
            </w: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60" w:type="dxa"/>
            <w:gridSpan w:val="3"/>
            <w:tcBorders>
              <w:top w:val="nil"/>
              <w:left w:val="nil"/>
              <w:bottom w:val="nil"/>
              <w:right w:val="nil"/>
            </w:tcBorders>
            <w:noWrap w:val="0"/>
            <w:vAlign w:val="top"/>
          </w:tcPr>
          <w:p>
            <w:pPr>
              <w:spacing w:line="300" w:lineRule="exact"/>
              <w:jc w:val="center"/>
              <w:rPr>
                <w:color w:val="000000"/>
                <w:sz w:val="18"/>
                <w:szCs w:val="18"/>
              </w:rPr>
            </w:pP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p>
        </w:tc>
        <w:tc>
          <w:tcPr>
            <w:tcW w:w="1345" w:type="dxa"/>
            <w:gridSpan w:val="2"/>
            <w:tcBorders>
              <w:top w:val="nil"/>
              <w:left w:val="single" w:color="auto" w:sz="4" w:space="0"/>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0.0087</w:t>
            </w:r>
            <w:r>
              <w:rPr>
                <w:rFonts w:hint="eastAsia"/>
                <w:color w:val="000000"/>
                <w:sz w:val="18"/>
                <w:szCs w:val="18"/>
              </w:rPr>
              <w:t>）</w:t>
            </w:r>
          </w:p>
        </w:tc>
        <w:tc>
          <w:tcPr>
            <w:tcW w:w="1341"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0.0057</w:t>
            </w:r>
            <w:r>
              <w:rPr>
                <w:rFonts w:hint="eastAsia"/>
                <w:color w:val="000000"/>
                <w:sz w:val="18"/>
                <w:szCs w:val="18"/>
              </w:rPr>
              <w:t>）</w:t>
            </w: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60" w:type="dxa"/>
            <w:gridSpan w:val="3"/>
            <w:tcBorders>
              <w:top w:val="nil"/>
              <w:left w:val="nil"/>
              <w:bottom w:val="nil"/>
              <w:right w:val="nil"/>
            </w:tcBorders>
            <w:noWrap w:val="0"/>
            <w:vAlign w:val="top"/>
          </w:tcPr>
          <w:p>
            <w:pPr>
              <w:spacing w:line="300" w:lineRule="exact"/>
              <w:jc w:val="center"/>
              <w:rPr>
                <w:color w:val="000000"/>
                <w:sz w:val="18"/>
                <w:szCs w:val="18"/>
              </w:rPr>
            </w:pP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r>
              <w:rPr>
                <w:color w:val="000000"/>
                <w:sz w:val="18"/>
                <w:szCs w:val="18"/>
              </w:rPr>
              <w:t>最低工资指标</w:t>
            </w: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center"/>
          </w:tcPr>
          <w:p>
            <w:pPr>
              <w:spacing w:line="300" w:lineRule="exact"/>
              <w:jc w:val="center"/>
              <w:rPr>
                <w:color w:val="000000"/>
                <w:sz w:val="18"/>
                <w:szCs w:val="18"/>
              </w:rPr>
            </w:pPr>
            <w:r>
              <w:rPr>
                <w:color w:val="000000"/>
                <w:sz w:val="18"/>
                <w:szCs w:val="18"/>
              </w:rPr>
              <w:t>−0.0062</w:t>
            </w:r>
          </w:p>
        </w:tc>
        <w:tc>
          <w:tcPr>
            <w:tcW w:w="1360" w:type="dxa"/>
            <w:gridSpan w:val="3"/>
            <w:tcBorders>
              <w:top w:val="nil"/>
              <w:left w:val="nil"/>
              <w:bottom w:val="nil"/>
              <w:right w:val="nil"/>
            </w:tcBorders>
            <w:noWrap w:val="0"/>
            <w:vAlign w:val="center"/>
          </w:tcPr>
          <w:p>
            <w:pPr>
              <w:spacing w:line="300" w:lineRule="exact"/>
              <w:jc w:val="center"/>
              <w:rPr>
                <w:color w:val="000000"/>
                <w:sz w:val="18"/>
                <w:szCs w:val="18"/>
              </w:rPr>
            </w:pPr>
            <w:r>
              <w:rPr>
                <w:color w:val="000000"/>
                <w:sz w:val="18"/>
                <w:szCs w:val="18"/>
              </w:rPr>
              <w:t>0.0266</w:t>
            </w:r>
          </w:p>
        </w:tc>
        <w:tc>
          <w:tcPr>
            <w:tcW w:w="1387" w:type="dxa"/>
            <w:gridSpan w:val="2"/>
            <w:tcBorders>
              <w:top w:val="nil"/>
              <w:left w:val="nil"/>
              <w:bottom w:val="nil"/>
              <w:right w:val="nil"/>
            </w:tcBorders>
            <w:noWrap w:val="0"/>
            <w:vAlign w:val="center"/>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center"/>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0.0592</w:t>
            </w:r>
            <w:r>
              <w:rPr>
                <w:rFonts w:hint="eastAsia"/>
                <w:color w:val="000000"/>
                <w:sz w:val="18"/>
                <w:szCs w:val="18"/>
              </w:rPr>
              <w:t>）</w:t>
            </w:r>
          </w:p>
        </w:tc>
        <w:tc>
          <w:tcPr>
            <w:tcW w:w="1360" w:type="dxa"/>
            <w:gridSpan w:val="3"/>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0.0251</w:t>
            </w:r>
            <w:r>
              <w:rPr>
                <w:rFonts w:hint="eastAsia"/>
                <w:color w:val="000000"/>
                <w:sz w:val="18"/>
                <w:szCs w:val="18"/>
              </w:rPr>
              <w:t>）</w:t>
            </w: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r>
              <w:rPr>
                <w:color w:val="000000"/>
                <w:sz w:val="18"/>
                <w:szCs w:val="18"/>
              </w:rPr>
              <w:t>市场化指标</w:t>
            </w: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−0.0228</w:t>
            </w:r>
          </w:p>
        </w:tc>
        <w:tc>
          <w:tcPr>
            <w:tcW w:w="1360" w:type="dxa"/>
            <w:gridSpan w:val="3"/>
            <w:tcBorders>
              <w:top w:val="nil"/>
              <w:left w:val="nil"/>
              <w:bottom w:val="nil"/>
              <w:right w:val="nil"/>
            </w:tcBorders>
            <w:noWrap w:val="0"/>
            <w:vAlign w:val="top"/>
          </w:tcPr>
          <w:p>
            <w:pPr>
              <w:spacing w:line="300" w:lineRule="exact"/>
              <w:jc w:val="center"/>
              <w:rPr>
                <w:color w:val="000000"/>
                <w:sz w:val="18"/>
                <w:szCs w:val="18"/>
              </w:rPr>
            </w:pPr>
            <w:r>
              <w:rPr>
                <w:color w:val="000000"/>
                <w:sz w:val="18"/>
                <w:szCs w:val="18"/>
              </w:rPr>
              <w:t>−0.0010</w:t>
            </w: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nil"/>
              <w:left w:val="nil"/>
              <w:bottom w:val="nil"/>
              <w:right w:val="single" w:color="auto" w:sz="4" w:space="0"/>
            </w:tcBorders>
            <w:noWrap w:val="0"/>
            <w:vAlign w:val="top"/>
          </w:tcPr>
          <w:p>
            <w:pPr>
              <w:spacing w:line="300" w:lineRule="exact"/>
              <w:jc w:val="left"/>
              <w:rPr>
                <w:color w:val="000000"/>
                <w:sz w:val="18"/>
                <w:szCs w:val="18"/>
              </w:rPr>
            </w:pPr>
          </w:p>
        </w:tc>
        <w:tc>
          <w:tcPr>
            <w:tcW w:w="1345" w:type="dxa"/>
            <w:gridSpan w:val="2"/>
            <w:tcBorders>
              <w:top w:val="nil"/>
              <w:left w:val="single" w:color="auto" w:sz="4" w:space="0"/>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41" w:type="dxa"/>
            <w:gridSpan w:val="2"/>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0.0182</w:t>
            </w:r>
            <w:r>
              <w:rPr>
                <w:rFonts w:hint="eastAsia"/>
                <w:color w:val="000000"/>
                <w:sz w:val="18"/>
                <w:szCs w:val="18"/>
              </w:rPr>
              <w:t>）</w:t>
            </w:r>
          </w:p>
        </w:tc>
        <w:tc>
          <w:tcPr>
            <w:tcW w:w="1360" w:type="dxa"/>
            <w:gridSpan w:val="3"/>
            <w:tcBorders>
              <w:top w:val="nil"/>
              <w:left w:val="nil"/>
              <w:bottom w:val="nil"/>
              <w:right w:val="nil"/>
            </w:tcBorders>
            <w:noWrap w:val="0"/>
            <w:vAlign w:val="top"/>
          </w:tcPr>
          <w:p>
            <w:pPr>
              <w:spacing w:line="300" w:lineRule="exact"/>
              <w:jc w:val="center"/>
              <w:rPr>
                <w:rFonts w:hint="eastAsia"/>
                <w:color w:val="000000"/>
                <w:sz w:val="18"/>
                <w:szCs w:val="18"/>
              </w:rPr>
            </w:pPr>
            <w:r>
              <w:rPr>
                <w:rFonts w:hint="eastAsia"/>
                <w:color w:val="000000"/>
                <w:sz w:val="18"/>
                <w:szCs w:val="18"/>
              </w:rPr>
              <w:t>（</w:t>
            </w:r>
            <w:r>
              <w:rPr>
                <w:color w:val="000000"/>
                <w:sz w:val="18"/>
                <w:szCs w:val="18"/>
              </w:rPr>
              <w:t>0.0084</w:t>
            </w:r>
            <w:r>
              <w:rPr>
                <w:rFonts w:hint="eastAsia"/>
                <w:color w:val="000000"/>
                <w:sz w:val="18"/>
                <w:szCs w:val="18"/>
              </w:rPr>
              <w:t>）</w:t>
            </w:r>
          </w:p>
        </w:tc>
        <w:tc>
          <w:tcPr>
            <w:tcW w:w="1387" w:type="dxa"/>
            <w:gridSpan w:val="2"/>
            <w:tcBorders>
              <w:top w:val="nil"/>
              <w:left w:val="nil"/>
              <w:bottom w:val="nil"/>
              <w:right w:val="nil"/>
            </w:tcBorders>
            <w:noWrap w:val="0"/>
            <w:vAlign w:val="top"/>
          </w:tcPr>
          <w:p>
            <w:pPr>
              <w:spacing w:line="300" w:lineRule="exact"/>
              <w:jc w:val="center"/>
              <w:rPr>
                <w:color w:val="000000"/>
                <w:sz w:val="18"/>
                <w:szCs w:val="18"/>
              </w:rPr>
            </w:pPr>
          </w:p>
        </w:tc>
        <w:tc>
          <w:tcPr>
            <w:tcW w:w="1398" w:type="dxa"/>
            <w:gridSpan w:val="2"/>
            <w:tcBorders>
              <w:top w:val="nil"/>
              <w:left w:val="nil"/>
              <w:bottom w:val="nil"/>
              <w:right w:val="nil"/>
            </w:tcBorders>
            <w:noWrap w:val="0"/>
            <w:vAlign w:val="top"/>
          </w:tcPr>
          <w:p>
            <w:pPr>
              <w:spacing w:line="300" w:lineRule="exact"/>
              <w:jc w:val="center"/>
              <w:rPr>
                <w:color w:val="000000"/>
                <w:sz w:val="18"/>
                <w:szCs w:val="18"/>
              </w:rPr>
            </w:pPr>
          </w:p>
        </w:tc>
      </w:tr>
      <w:tr>
        <w:tblPrEx>
          <w:tblLayout w:type="fixed"/>
          <w:tblCellMar>
            <w:top w:w="0" w:type="dxa"/>
            <w:left w:w="108" w:type="dxa"/>
            <w:bottom w:w="0" w:type="dxa"/>
            <w:right w:w="108" w:type="dxa"/>
          </w:tblCellMar>
        </w:tblPrEx>
        <w:trPr>
          <w:trHeight w:val="317" w:hRule="atLeast"/>
          <w:jc w:val="center"/>
        </w:trPr>
        <w:tc>
          <w:tcPr>
            <w:tcW w:w="1203" w:type="dxa"/>
            <w:tcBorders>
              <w:top w:val="single" w:color="auto" w:sz="4" w:space="0"/>
              <w:left w:val="nil"/>
              <w:bottom w:val="nil"/>
              <w:right w:val="single" w:color="auto" w:sz="4" w:space="0"/>
            </w:tcBorders>
            <w:noWrap w:val="0"/>
            <w:vAlign w:val="top"/>
          </w:tcPr>
          <w:p>
            <w:pPr>
              <w:spacing w:line="300" w:lineRule="exact"/>
              <w:jc w:val="left"/>
              <w:rPr>
                <w:color w:val="000000"/>
                <w:sz w:val="18"/>
                <w:szCs w:val="18"/>
              </w:rPr>
            </w:pPr>
            <w:r>
              <w:rPr>
                <w:color w:val="000000"/>
                <w:sz w:val="18"/>
                <w:szCs w:val="18"/>
              </w:rPr>
              <w:t>观测值数</w:t>
            </w:r>
          </w:p>
        </w:tc>
        <w:tc>
          <w:tcPr>
            <w:tcW w:w="1345" w:type="dxa"/>
            <w:gridSpan w:val="2"/>
            <w:tcBorders>
              <w:top w:val="single" w:color="auto" w:sz="4" w:space="0"/>
              <w:left w:val="single" w:color="auto" w:sz="4" w:space="0"/>
              <w:bottom w:val="nil"/>
              <w:right w:val="nil"/>
            </w:tcBorders>
            <w:noWrap w:val="0"/>
            <w:vAlign w:val="top"/>
          </w:tcPr>
          <w:p>
            <w:pPr>
              <w:spacing w:line="300" w:lineRule="exact"/>
              <w:jc w:val="center"/>
              <w:rPr>
                <w:color w:val="000000"/>
                <w:sz w:val="18"/>
                <w:szCs w:val="18"/>
              </w:rPr>
            </w:pPr>
            <w:r>
              <w:rPr>
                <w:color w:val="000000"/>
                <w:sz w:val="18"/>
                <w:szCs w:val="18"/>
              </w:rPr>
              <w:t>28727</w:t>
            </w:r>
          </w:p>
        </w:tc>
        <w:tc>
          <w:tcPr>
            <w:tcW w:w="1341" w:type="dxa"/>
            <w:gridSpan w:val="2"/>
            <w:tcBorders>
              <w:top w:val="single" w:color="auto" w:sz="4" w:space="0"/>
              <w:left w:val="nil"/>
              <w:bottom w:val="nil"/>
              <w:right w:val="nil"/>
            </w:tcBorders>
            <w:noWrap w:val="0"/>
            <w:vAlign w:val="top"/>
          </w:tcPr>
          <w:p>
            <w:pPr>
              <w:spacing w:line="300" w:lineRule="exact"/>
              <w:jc w:val="center"/>
              <w:rPr>
                <w:color w:val="000000"/>
                <w:sz w:val="18"/>
                <w:szCs w:val="18"/>
              </w:rPr>
            </w:pPr>
            <w:r>
              <w:rPr>
                <w:color w:val="000000"/>
                <w:sz w:val="18"/>
                <w:szCs w:val="18"/>
              </w:rPr>
              <w:t>28727</w:t>
            </w:r>
          </w:p>
        </w:tc>
        <w:tc>
          <w:tcPr>
            <w:tcW w:w="1341" w:type="dxa"/>
            <w:gridSpan w:val="2"/>
            <w:tcBorders>
              <w:top w:val="single" w:color="auto"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360" w:type="dxa"/>
            <w:gridSpan w:val="3"/>
            <w:tcBorders>
              <w:top w:val="single" w:color="auto" w:sz="4" w:space="0"/>
              <w:left w:val="nil"/>
              <w:bottom w:val="nil"/>
              <w:right w:val="nil"/>
            </w:tcBorders>
            <w:noWrap w:val="0"/>
            <w:vAlign w:val="top"/>
          </w:tcPr>
          <w:p>
            <w:pPr>
              <w:spacing w:line="300" w:lineRule="exact"/>
              <w:jc w:val="center"/>
              <w:rPr>
                <w:color w:val="000000"/>
                <w:sz w:val="18"/>
                <w:szCs w:val="18"/>
              </w:rPr>
            </w:pPr>
            <w:r>
              <w:rPr>
                <w:color w:val="000000"/>
                <w:sz w:val="18"/>
                <w:szCs w:val="18"/>
              </w:rPr>
              <w:t>29303</w:t>
            </w:r>
          </w:p>
        </w:tc>
        <w:tc>
          <w:tcPr>
            <w:tcW w:w="1387" w:type="dxa"/>
            <w:gridSpan w:val="2"/>
            <w:tcBorders>
              <w:top w:val="single" w:color="auto" w:sz="4" w:space="0"/>
              <w:left w:val="nil"/>
              <w:bottom w:val="nil"/>
              <w:right w:val="nil"/>
            </w:tcBorders>
            <w:noWrap w:val="0"/>
            <w:vAlign w:val="top"/>
          </w:tcPr>
          <w:p>
            <w:pPr>
              <w:spacing w:line="300" w:lineRule="exact"/>
              <w:jc w:val="center"/>
              <w:rPr>
                <w:color w:val="000000"/>
                <w:sz w:val="18"/>
                <w:szCs w:val="18"/>
              </w:rPr>
            </w:pPr>
            <w:r>
              <w:rPr>
                <w:color w:val="000000"/>
                <w:sz w:val="18"/>
                <w:szCs w:val="18"/>
              </w:rPr>
              <w:t>26502</w:t>
            </w:r>
          </w:p>
        </w:tc>
        <w:tc>
          <w:tcPr>
            <w:tcW w:w="1398" w:type="dxa"/>
            <w:gridSpan w:val="2"/>
            <w:tcBorders>
              <w:top w:val="single" w:color="auto" w:sz="4" w:space="0"/>
              <w:left w:val="nil"/>
              <w:bottom w:val="nil"/>
              <w:right w:val="nil"/>
            </w:tcBorders>
            <w:noWrap w:val="0"/>
            <w:vAlign w:val="top"/>
          </w:tcPr>
          <w:p>
            <w:pPr>
              <w:spacing w:line="300" w:lineRule="exact"/>
              <w:jc w:val="center"/>
              <w:rPr>
                <w:color w:val="000000"/>
                <w:sz w:val="18"/>
                <w:szCs w:val="18"/>
              </w:rPr>
            </w:pPr>
            <w:r>
              <w:rPr>
                <w:color w:val="000000"/>
                <w:sz w:val="18"/>
                <w:szCs w:val="18"/>
              </w:rPr>
              <w:t>26502</w:t>
            </w:r>
          </w:p>
        </w:tc>
      </w:tr>
      <w:tr>
        <w:tblPrEx>
          <w:tblBorders>
            <w:top w:val="none" w:color="auto" w:sz="0" w:space="0"/>
            <w:left w:val="none" w:color="auto" w:sz="0" w:space="0"/>
            <w:bottom w:val="single" w:color="auto" w:sz="6"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1203" w:type="dxa"/>
            <w:tcBorders>
              <w:top w:val="nil"/>
              <w:left w:val="nil"/>
              <w:bottom w:val="single" w:color="auto" w:sz="12" w:space="0"/>
              <w:right w:val="single" w:color="auto" w:sz="4" w:space="0"/>
            </w:tcBorders>
            <w:noWrap w:val="0"/>
            <w:vAlign w:val="top"/>
          </w:tcPr>
          <w:p>
            <w:pPr>
              <w:spacing w:line="300" w:lineRule="exact"/>
              <w:jc w:val="left"/>
              <w:rPr>
                <w:color w:val="000000"/>
                <w:sz w:val="18"/>
                <w:szCs w:val="18"/>
              </w:rPr>
            </w:pPr>
            <w:r>
              <w:rPr>
                <w:color w:val="000000"/>
                <w:sz w:val="18"/>
                <w:szCs w:val="18"/>
              </w:rPr>
              <w:t>R</w:t>
            </w:r>
            <w:r>
              <w:rPr>
                <w:color w:val="000000"/>
                <w:sz w:val="18"/>
                <w:szCs w:val="18"/>
                <w:vertAlign w:val="superscript"/>
              </w:rPr>
              <w:t>2</w:t>
            </w:r>
          </w:p>
        </w:tc>
        <w:tc>
          <w:tcPr>
            <w:tcW w:w="1345" w:type="dxa"/>
            <w:gridSpan w:val="2"/>
            <w:tcBorders>
              <w:top w:val="nil"/>
              <w:left w:val="single" w:color="auto" w:sz="4" w:space="0"/>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0.09</w:t>
            </w:r>
            <w:r>
              <w:rPr>
                <w:rFonts w:hint="eastAsia"/>
                <w:color w:val="000000"/>
                <w:sz w:val="18"/>
                <w:szCs w:val="18"/>
              </w:rPr>
              <w:t>9</w:t>
            </w:r>
          </w:p>
        </w:tc>
        <w:tc>
          <w:tcPr>
            <w:tcW w:w="1341" w:type="dxa"/>
            <w:gridSpan w:val="2"/>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0.082</w:t>
            </w:r>
          </w:p>
        </w:tc>
        <w:tc>
          <w:tcPr>
            <w:tcW w:w="1341" w:type="dxa"/>
            <w:gridSpan w:val="2"/>
            <w:tcBorders>
              <w:top w:val="nil"/>
              <w:left w:val="nil"/>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0.10</w:t>
            </w:r>
            <w:r>
              <w:rPr>
                <w:rFonts w:hint="eastAsia"/>
                <w:color w:val="000000"/>
                <w:sz w:val="18"/>
                <w:szCs w:val="18"/>
              </w:rPr>
              <w:t>3</w:t>
            </w:r>
          </w:p>
        </w:tc>
        <w:tc>
          <w:tcPr>
            <w:tcW w:w="1360" w:type="dxa"/>
            <w:gridSpan w:val="3"/>
            <w:tcBorders>
              <w:top w:val="nil"/>
              <w:left w:val="nil"/>
              <w:bottom w:val="single" w:color="auto" w:sz="12" w:space="0"/>
              <w:right w:val="nil"/>
            </w:tcBorders>
            <w:noWrap w:val="0"/>
            <w:vAlign w:val="top"/>
          </w:tcPr>
          <w:p>
            <w:pPr>
              <w:spacing w:line="300" w:lineRule="exact"/>
              <w:jc w:val="center"/>
              <w:rPr>
                <w:color w:val="000000"/>
                <w:sz w:val="18"/>
                <w:szCs w:val="18"/>
              </w:rPr>
            </w:pPr>
            <w:r>
              <w:rPr>
                <w:color w:val="000000"/>
                <w:sz w:val="18"/>
                <w:szCs w:val="18"/>
              </w:rPr>
              <w:t>0.082</w:t>
            </w:r>
          </w:p>
        </w:tc>
        <w:tc>
          <w:tcPr>
            <w:tcW w:w="1387" w:type="dxa"/>
            <w:gridSpan w:val="2"/>
            <w:tcBorders>
              <w:top w:val="nil"/>
              <w:left w:val="nil"/>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0.10</w:t>
            </w:r>
            <w:r>
              <w:rPr>
                <w:rFonts w:hint="eastAsia"/>
                <w:color w:val="000000"/>
                <w:sz w:val="18"/>
                <w:szCs w:val="18"/>
              </w:rPr>
              <w:t>7</w:t>
            </w:r>
          </w:p>
        </w:tc>
        <w:tc>
          <w:tcPr>
            <w:tcW w:w="1398" w:type="dxa"/>
            <w:gridSpan w:val="2"/>
            <w:tcBorders>
              <w:top w:val="nil"/>
              <w:left w:val="nil"/>
              <w:bottom w:val="single" w:color="auto" w:sz="12" w:space="0"/>
              <w:right w:val="nil"/>
            </w:tcBorders>
            <w:noWrap w:val="0"/>
            <w:vAlign w:val="top"/>
          </w:tcPr>
          <w:p>
            <w:pPr>
              <w:spacing w:line="300" w:lineRule="exact"/>
              <w:jc w:val="center"/>
              <w:rPr>
                <w:rFonts w:hint="eastAsia"/>
                <w:color w:val="000000"/>
                <w:sz w:val="18"/>
                <w:szCs w:val="18"/>
              </w:rPr>
            </w:pPr>
            <w:r>
              <w:rPr>
                <w:color w:val="000000"/>
                <w:sz w:val="18"/>
                <w:szCs w:val="18"/>
              </w:rPr>
              <w:t>0.08</w:t>
            </w:r>
            <w:r>
              <w:rPr>
                <w:rFonts w:hint="eastAsia"/>
                <w:color w:val="000000"/>
                <w:sz w:val="18"/>
                <w:szCs w:val="18"/>
              </w:rPr>
              <w:t>2</w:t>
            </w:r>
          </w:p>
        </w:tc>
      </w:tr>
    </w:tbl>
    <w:p>
      <w:pPr>
        <w:spacing w:before="178" w:beforeLines="50" w:line="240" w:lineRule="atLeast"/>
        <w:ind w:firstLine="392" w:firstLineChars="200"/>
        <w:jc w:val="left"/>
        <w:rPr>
          <w:rFonts w:hint="eastAsia" w:ascii="Times New Roman" w:hAnsi="Times New Roman"/>
          <w:szCs w:val="21"/>
        </w:rPr>
      </w:pPr>
      <w:r>
        <w:rPr>
          <w:rFonts w:hint="eastAsia" w:eastAsia="楷体"/>
          <w:b w:val="0"/>
          <w:bCs w:val="0"/>
          <w:color w:val="000000"/>
          <w:sz w:val="21"/>
          <w:szCs w:val="21"/>
          <w:lang w:val="en-US" w:eastAsia="zh-CN"/>
        </w:rPr>
        <w:t>3.</w:t>
      </w:r>
      <w:r>
        <w:rPr>
          <w:rFonts w:hint="eastAsia" w:eastAsia="楷体"/>
          <w:b w:val="0"/>
          <w:bCs w:val="0"/>
          <w:color w:val="000000"/>
          <w:sz w:val="21"/>
          <w:szCs w:val="21"/>
        </w:rPr>
        <w:t>“排除其他事件的干扰”部分详细分析</w:t>
      </w:r>
      <w:r>
        <w:rPr>
          <w:rFonts w:hint="eastAsia" w:eastAsia="楷体"/>
          <w:b w:val="0"/>
          <w:bCs w:val="0"/>
          <w:color w:val="000000"/>
          <w:sz w:val="21"/>
          <w:szCs w:val="21"/>
          <w:lang w:eastAsia="zh-CN"/>
        </w:rPr>
        <w:t>。</w:t>
      </w:r>
      <w:r>
        <w:rPr>
          <w:rFonts w:hint="eastAsia"/>
          <w:color w:val="000000"/>
          <w:szCs w:val="21"/>
          <w:highlight w:val="none"/>
        </w:rPr>
        <w:t>首先，根据现有研究，机器人在企业生产过程中的普及应用受制于互补性技术的发展（蔡跃洲和陈楠，2019），只有互补性技术发展到一定程度，才能更好地发挥机器人的效用。信息和通信技术（ICT）不仅会促进机器人在</w:t>
      </w:r>
      <w:r>
        <w:rPr>
          <w:rFonts w:hint="eastAsia"/>
          <w:color w:val="000000"/>
          <w:szCs w:val="21"/>
        </w:rPr>
        <w:t>生产过程中的应用（綦建红和张志彤，2022），也会对包括低技能农民工的居民身心健康产生影响（杨克文和何欢，2020）。为控制ICT技术发展所带来的干扰，本文借鉴黄群慧等（2019）的做法，选取互联网普及率、计算机服务和软件业从业人员占比、人均电信业务总量和移动电话普及率四个分项指标，然后运用主成分分析法将其合成一个综合指标，以期全面反映ICT技术水平，并将其代入实证模型中进行检验；其次，最低工资制度、市场化改革等相关政策的实施会改变机器人应用的制度环境，从而影响企业是否采用机器人技术的决策。其中，最低工资的提高会增加企业雇佣劳动力的劳动要素成本，会导致“机器换人”速度的加快，而市场化改革能够为企业营造公平的竞争环境，在现有研究普遍发现机器人应用会提高企业生产效率的情况下（綦建红和张志彤，2022），企业应用机器人的意愿会明显增强。同时，最低工资制度和市场化改革显然也会引起低技能农民工收入的变动，进而影响低技能农民工身心健康。因此，本文通过控制最低工资指标和中国市场化指标，以排除这些政策对基准结论所带来的干扰；最后，始于2020年的新冠疫情不仅对国内外的经济发展环境造成了巨大冲击，对企业的机器人应用决策有着重大的影响，也直接对国民的身心健康产生了深刻的影响。为排除新冠疫情这一重大公共卫生事件的冲击，本文删除2020年CFPS的样本数据并重新估计。在排除上述事件的干扰后，机器人应用对低技能农民工身心健康影响的回归结果如附表2（B）（1）</w:t>
      </w:r>
      <w:r>
        <w:rPr>
          <w:rFonts w:hint="eastAsia" w:ascii="宋体" w:hAnsi="宋体"/>
          <w:szCs w:val="21"/>
        </w:rPr>
        <w:t>～</w:t>
      </w:r>
      <w:r>
        <w:rPr>
          <w:rFonts w:hint="eastAsia"/>
          <w:color w:val="000000"/>
          <w:szCs w:val="21"/>
        </w:rPr>
        <w:t>（6）列所示，基准结论未发生显著性变化。</w:t>
      </w:r>
    </w:p>
    <w:p>
      <w:pPr>
        <w:keepNext w:val="0"/>
        <w:keepLines w:val="0"/>
        <w:pageBreakBefore w:val="0"/>
        <w:widowControl w:val="0"/>
        <w:shd w:val="clear" w:color="auto" w:fill="FFFFFF"/>
        <w:kinsoku/>
        <w:wordWrap/>
        <w:overflowPunct/>
        <w:topLinePunct w:val="0"/>
        <w:autoSpaceDE/>
        <w:autoSpaceDN/>
        <w:bidi w:val="0"/>
        <w:adjustRightInd/>
        <w:snapToGrid/>
        <w:spacing w:before="178" w:beforeLines="50"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附录六  核心变量按异质性分组的描述性统计</w:t>
      </w:r>
    </w:p>
    <w:p>
      <w:pPr>
        <w:tabs>
          <w:tab w:val="center" w:pos="4200"/>
        </w:tabs>
        <w:spacing w:before="178" w:beforeLines="50" w:line="240" w:lineRule="atLeast"/>
        <w:ind w:firstLine="332" w:firstLineChars="200"/>
        <w:jc w:val="left"/>
        <w:rPr>
          <w:b/>
          <w:bCs/>
          <w:color w:val="000000"/>
        </w:rPr>
      </w:pPr>
      <w:r>
        <w:rPr>
          <w:rFonts w:hint="eastAsia" w:eastAsia="黑体"/>
          <w:bCs/>
          <w:color w:val="000000"/>
          <w:sz w:val="18"/>
          <w:szCs w:val="18"/>
        </w:rPr>
        <w:t xml:space="preserve">附表3  </w:t>
      </w:r>
      <w:r>
        <w:rPr>
          <w:rFonts w:hint="eastAsia" w:eastAsia="黑体"/>
          <w:bCs/>
          <w:color w:val="000000"/>
          <w:sz w:val="18"/>
          <w:szCs w:val="18"/>
        </w:rPr>
        <w:tab/>
      </w:r>
      <w:r>
        <w:rPr>
          <w:rFonts w:hint="eastAsia" w:eastAsia="黑体"/>
          <w:bCs/>
          <w:color w:val="000000"/>
          <w:sz w:val="18"/>
          <w:szCs w:val="18"/>
        </w:rPr>
        <w:t>低技能农民工健康与机器人应用的分异质性分组描述性统计</w:t>
      </w:r>
    </w:p>
    <w:tbl>
      <w:tblPr>
        <w:tblStyle w:val="33"/>
        <w:tblW w:w="8829" w:type="dxa"/>
        <w:jc w:val="center"/>
        <w:tblInd w:w="0" w:type="dxa"/>
        <w:tblLayout w:type="fixed"/>
        <w:tblCellMar>
          <w:top w:w="0" w:type="dxa"/>
          <w:left w:w="108" w:type="dxa"/>
          <w:bottom w:w="0" w:type="dxa"/>
          <w:right w:w="108" w:type="dxa"/>
        </w:tblCellMar>
      </w:tblPr>
      <w:tblGrid>
        <w:gridCol w:w="1757"/>
        <w:gridCol w:w="1269"/>
        <w:gridCol w:w="2734"/>
        <w:gridCol w:w="1023"/>
        <w:gridCol w:w="1023"/>
        <w:gridCol w:w="1023"/>
      </w:tblGrid>
      <w:tr>
        <w:tblPrEx>
          <w:tblLayout w:type="fixed"/>
          <w:tblCellMar>
            <w:top w:w="0" w:type="dxa"/>
            <w:left w:w="108" w:type="dxa"/>
            <w:bottom w:w="0" w:type="dxa"/>
            <w:right w:w="108" w:type="dxa"/>
          </w:tblCellMar>
        </w:tblPrEx>
        <w:trPr>
          <w:trHeight w:val="317" w:hRule="atLeast"/>
          <w:jc w:val="center"/>
        </w:trPr>
        <w:tc>
          <w:tcPr>
            <w:tcW w:w="1757" w:type="dxa"/>
            <w:tcBorders>
              <w:top w:val="single" w:color="000000" w:sz="12" w:space="0"/>
              <w:left w:val="nil"/>
              <w:bottom w:val="single" w:color="000000" w:sz="4" w:space="0"/>
              <w:right w:val="single" w:color="auto" w:sz="4" w:space="0"/>
            </w:tcBorders>
            <w:noWrap w:val="0"/>
            <w:vAlign w:val="center"/>
          </w:tcPr>
          <w:p>
            <w:pPr>
              <w:spacing w:line="300" w:lineRule="exact"/>
              <w:jc w:val="center"/>
              <w:rPr>
                <w:color w:val="000000"/>
                <w:sz w:val="18"/>
                <w:szCs w:val="18"/>
              </w:rPr>
            </w:pPr>
            <w:r>
              <w:rPr>
                <w:color w:val="000000"/>
                <w:sz w:val="18"/>
                <w:szCs w:val="18"/>
              </w:rPr>
              <w:t>变量类型</w:t>
            </w:r>
          </w:p>
        </w:tc>
        <w:tc>
          <w:tcPr>
            <w:tcW w:w="1269" w:type="dxa"/>
            <w:tcBorders>
              <w:top w:val="single" w:color="000000" w:sz="12" w:space="0"/>
              <w:left w:val="nil"/>
              <w:bottom w:val="single" w:color="000000" w:sz="4" w:space="0"/>
              <w:right w:val="single" w:color="auto" w:sz="4" w:space="0"/>
            </w:tcBorders>
            <w:noWrap w:val="0"/>
            <w:vAlign w:val="center"/>
          </w:tcPr>
          <w:p>
            <w:pPr>
              <w:spacing w:line="300" w:lineRule="exact"/>
              <w:jc w:val="center"/>
              <w:rPr>
                <w:color w:val="000000"/>
                <w:sz w:val="18"/>
                <w:szCs w:val="18"/>
              </w:rPr>
            </w:pPr>
          </w:p>
        </w:tc>
        <w:tc>
          <w:tcPr>
            <w:tcW w:w="2734" w:type="dxa"/>
            <w:tcBorders>
              <w:top w:val="single" w:color="000000" w:sz="12" w:space="0"/>
              <w:left w:val="single" w:color="auto" w:sz="4" w:space="0"/>
              <w:bottom w:val="single" w:color="000000" w:sz="4" w:space="0"/>
              <w:right w:val="single" w:color="auto" w:sz="4" w:space="0"/>
            </w:tcBorders>
            <w:noWrap w:val="0"/>
            <w:vAlign w:val="center"/>
          </w:tcPr>
          <w:p>
            <w:pPr>
              <w:spacing w:line="300" w:lineRule="exact"/>
              <w:jc w:val="center"/>
              <w:rPr>
                <w:i/>
                <w:iCs/>
                <w:color w:val="000000"/>
                <w:sz w:val="18"/>
                <w:szCs w:val="18"/>
              </w:rPr>
            </w:pPr>
            <w:r>
              <w:rPr>
                <w:color w:val="000000"/>
                <w:sz w:val="18"/>
                <w:szCs w:val="18"/>
              </w:rPr>
              <w:t>变量名称</w:t>
            </w:r>
          </w:p>
        </w:tc>
        <w:tc>
          <w:tcPr>
            <w:tcW w:w="1023" w:type="dxa"/>
            <w:tcBorders>
              <w:top w:val="single" w:color="000000" w:sz="12" w:space="0"/>
              <w:left w:val="nil"/>
              <w:bottom w:val="single" w:color="000000" w:sz="4" w:space="0"/>
              <w:right w:val="nil"/>
            </w:tcBorders>
            <w:noWrap w:val="0"/>
            <w:vAlign w:val="center"/>
          </w:tcPr>
          <w:p>
            <w:pPr>
              <w:spacing w:line="300" w:lineRule="exact"/>
              <w:jc w:val="center"/>
              <w:rPr>
                <w:rFonts w:hint="eastAsia"/>
                <w:color w:val="000000"/>
                <w:sz w:val="18"/>
                <w:szCs w:val="18"/>
              </w:rPr>
            </w:pPr>
            <w:r>
              <w:rPr>
                <w:rFonts w:hint="eastAsia"/>
                <w:color w:val="000000"/>
                <w:sz w:val="18"/>
                <w:szCs w:val="18"/>
              </w:rPr>
              <w:t>观测值</w:t>
            </w:r>
          </w:p>
        </w:tc>
        <w:tc>
          <w:tcPr>
            <w:tcW w:w="1023" w:type="dxa"/>
            <w:tcBorders>
              <w:top w:val="single" w:color="000000" w:sz="12" w:space="0"/>
              <w:left w:val="nil"/>
              <w:bottom w:val="single" w:color="000000" w:sz="4" w:space="0"/>
              <w:right w:val="nil"/>
            </w:tcBorders>
            <w:noWrap w:val="0"/>
            <w:vAlign w:val="center"/>
          </w:tcPr>
          <w:p>
            <w:pPr>
              <w:spacing w:line="300" w:lineRule="exact"/>
              <w:jc w:val="center"/>
              <w:rPr>
                <w:color w:val="000000"/>
                <w:sz w:val="18"/>
                <w:szCs w:val="18"/>
              </w:rPr>
            </w:pPr>
            <w:r>
              <w:rPr>
                <w:color w:val="000000"/>
                <w:sz w:val="18"/>
                <w:szCs w:val="18"/>
              </w:rPr>
              <w:t>平均值</w:t>
            </w:r>
          </w:p>
        </w:tc>
        <w:tc>
          <w:tcPr>
            <w:tcW w:w="1023" w:type="dxa"/>
            <w:tcBorders>
              <w:top w:val="single" w:color="000000" w:sz="12" w:space="0"/>
              <w:left w:val="nil"/>
              <w:bottom w:val="single" w:color="000000" w:sz="4" w:space="0"/>
              <w:right w:val="nil"/>
            </w:tcBorders>
            <w:noWrap w:val="0"/>
            <w:vAlign w:val="center"/>
          </w:tcPr>
          <w:p>
            <w:pPr>
              <w:spacing w:line="300" w:lineRule="exact"/>
              <w:jc w:val="center"/>
              <w:rPr>
                <w:color w:val="000000"/>
                <w:sz w:val="18"/>
                <w:szCs w:val="18"/>
              </w:rPr>
            </w:pPr>
            <w:r>
              <w:rPr>
                <w:color w:val="000000"/>
                <w:sz w:val="18"/>
                <w:szCs w:val="18"/>
              </w:rPr>
              <w:t>标准差</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000000" w:sz="4" w:space="0"/>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000000" w:sz="4" w:space="0"/>
              <w:bottom w:val="single" w:color="auto" w:sz="4" w:space="0"/>
              <w:right w:val="single" w:color="auto" w:sz="4" w:space="0"/>
            </w:tcBorders>
            <w:noWrap w:val="0"/>
            <w:vAlign w:val="center"/>
          </w:tcPr>
          <w:p>
            <w:pPr>
              <w:spacing w:line="300" w:lineRule="exact"/>
              <w:jc w:val="center"/>
              <w:textAlignment w:val="center"/>
              <w:rPr>
                <w:rFonts w:hint="eastAsia"/>
                <w:color w:val="000000"/>
                <w:sz w:val="18"/>
                <w:szCs w:val="18"/>
              </w:rPr>
            </w:pPr>
            <w:r>
              <w:rPr>
                <w:rFonts w:hint="eastAsia"/>
                <w:color w:val="000000"/>
                <w:sz w:val="18"/>
                <w:szCs w:val="18"/>
              </w:rPr>
              <w:t>年龄较大</w:t>
            </w:r>
          </w:p>
        </w:tc>
        <w:tc>
          <w:tcPr>
            <w:tcW w:w="2734" w:type="dxa"/>
            <w:tcBorders>
              <w:top w:val="single" w:color="000000" w:sz="4" w:space="0"/>
              <w:left w:val="single" w:color="auto" w:sz="4" w:space="0"/>
              <w:bottom w:val="nil"/>
              <w:right w:val="single" w:color="auto" w:sz="4" w:space="0"/>
            </w:tcBorders>
            <w:noWrap w:val="0"/>
            <w:vAlign w:val="center"/>
          </w:tcPr>
          <w:p>
            <w:pPr>
              <w:spacing w:line="300" w:lineRule="exact"/>
              <w:jc w:val="left"/>
              <w:textAlignment w:val="center"/>
              <w:rPr>
                <w:i/>
                <w:iCs/>
                <w:color w:val="000000"/>
                <w:sz w:val="18"/>
                <w:szCs w:val="18"/>
              </w:rPr>
            </w:pPr>
            <w:r>
              <w:rPr>
                <w:color w:val="000000"/>
                <w:sz w:val="18"/>
                <w:szCs w:val="18"/>
              </w:rPr>
              <w:t>低技能农民工身体健康</w:t>
            </w:r>
          </w:p>
        </w:tc>
        <w:tc>
          <w:tcPr>
            <w:tcW w:w="1023" w:type="dxa"/>
            <w:tcBorders>
              <w:top w:val="single" w:color="000000" w:sz="4" w:space="0"/>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19220</w:t>
            </w:r>
          </w:p>
        </w:tc>
        <w:tc>
          <w:tcPr>
            <w:tcW w:w="1023" w:type="dxa"/>
            <w:tcBorders>
              <w:top w:val="single" w:color="000000"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0.75</w:t>
            </w:r>
            <w:r>
              <w:rPr>
                <w:rFonts w:hint="eastAsia"/>
                <w:color w:val="000000"/>
                <w:kern w:val="0"/>
                <w:sz w:val="18"/>
                <w:szCs w:val="18"/>
                <w:lang w:bidi="ar"/>
              </w:rPr>
              <w:t>72</w:t>
            </w:r>
          </w:p>
        </w:tc>
        <w:tc>
          <w:tcPr>
            <w:tcW w:w="1023" w:type="dxa"/>
            <w:tcBorders>
              <w:top w:val="single" w:color="000000"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w:t>
            </w:r>
            <w:r>
              <w:rPr>
                <w:rFonts w:hint="eastAsia"/>
                <w:color w:val="000000"/>
                <w:kern w:val="0"/>
                <w:sz w:val="18"/>
                <w:szCs w:val="18"/>
                <w:lang w:bidi="ar"/>
              </w:rPr>
              <w:t>4288</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top w:val="single" w:color="auto" w:sz="4" w:space="0"/>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19220</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0.82</w:t>
            </w:r>
            <w:r>
              <w:rPr>
                <w:rFonts w:hint="eastAsia"/>
                <w:color w:val="000000"/>
                <w:kern w:val="0"/>
                <w:sz w:val="18"/>
                <w:szCs w:val="18"/>
                <w:lang w:bidi="ar"/>
              </w:rPr>
              <w:t>93</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0.18</w:t>
            </w:r>
            <w:r>
              <w:rPr>
                <w:rFonts w:hint="eastAsia"/>
                <w:color w:val="000000"/>
                <w:kern w:val="0"/>
                <w:sz w:val="18"/>
                <w:szCs w:val="18"/>
                <w:lang w:bidi="ar"/>
              </w:rPr>
              <w:t>67</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19220</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0.06</w:t>
            </w:r>
            <w:r>
              <w:rPr>
                <w:rFonts w:hint="eastAsia"/>
                <w:color w:val="000000"/>
                <w:kern w:val="0"/>
                <w:sz w:val="18"/>
                <w:szCs w:val="18"/>
                <w:lang w:bidi="ar"/>
              </w:rPr>
              <w:t>60</w:t>
            </w:r>
          </w:p>
        </w:tc>
        <w:tc>
          <w:tcPr>
            <w:tcW w:w="1023" w:type="dxa"/>
            <w:tcBorders>
              <w:top w:val="nil"/>
              <w:left w:val="nil"/>
              <w:bottom w:val="single" w:color="auto" w:sz="4" w:space="0"/>
              <w:right w:val="nil"/>
            </w:tcBorders>
            <w:noWrap w:val="0"/>
            <w:vAlign w:val="center"/>
          </w:tcPr>
          <w:p>
            <w:pPr>
              <w:spacing w:line="300" w:lineRule="exact"/>
              <w:jc w:val="center"/>
              <w:textAlignment w:val="center"/>
              <w:rPr>
                <w:rFonts w:hint="eastAsia"/>
                <w:color w:val="000000"/>
                <w:sz w:val="18"/>
                <w:szCs w:val="18"/>
              </w:rPr>
            </w:pPr>
            <w:r>
              <w:rPr>
                <w:color w:val="000000"/>
                <w:kern w:val="0"/>
                <w:sz w:val="18"/>
                <w:szCs w:val="18"/>
                <w:lang w:bidi="ar"/>
              </w:rPr>
              <w:t>0.150</w:t>
            </w:r>
            <w:r>
              <w:rPr>
                <w:rFonts w:hint="eastAsia"/>
                <w:color w:val="000000"/>
                <w:kern w:val="0"/>
                <w:sz w:val="18"/>
                <w:szCs w:val="18"/>
                <w:lang w:bidi="ar"/>
              </w:rPr>
              <w:t>0</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年龄较小</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10125</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0.89</w:t>
            </w:r>
            <w:r>
              <w:rPr>
                <w:rFonts w:hint="eastAsia"/>
                <w:color w:val="000000"/>
                <w:kern w:val="0"/>
                <w:sz w:val="18"/>
                <w:szCs w:val="18"/>
                <w:lang w:bidi="ar"/>
              </w:rPr>
              <w:t>71</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0.30</w:t>
            </w:r>
            <w:r>
              <w:rPr>
                <w:rFonts w:hint="eastAsia"/>
                <w:color w:val="000000"/>
                <w:kern w:val="0"/>
                <w:sz w:val="18"/>
                <w:szCs w:val="18"/>
                <w:lang w:bidi="ar"/>
              </w:rPr>
              <w:t>39</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10125</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0.84</w:t>
            </w:r>
            <w:r>
              <w:rPr>
                <w:rFonts w:hint="eastAsia"/>
                <w:color w:val="000000"/>
                <w:kern w:val="0"/>
                <w:sz w:val="18"/>
                <w:szCs w:val="18"/>
                <w:lang w:bidi="ar"/>
              </w:rPr>
              <w:t>71</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0.15</w:t>
            </w:r>
            <w:r>
              <w:rPr>
                <w:rFonts w:hint="eastAsia"/>
                <w:color w:val="000000"/>
                <w:kern w:val="0"/>
                <w:sz w:val="18"/>
                <w:szCs w:val="18"/>
                <w:lang w:bidi="ar"/>
              </w:rPr>
              <w:t>69</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10125</w:t>
            </w:r>
          </w:p>
        </w:tc>
        <w:tc>
          <w:tcPr>
            <w:tcW w:w="1023" w:type="dxa"/>
            <w:tcBorders>
              <w:top w:val="nil"/>
              <w:left w:val="nil"/>
              <w:bottom w:val="single" w:color="auto" w:sz="4" w:space="0"/>
              <w:right w:val="nil"/>
            </w:tcBorders>
            <w:noWrap w:val="0"/>
            <w:vAlign w:val="center"/>
          </w:tcPr>
          <w:p>
            <w:pPr>
              <w:spacing w:line="300" w:lineRule="exact"/>
              <w:jc w:val="center"/>
              <w:textAlignment w:val="center"/>
              <w:rPr>
                <w:rFonts w:hint="eastAsia"/>
                <w:color w:val="000000"/>
                <w:sz w:val="18"/>
                <w:szCs w:val="18"/>
              </w:rPr>
            </w:pPr>
            <w:r>
              <w:rPr>
                <w:color w:val="000000"/>
                <w:kern w:val="0"/>
                <w:sz w:val="18"/>
                <w:szCs w:val="18"/>
                <w:lang w:bidi="ar"/>
              </w:rPr>
              <w:t>0.066</w:t>
            </w:r>
            <w:r>
              <w:rPr>
                <w:rFonts w:hint="eastAsia"/>
                <w:color w:val="000000"/>
                <w:kern w:val="0"/>
                <w:sz w:val="18"/>
                <w:szCs w:val="18"/>
                <w:lang w:bidi="ar"/>
              </w:rPr>
              <w:t>7</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0.14</w:t>
            </w:r>
            <w:r>
              <w:rPr>
                <w:rFonts w:hint="eastAsia"/>
                <w:color w:val="000000"/>
                <w:kern w:val="0"/>
                <w:sz w:val="18"/>
                <w:szCs w:val="18"/>
                <w:lang w:bidi="ar"/>
              </w:rPr>
              <w:t>94</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有子女</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13539</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0.8250</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0.3800</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13539</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0.8407</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0.1715</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13539</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0.0614</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0.1326</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无子女</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15806</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0.7888</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0.4082</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15806</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0.8309</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0.1818</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15806</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0.0704</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0.1630</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有</w:t>
            </w:r>
            <w:r>
              <w:rPr>
                <w:color w:val="000000"/>
                <w:sz w:val="18"/>
                <w:szCs w:val="18"/>
              </w:rPr>
              <w:t>房贷</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4160</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0.80</w:t>
            </w:r>
            <w:r>
              <w:rPr>
                <w:rFonts w:hint="eastAsia"/>
                <w:color w:val="000000"/>
                <w:kern w:val="0"/>
                <w:sz w:val="18"/>
                <w:szCs w:val="18"/>
                <w:lang w:bidi="ar"/>
              </w:rPr>
              <w:t>60</w:t>
            </w:r>
          </w:p>
        </w:tc>
        <w:tc>
          <w:tcPr>
            <w:tcW w:w="1023" w:type="dxa"/>
            <w:tcBorders>
              <w:top w:val="single" w:color="auto" w:sz="4" w:space="0"/>
              <w:left w:val="nil"/>
              <w:bottom w:val="nil"/>
              <w:right w:val="nil"/>
            </w:tcBorders>
            <w:noWrap w:val="0"/>
            <w:vAlign w:val="center"/>
          </w:tcPr>
          <w:p>
            <w:pPr>
              <w:spacing w:line="300" w:lineRule="exact"/>
              <w:jc w:val="center"/>
              <w:textAlignment w:val="center"/>
              <w:rPr>
                <w:rFonts w:hint="eastAsia"/>
                <w:color w:val="000000"/>
                <w:sz w:val="18"/>
                <w:szCs w:val="18"/>
              </w:rPr>
            </w:pPr>
            <w:r>
              <w:rPr>
                <w:color w:val="000000"/>
                <w:kern w:val="0"/>
                <w:sz w:val="18"/>
                <w:szCs w:val="18"/>
                <w:lang w:bidi="ar"/>
              </w:rPr>
              <w:t>0.395</w:t>
            </w:r>
            <w:r>
              <w:rPr>
                <w:rFonts w:hint="eastAsia"/>
                <w:color w:val="000000"/>
                <w:kern w:val="0"/>
                <w:sz w:val="18"/>
                <w:szCs w:val="18"/>
                <w:lang w:bidi="ar"/>
              </w:rPr>
              <w:t>5</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4160</w:t>
            </w:r>
          </w:p>
        </w:tc>
        <w:tc>
          <w:tcPr>
            <w:tcW w:w="1023" w:type="dxa"/>
            <w:tcBorders>
              <w:top w:val="nil"/>
              <w:left w:val="nil"/>
              <w:bottom w:val="nil"/>
              <w:right w:val="nil"/>
            </w:tcBorders>
            <w:noWrap w:val="0"/>
            <w:vAlign w:val="center"/>
          </w:tcPr>
          <w:p>
            <w:pPr>
              <w:spacing w:line="300" w:lineRule="exact"/>
              <w:jc w:val="center"/>
              <w:textAlignment w:val="center"/>
              <w:rPr>
                <w:rFonts w:hint="eastAsia"/>
                <w:color w:val="000000"/>
                <w:sz w:val="18"/>
                <w:szCs w:val="18"/>
              </w:rPr>
            </w:pPr>
            <w:r>
              <w:rPr>
                <w:color w:val="000000"/>
                <w:kern w:val="0"/>
                <w:sz w:val="18"/>
                <w:szCs w:val="18"/>
                <w:lang w:bidi="ar"/>
              </w:rPr>
              <w:t>0.817</w:t>
            </w:r>
            <w:r>
              <w:rPr>
                <w:rFonts w:hint="eastAsia"/>
                <w:color w:val="000000"/>
                <w:kern w:val="0"/>
                <w:sz w:val="18"/>
                <w:szCs w:val="18"/>
                <w:lang w:bidi="ar"/>
              </w:rPr>
              <w:t>7</w:t>
            </w:r>
          </w:p>
        </w:tc>
        <w:tc>
          <w:tcPr>
            <w:tcW w:w="1023" w:type="dxa"/>
            <w:tcBorders>
              <w:top w:val="nil"/>
              <w:left w:val="nil"/>
              <w:bottom w:val="nil"/>
              <w:right w:val="nil"/>
            </w:tcBorders>
            <w:noWrap w:val="0"/>
            <w:vAlign w:val="center"/>
          </w:tcPr>
          <w:p>
            <w:pPr>
              <w:spacing w:line="300" w:lineRule="exact"/>
              <w:jc w:val="center"/>
              <w:textAlignment w:val="center"/>
              <w:rPr>
                <w:rFonts w:hint="eastAsia"/>
                <w:color w:val="000000"/>
                <w:sz w:val="18"/>
                <w:szCs w:val="18"/>
              </w:rPr>
            </w:pPr>
            <w:r>
              <w:rPr>
                <w:color w:val="000000"/>
                <w:kern w:val="0"/>
                <w:sz w:val="18"/>
                <w:szCs w:val="18"/>
                <w:lang w:bidi="ar"/>
              </w:rPr>
              <w:t>0.177</w:t>
            </w:r>
            <w:r>
              <w:rPr>
                <w:rFonts w:hint="eastAsia"/>
                <w:color w:val="000000"/>
                <w:kern w:val="0"/>
                <w:sz w:val="18"/>
                <w:szCs w:val="18"/>
                <w:lang w:bidi="ar"/>
              </w:rPr>
              <w:t>5</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rFonts w:hint="eastAsia"/>
                <w:color w:val="000000"/>
                <w:kern w:val="0"/>
                <w:sz w:val="18"/>
                <w:szCs w:val="18"/>
                <w:lang w:bidi="ar"/>
              </w:rPr>
              <w:t>4160</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0.09</w:t>
            </w:r>
            <w:r>
              <w:rPr>
                <w:rFonts w:hint="eastAsia"/>
                <w:color w:val="000000"/>
                <w:kern w:val="0"/>
                <w:sz w:val="18"/>
                <w:szCs w:val="18"/>
                <w:lang w:bidi="ar"/>
              </w:rPr>
              <w:t>30</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w:t>
            </w:r>
            <w:r>
              <w:rPr>
                <w:rFonts w:hint="eastAsia"/>
                <w:color w:val="000000"/>
                <w:kern w:val="0"/>
                <w:sz w:val="18"/>
                <w:szCs w:val="18"/>
                <w:lang w:bidi="ar"/>
              </w:rPr>
              <w:t>778</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无房贷</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25105</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0.8054</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0.3959</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25105</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0.8384</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0.1769</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25105</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0.0615</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0.1433</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工业</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6520</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0.8120</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0.3908</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6520</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0.8509</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0.1599</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4"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4"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6520</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0.1047</w:t>
            </w:r>
          </w:p>
        </w:tc>
        <w:tc>
          <w:tcPr>
            <w:tcW w:w="1023" w:type="dxa"/>
            <w:tcBorders>
              <w:top w:val="nil"/>
              <w:left w:val="nil"/>
              <w:bottom w:val="single" w:color="auto" w:sz="4"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0.2068</w:t>
            </w:r>
          </w:p>
        </w:tc>
      </w:tr>
      <w:tr>
        <w:tblPrEx>
          <w:tblLayout w:type="fixed"/>
          <w:tblCellMar>
            <w:top w:w="0" w:type="dxa"/>
            <w:left w:w="108" w:type="dxa"/>
            <w:bottom w:w="0" w:type="dxa"/>
            <w:right w:w="108" w:type="dxa"/>
          </w:tblCellMar>
        </w:tblPrEx>
        <w:trPr>
          <w:trHeight w:val="317" w:hRule="atLeast"/>
          <w:jc w:val="center"/>
        </w:trPr>
        <w:tc>
          <w:tcPr>
            <w:tcW w:w="1757"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被解释变量</w:t>
            </w:r>
          </w:p>
        </w:tc>
        <w:tc>
          <w:tcPr>
            <w:tcW w:w="1269" w:type="dxa"/>
            <w:vMerge w:val="restart"/>
            <w:tcBorders>
              <w:top w:val="single" w:color="auto" w:sz="4" w:space="0"/>
              <w:right w:val="single" w:color="auto" w:sz="4" w:space="0"/>
            </w:tcBorders>
            <w:noWrap w:val="0"/>
            <w:vAlign w:val="center"/>
          </w:tcPr>
          <w:p>
            <w:pPr>
              <w:spacing w:line="300" w:lineRule="exact"/>
              <w:jc w:val="center"/>
              <w:textAlignment w:val="center"/>
              <w:rPr>
                <w:color w:val="000000"/>
                <w:sz w:val="18"/>
                <w:szCs w:val="18"/>
              </w:rPr>
            </w:pPr>
            <w:r>
              <w:rPr>
                <w:rFonts w:hint="eastAsia"/>
                <w:color w:val="000000"/>
                <w:sz w:val="18"/>
                <w:szCs w:val="18"/>
              </w:rPr>
              <w:t>非工业</w:t>
            </w:r>
          </w:p>
        </w:tc>
        <w:tc>
          <w:tcPr>
            <w:tcW w:w="2734" w:type="dxa"/>
            <w:tcBorders>
              <w:top w:val="single" w:color="auto" w:sz="4" w:space="0"/>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低技能农民工身体健康</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14492</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0.8236</w:t>
            </w:r>
          </w:p>
        </w:tc>
        <w:tc>
          <w:tcPr>
            <w:tcW w:w="1023" w:type="dxa"/>
            <w:tcBorders>
              <w:top w:val="single" w:color="auto" w:sz="4" w:space="0"/>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0.3812</w:t>
            </w:r>
          </w:p>
        </w:tc>
      </w:tr>
      <w:tr>
        <w:tblPrEx>
          <w:tblLayout w:type="fixed"/>
          <w:tblCellMar>
            <w:top w:w="0" w:type="dxa"/>
            <w:left w:w="108" w:type="dxa"/>
            <w:bottom w:w="0" w:type="dxa"/>
            <w:right w:w="108" w:type="dxa"/>
          </w:tblCellMar>
        </w:tblPrEx>
        <w:trPr>
          <w:trHeight w:val="317" w:hRule="atLeast"/>
          <w:jc w:val="center"/>
        </w:trPr>
        <w:tc>
          <w:tcPr>
            <w:tcW w:w="1757" w:type="dxa"/>
            <w:vMerge w:val="continue"/>
            <w:tcBorders>
              <w:bottom w:val="nil"/>
              <w:right w:val="single" w:color="auto" w:sz="4" w:space="0"/>
            </w:tcBorders>
            <w:noWrap w:val="0"/>
            <w:vAlign w:val="center"/>
          </w:tcPr>
          <w:p>
            <w:pPr>
              <w:spacing w:line="300" w:lineRule="exact"/>
              <w:jc w:val="center"/>
              <w:textAlignment w:val="center"/>
              <w:rPr>
                <w:color w:val="000000"/>
                <w:sz w:val="18"/>
                <w:szCs w:val="18"/>
              </w:rPr>
            </w:pPr>
          </w:p>
        </w:tc>
        <w:tc>
          <w:tcPr>
            <w:tcW w:w="1269" w:type="dxa"/>
            <w:vMerge w:val="continue"/>
            <w:tcBorders>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nil"/>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低技能农民工心理健康</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14492</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0.8388</w:t>
            </w:r>
          </w:p>
        </w:tc>
        <w:tc>
          <w:tcPr>
            <w:tcW w:w="1023" w:type="dxa"/>
            <w:tcBorders>
              <w:top w:val="nil"/>
              <w:left w:val="nil"/>
              <w:bottom w:val="nil"/>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0.1745</w:t>
            </w:r>
          </w:p>
        </w:tc>
      </w:tr>
      <w:tr>
        <w:tblPrEx>
          <w:tblLayout w:type="fixed"/>
          <w:tblCellMar>
            <w:top w:w="0" w:type="dxa"/>
            <w:left w:w="108" w:type="dxa"/>
            <w:bottom w:w="0" w:type="dxa"/>
            <w:right w:w="108" w:type="dxa"/>
          </w:tblCellMar>
        </w:tblPrEx>
        <w:trPr>
          <w:trHeight w:val="317" w:hRule="atLeast"/>
          <w:jc w:val="center"/>
        </w:trPr>
        <w:tc>
          <w:tcPr>
            <w:tcW w:w="1757" w:type="dxa"/>
            <w:tcBorders>
              <w:top w:val="nil"/>
              <w:bottom w:val="single" w:color="auto" w:sz="12" w:space="0"/>
              <w:right w:val="single" w:color="auto" w:sz="4" w:space="0"/>
            </w:tcBorders>
            <w:noWrap w:val="0"/>
            <w:vAlign w:val="center"/>
          </w:tcPr>
          <w:p>
            <w:pPr>
              <w:spacing w:line="300" w:lineRule="exact"/>
              <w:jc w:val="center"/>
              <w:textAlignment w:val="center"/>
              <w:rPr>
                <w:color w:val="000000"/>
                <w:sz w:val="18"/>
                <w:szCs w:val="18"/>
              </w:rPr>
            </w:pPr>
            <w:r>
              <w:rPr>
                <w:color w:val="000000"/>
                <w:sz w:val="18"/>
                <w:szCs w:val="18"/>
              </w:rPr>
              <w:t>核心解释变量</w:t>
            </w:r>
          </w:p>
        </w:tc>
        <w:tc>
          <w:tcPr>
            <w:tcW w:w="1269" w:type="dxa"/>
            <w:vMerge w:val="continue"/>
            <w:tcBorders>
              <w:bottom w:val="single" w:color="auto" w:sz="12" w:space="0"/>
              <w:right w:val="single" w:color="auto" w:sz="4" w:space="0"/>
            </w:tcBorders>
            <w:noWrap w:val="0"/>
            <w:vAlign w:val="center"/>
          </w:tcPr>
          <w:p>
            <w:pPr>
              <w:spacing w:line="300" w:lineRule="exact"/>
              <w:jc w:val="center"/>
              <w:textAlignment w:val="center"/>
              <w:rPr>
                <w:color w:val="000000"/>
                <w:sz w:val="18"/>
                <w:szCs w:val="18"/>
              </w:rPr>
            </w:pPr>
          </w:p>
        </w:tc>
        <w:tc>
          <w:tcPr>
            <w:tcW w:w="2734" w:type="dxa"/>
            <w:tcBorders>
              <w:top w:val="nil"/>
              <w:left w:val="single" w:color="auto" w:sz="4" w:space="0"/>
              <w:bottom w:val="single" w:color="auto" w:sz="12" w:space="0"/>
              <w:right w:val="single" w:color="auto" w:sz="4" w:space="0"/>
            </w:tcBorders>
            <w:noWrap w:val="0"/>
            <w:vAlign w:val="center"/>
          </w:tcPr>
          <w:p>
            <w:pPr>
              <w:spacing w:line="300" w:lineRule="exact"/>
              <w:jc w:val="left"/>
              <w:textAlignment w:val="center"/>
              <w:rPr>
                <w:color w:val="000000"/>
                <w:sz w:val="18"/>
                <w:szCs w:val="18"/>
              </w:rPr>
            </w:pPr>
            <w:r>
              <w:rPr>
                <w:color w:val="000000"/>
                <w:sz w:val="18"/>
                <w:szCs w:val="18"/>
              </w:rPr>
              <w:t>机器人应用</w:t>
            </w:r>
          </w:p>
        </w:tc>
        <w:tc>
          <w:tcPr>
            <w:tcW w:w="1023" w:type="dxa"/>
            <w:tcBorders>
              <w:top w:val="nil"/>
              <w:left w:val="nil"/>
              <w:bottom w:val="single" w:color="auto" w:sz="12"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14492</w:t>
            </w:r>
          </w:p>
        </w:tc>
        <w:tc>
          <w:tcPr>
            <w:tcW w:w="1023" w:type="dxa"/>
            <w:tcBorders>
              <w:top w:val="nil"/>
              <w:left w:val="nil"/>
              <w:bottom w:val="single" w:color="auto" w:sz="12"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0.0621</w:t>
            </w:r>
          </w:p>
        </w:tc>
        <w:tc>
          <w:tcPr>
            <w:tcW w:w="1023" w:type="dxa"/>
            <w:tcBorders>
              <w:top w:val="nil"/>
              <w:left w:val="nil"/>
              <w:bottom w:val="single" w:color="auto" w:sz="12" w:space="0"/>
              <w:right w:val="nil"/>
            </w:tcBorders>
            <w:noWrap w:val="0"/>
            <w:vAlign w:val="center"/>
          </w:tcPr>
          <w:p>
            <w:pPr>
              <w:spacing w:line="300" w:lineRule="exact"/>
              <w:jc w:val="center"/>
              <w:textAlignment w:val="center"/>
              <w:rPr>
                <w:color w:val="000000"/>
                <w:sz w:val="18"/>
                <w:szCs w:val="18"/>
              </w:rPr>
            </w:pPr>
            <w:r>
              <w:rPr>
                <w:color w:val="000000"/>
                <w:kern w:val="0"/>
                <w:sz w:val="18"/>
                <w:szCs w:val="18"/>
                <w:lang w:bidi="ar"/>
              </w:rPr>
              <w:t>0.1395</w:t>
            </w:r>
          </w:p>
        </w:tc>
      </w:tr>
    </w:tbl>
    <w:p>
      <w:pPr>
        <w:keepNext w:val="0"/>
        <w:keepLines w:val="0"/>
        <w:pageBreakBefore w:val="0"/>
        <w:widowControl/>
        <w:shd w:val="clear" w:color="auto" w:fill="FFFFFF"/>
        <w:kinsoku/>
        <w:wordWrap/>
        <w:overflowPunct/>
        <w:topLinePunct w:val="0"/>
        <w:autoSpaceDE/>
        <w:autoSpaceDN/>
        <w:bidi w:val="0"/>
        <w:adjustRightInd/>
        <w:snapToGrid/>
        <w:spacing w:before="178" w:beforeLines="50" w:line="480" w:lineRule="auto"/>
        <w:jc w:val="center"/>
        <w:textAlignment w:val="auto"/>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附录七  低技能农民工内部健康不平等的集中指数分解原理</w:t>
      </w:r>
    </w:p>
    <w:p>
      <w:pPr>
        <w:spacing w:line="240" w:lineRule="atLeast"/>
        <w:ind w:firstLine="392" w:firstLineChars="200"/>
        <w:rPr>
          <w:color w:val="000000"/>
          <w:szCs w:val="21"/>
        </w:rPr>
      </w:pPr>
      <w:r>
        <w:rPr>
          <w:rFonts w:hint="eastAsia"/>
          <w:color w:val="000000"/>
          <w:szCs w:val="21"/>
        </w:rPr>
        <w:t>根据</w:t>
      </w:r>
      <w:r>
        <w:rPr>
          <w:rFonts w:hint="eastAsia"/>
          <w:color w:val="000000"/>
          <w:szCs w:val="21"/>
          <w:highlight w:val="none"/>
          <w:lang w:val="en-US" w:eastAsia="zh-CN"/>
        </w:rPr>
        <w:t>o</w:t>
      </w:r>
      <w:r>
        <w:rPr>
          <w:color w:val="000000"/>
          <w:szCs w:val="21"/>
          <w:highlight w:val="none"/>
        </w:rPr>
        <w:t>rdered Probit模</w:t>
      </w:r>
      <w:r>
        <w:rPr>
          <w:color w:val="000000"/>
          <w:szCs w:val="21"/>
        </w:rPr>
        <w:t>型</w:t>
      </w:r>
      <w:r>
        <w:rPr>
          <w:rFonts w:hint="eastAsia"/>
          <w:color w:val="000000"/>
          <w:szCs w:val="21"/>
        </w:rPr>
        <w:t>得到</w:t>
      </w:r>
      <w:r>
        <w:rPr>
          <w:color w:val="000000"/>
          <w:szCs w:val="21"/>
        </w:rPr>
        <w:t>的连续</w:t>
      </w:r>
      <w:r>
        <w:rPr>
          <w:rFonts w:hint="eastAsia"/>
          <w:color w:val="000000"/>
          <w:szCs w:val="21"/>
        </w:rPr>
        <w:t>身心</w:t>
      </w:r>
      <w:r>
        <w:rPr>
          <w:color w:val="000000"/>
          <w:szCs w:val="21"/>
        </w:rPr>
        <w:t>健康水平</w:t>
      </w:r>
      <w:r>
        <w:rPr>
          <w:rFonts w:hint="eastAsia"/>
          <w:color w:val="000000"/>
          <w:szCs w:val="21"/>
        </w:rPr>
        <w:t>变量</w:t>
      </w:r>
      <w:r>
        <w:rPr>
          <w:rFonts w:hint="eastAsia"/>
          <w:i/>
          <w:iCs/>
          <w:color w:val="000000"/>
          <w:szCs w:val="21"/>
        </w:rPr>
        <w:t>Healthc</w:t>
      </w:r>
      <w:r>
        <w:rPr>
          <w:rFonts w:hint="eastAsia"/>
          <w:color w:val="000000"/>
          <w:szCs w:val="21"/>
        </w:rPr>
        <w:t>（</w:t>
      </w:r>
      <w:r>
        <w:rPr>
          <w:rFonts w:hint="eastAsia"/>
          <w:i/>
          <w:iCs/>
          <w:color w:val="000000"/>
          <w:szCs w:val="21"/>
        </w:rPr>
        <w:t>Healthc_b</w:t>
      </w:r>
      <w:r>
        <w:rPr>
          <w:rFonts w:hint="eastAsia"/>
          <w:color w:val="000000"/>
          <w:szCs w:val="21"/>
        </w:rPr>
        <w:t>和</w:t>
      </w:r>
      <w:r>
        <w:rPr>
          <w:rFonts w:hint="eastAsia"/>
          <w:i/>
          <w:iCs/>
          <w:color w:val="000000"/>
          <w:szCs w:val="21"/>
        </w:rPr>
        <w:t>Healthc_p</w:t>
      </w:r>
      <w:r>
        <w:rPr>
          <w:rFonts w:hint="eastAsia"/>
          <w:color w:val="000000"/>
          <w:szCs w:val="21"/>
        </w:rPr>
        <w:t>）</w:t>
      </w:r>
      <w:r>
        <w:rPr>
          <w:color w:val="000000"/>
          <w:szCs w:val="21"/>
        </w:rPr>
        <w:t>，借鉴Wagstaff et al.（2009）的做法</w:t>
      </w:r>
      <w:r>
        <w:rPr>
          <w:rFonts w:hint="eastAsia"/>
          <w:color w:val="000000"/>
          <w:szCs w:val="21"/>
        </w:rPr>
        <w:t>计算健康集中指数</w:t>
      </w:r>
      <w:r>
        <w:rPr>
          <w:color w:val="000000"/>
          <w:szCs w:val="21"/>
        </w:rPr>
        <w:t>，</w:t>
      </w:r>
      <w:r>
        <w:rPr>
          <w:rFonts w:hint="eastAsia"/>
          <w:color w:val="000000"/>
          <w:szCs w:val="21"/>
        </w:rPr>
        <w:t>其</w:t>
      </w:r>
      <w:r>
        <w:rPr>
          <w:color w:val="000000"/>
          <w:szCs w:val="21"/>
        </w:rPr>
        <w:t>表达式为：</w:t>
      </w:r>
    </w:p>
    <w:p>
      <w:pPr>
        <w:spacing w:before="178" w:beforeLines="50" w:line="240" w:lineRule="atLeast"/>
        <w:rPr>
          <w:color w:val="000000"/>
          <w:szCs w:val="21"/>
        </w:rPr>
      </w:pP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color w:val="000000"/>
          <w:position w:val="-28"/>
        </w:rPr>
        <w:object>
          <v:shape id="_x0000_i1035" o:spt="75" type="#_x0000_t75" style="height:32.55pt;width:223.55pt;" o:ole="t" filled="f" o:preferrelative="t" stroked="f" coordsize="21600,21600">
            <v:path/>
            <v:fill on="f" focussize="0,0"/>
            <v:stroke on="f"/>
            <v:imagedata r:id="rId20" o:title=""/>
            <o:lock v:ext="edit" aspectratio="t"/>
            <w10:wrap type="none"/>
            <w10:anchorlock/>
          </v:shape>
          <o:OLEObject Type="Embed" ProgID="Equation.DSMT4" ShapeID="_x0000_i1035" DrawAspect="Content" ObjectID="_1468075725" r:id="rId19">
            <o:LockedField>false</o:LockedField>
          </o:OLEObject>
        </w:object>
      </w:r>
      <w:r>
        <w:rPr>
          <w:color w:val="000000"/>
        </w:rPr>
        <w:t xml:space="preserve">   </w:t>
      </w:r>
      <w:r>
        <w:rPr>
          <w:rFonts w:hint="eastAsia"/>
          <w:color w:val="000000"/>
        </w:rPr>
        <w:t xml:space="preserve">    </w:t>
      </w:r>
      <w:r>
        <w:rPr>
          <w:color w:val="000000"/>
        </w:rPr>
        <w:t xml:space="preserve">         （</w:t>
      </w:r>
      <w:r>
        <w:rPr>
          <w:rFonts w:hint="eastAsia"/>
          <w:color w:val="000000"/>
        </w:rPr>
        <w:t>A1</w:t>
      </w:r>
      <w:r>
        <w:rPr>
          <w:color w:val="000000"/>
        </w:rPr>
        <w:t>）</w:t>
      </w:r>
    </w:p>
    <w:p>
      <w:pPr>
        <w:spacing w:line="240" w:lineRule="atLeast"/>
        <w:ind w:firstLine="392" w:firstLineChars="200"/>
        <w:rPr>
          <w:color w:val="000000"/>
          <w:szCs w:val="21"/>
        </w:rPr>
      </w:pPr>
      <w:r>
        <w:rPr>
          <w:color w:val="000000"/>
          <w:szCs w:val="21"/>
        </w:rPr>
        <w:t>其中，</w:t>
      </w:r>
      <w:r>
        <w:rPr>
          <w:i/>
          <w:iCs/>
          <w:color w:val="000000"/>
          <w:szCs w:val="21"/>
        </w:rPr>
        <w:t>CI</w:t>
      </w:r>
      <w:r>
        <w:rPr>
          <w:color w:val="000000"/>
          <w:szCs w:val="21"/>
        </w:rPr>
        <w:t>为健康集中指数</w:t>
      </w:r>
      <w:r>
        <w:rPr>
          <w:rFonts w:hint="eastAsia"/>
          <w:color w:val="000000"/>
          <w:szCs w:val="21"/>
        </w:rPr>
        <w:t>，取值范围为</w:t>
      </w:r>
      <w:r>
        <w:rPr>
          <w:rFonts w:hint="eastAsia" w:ascii="宋体" w:hAnsi="宋体" w:eastAsia="宋体" w:cs="宋体"/>
          <w:color w:val="000000"/>
          <w:szCs w:val="21"/>
        </w:rPr>
        <w:t>[</w:t>
      </w:r>
      <w:r>
        <w:rPr>
          <w:rFonts w:hint="eastAsia"/>
          <w:color w:val="000000"/>
          <w:szCs w:val="21"/>
        </w:rPr>
        <w:t>-1,</w:t>
      </w:r>
      <w:r>
        <w:rPr>
          <w:rFonts w:hint="eastAsia"/>
          <w:color w:val="000000"/>
          <w:szCs w:val="21"/>
          <w:lang w:val="en-US" w:eastAsia="zh-CN"/>
        </w:rPr>
        <w:t xml:space="preserve"> </w:t>
      </w:r>
      <w:r>
        <w:rPr>
          <w:color w:val="000000"/>
          <w:szCs w:val="21"/>
        </w:rPr>
        <w:t>1</w:t>
      </w:r>
      <w:r>
        <w:rPr>
          <w:rFonts w:hint="eastAsia" w:ascii="宋体" w:hAnsi="宋体" w:eastAsia="宋体" w:cs="宋体"/>
          <w:color w:val="000000"/>
          <w:szCs w:val="21"/>
        </w:rPr>
        <w:t>]</w:t>
      </w:r>
      <w:r>
        <w:rPr>
          <w:rFonts w:hint="eastAsia"/>
          <w:color w:val="000000"/>
          <w:szCs w:val="21"/>
        </w:rPr>
        <w:t>。当</w:t>
      </w:r>
      <w:r>
        <w:rPr>
          <w:i/>
          <w:iCs/>
          <w:color w:val="000000"/>
          <w:szCs w:val="21"/>
        </w:rPr>
        <w:t>CI</w:t>
      </w:r>
      <w:r>
        <w:rPr>
          <w:color w:val="000000"/>
          <w:szCs w:val="21"/>
        </w:rPr>
        <w:t>取值为正时，表明收入较高的个体健康</w:t>
      </w:r>
      <w:r>
        <w:rPr>
          <w:rFonts w:hint="eastAsia"/>
          <w:color w:val="000000"/>
          <w:szCs w:val="21"/>
        </w:rPr>
        <w:t>水平</w:t>
      </w:r>
      <w:r>
        <w:rPr>
          <w:color w:val="000000"/>
          <w:szCs w:val="21"/>
        </w:rPr>
        <w:t>更好，存在</w:t>
      </w:r>
      <w:r>
        <w:rPr>
          <w:rFonts w:hint="eastAsia"/>
          <w:color w:val="000000"/>
          <w:szCs w:val="21"/>
        </w:rPr>
        <w:t>偏向于收入较高群体</w:t>
      </w:r>
      <w:r>
        <w:rPr>
          <w:color w:val="000000"/>
          <w:szCs w:val="21"/>
        </w:rPr>
        <w:t>的健康不平等</w:t>
      </w:r>
      <w:r>
        <w:rPr>
          <w:rFonts w:hint="eastAsia"/>
          <w:color w:val="000000"/>
          <w:szCs w:val="21"/>
        </w:rPr>
        <w:t>，反之则相反</w:t>
      </w:r>
      <w:r>
        <w:rPr>
          <w:color w:val="000000"/>
          <w:szCs w:val="21"/>
        </w:rPr>
        <w:t>。</w:t>
      </w:r>
      <w:r>
        <w:rPr>
          <w:i/>
          <w:iCs/>
          <w:color w:val="000000"/>
          <w:szCs w:val="21"/>
        </w:rPr>
        <w:t>H</w:t>
      </w:r>
      <w:r>
        <w:rPr>
          <w:color w:val="000000"/>
          <w:szCs w:val="21"/>
        </w:rPr>
        <w:t>为样本的平均健康</w:t>
      </w:r>
      <w:r>
        <w:rPr>
          <w:rFonts w:hint="eastAsia"/>
          <w:color w:val="000000"/>
          <w:szCs w:val="21"/>
        </w:rPr>
        <w:t>水平</w:t>
      </w:r>
      <w:r>
        <w:rPr>
          <w:color w:val="000000"/>
          <w:szCs w:val="21"/>
        </w:rPr>
        <w:t>，</w:t>
      </w:r>
      <w:r>
        <w:rPr>
          <w:i/>
          <w:iCs/>
          <w:color w:val="000000"/>
          <w:szCs w:val="21"/>
        </w:rPr>
        <w:t>R</w:t>
      </w:r>
      <w:r>
        <w:rPr>
          <w:rFonts w:hint="eastAsia"/>
          <w:i/>
          <w:iCs/>
          <w:color w:val="000000"/>
          <w:szCs w:val="21"/>
          <w:vertAlign w:val="subscript"/>
        </w:rPr>
        <w:t>i</w:t>
      </w:r>
      <w:r>
        <w:rPr>
          <w:rFonts w:hint="eastAsia"/>
          <w:color w:val="000000"/>
          <w:szCs w:val="21"/>
        </w:rPr>
        <w:t>=（</w:t>
      </w:r>
      <w:r>
        <w:rPr>
          <w:rFonts w:hint="eastAsia"/>
          <w:i/>
          <w:iCs/>
          <w:color w:val="000000"/>
          <w:szCs w:val="21"/>
        </w:rPr>
        <w:t>i</w:t>
      </w:r>
      <w:r>
        <w:rPr>
          <w:rFonts w:hint="eastAsia"/>
          <w:color w:val="000000"/>
          <w:szCs w:val="21"/>
        </w:rPr>
        <w:t>-</w:t>
      </w:r>
      <w:r>
        <w:rPr>
          <w:color w:val="000000"/>
          <w:szCs w:val="21"/>
        </w:rPr>
        <w:t>0.5</w:t>
      </w:r>
      <w:r>
        <w:rPr>
          <w:rFonts w:hint="eastAsia"/>
          <w:color w:val="000000"/>
          <w:szCs w:val="21"/>
        </w:rPr>
        <w:t>）/</w:t>
      </w:r>
      <w:r>
        <w:rPr>
          <w:i/>
          <w:iCs/>
          <w:color w:val="000000"/>
          <w:szCs w:val="21"/>
        </w:rPr>
        <w:t>n</w:t>
      </w:r>
      <w:r>
        <w:rPr>
          <w:color w:val="000000"/>
          <w:szCs w:val="21"/>
        </w:rPr>
        <w:t>为样本中第</w:t>
      </w:r>
      <w:r>
        <w:rPr>
          <w:rFonts w:hint="eastAsia"/>
          <w:i/>
          <w:iCs/>
          <w:color w:val="000000"/>
          <w:szCs w:val="21"/>
        </w:rPr>
        <w:t>i</w:t>
      </w:r>
      <w:r>
        <w:rPr>
          <w:color w:val="000000"/>
          <w:szCs w:val="21"/>
        </w:rPr>
        <w:t>个人在按照收入由低到高排序中的分位值排名。</w:t>
      </w:r>
    </w:p>
    <w:p>
      <w:pPr>
        <w:spacing w:line="240" w:lineRule="atLeast"/>
        <w:ind w:firstLine="392" w:firstLineChars="200"/>
        <w:rPr>
          <w:rFonts w:hint="eastAsia"/>
          <w:color w:val="000000"/>
          <w:szCs w:val="21"/>
        </w:rPr>
      </w:pPr>
      <w:r>
        <w:rPr>
          <w:rFonts w:hint="eastAsia"/>
          <w:color w:val="000000"/>
          <w:szCs w:val="21"/>
        </w:rPr>
        <w:t>健康集中指数只能说明不平等的具体表现及程度大小，为了考察哪些因素在影响健康不平等，本文使用健康集中指数分解法，将收入相关的健康不平等分解为健康影响因素的贡献加总。每个影响因素对健康集中指数的贡献，既与其自身对健康的影响（健康对该因素的弹性）有关，也受该因素自身与收入相关的不平等（该因素的集中指数）影响，由两者相乘得到。健康不平等的分解首先要得出低技能农民工身心健康对各因素的影响系数。具体模型设定如下：</w:t>
      </w:r>
    </w:p>
    <w:p>
      <w:pPr>
        <w:spacing w:line="240" w:lineRule="atLeast"/>
        <w:ind w:firstLine="392" w:firstLineChars="200"/>
        <w:rPr>
          <w:rFonts w:hint="eastAsia"/>
          <w:color w:val="000000"/>
          <w:szCs w:val="21"/>
        </w:rPr>
      </w:pPr>
      <w:r>
        <w:rPr>
          <w:rFonts w:hint="eastAsia"/>
          <w:color w:val="000000"/>
          <w:szCs w:val="21"/>
        </w:rPr>
        <w:t>假设健康水平的连续指标</w:t>
      </w:r>
      <w:r>
        <w:rPr>
          <w:rFonts w:hint="eastAsia"/>
          <w:i/>
          <w:iCs/>
          <w:color w:val="000000"/>
          <w:szCs w:val="21"/>
        </w:rPr>
        <w:t>Healthc</w:t>
      </w:r>
      <w:r>
        <w:rPr>
          <w:rFonts w:hint="eastAsia"/>
          <w:i/>
          <w:iCs/>
          <w:color w:val="000000"/>
          <w:szCs w:val="21"/>
          <w:vertAlign w:val="subscript"/>
        </w:rPr>
        <w:t>ict</w:t>
      </w:r>
      <w:r>
        <w:rPr>
          <w:rFonts w:hint="eastAsia"/>
          <w:color w:val="000000"/>
          <w:szCs w:val="21"/>
        </w:rPr>
        <w:t>和影响健康的各因素间的线性回归方程如下：</w:t>
      </w:r>
    </w:p>
    <w:p>
      <w:pPr>
        <w:spacing w:before="178" w:beforeLines="50" w:line="240" w:lineRule="atLeast"/>
        <w:rPr>
          <w:rFonts w:hint="eastAsia"/>
          <w:color w:val="000000"/>
          <w:szCs w:val="21"/>
        </w:rPr>
      </w:pP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color w:val="000000"/>
          <w:position w:val="-12"/>
        </w:rPr>
        <w:object>
          <v:shape id="_x0000_i1036" o:spt="75" type="#_x0000_t75" style="height:17.9pt;width:225.8pt;" o:ole="t" filled="f" o:preferrelative="t" stroked="f" coordsize="21600,21600">
            <v:path/>
            <v:fill on="f" focussize="0,0"/>
            <v:stroke on="f"/>
            <v:imagedata r:id="rId22" o:title=""/>
            <o:lock v:ext="edit" aspectratio="t"/>
            <w10:wrap type="none"/>
            <w10:anchorlock/>
          </v:shape>
          <o:OLEObject Type="Embed" ProgID="Equation.DSMT4" ShapeID="_x0000_i1036" DrawAspect="Content" ObjectID="_1468075726" r:id="rId21">
            <o:LockedField>false</o:LockedField>
          </o:OLEObject>
        </w:objec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A2</w:t>
      </w:r>
      <w:r>
        <w:rPr>
          <w:color w:val="000000"/>
        </w:rPr>
        <w:t>）</w:t>
      </w:r>
    </w:p>
    <w:p>
      <w:pPr>
        <w:spacing w:line="240" w:lineRule="atLeast"/>
        <w:ind w:firstLine="392" w:firstLineChars="200"/>
        <w:rPr>
          <w:rFonts w:hint="eastAsia"/>
          <w:color w:val="000000"/>
          <w:szCs w:val="21"/>
        </w:rPr>
      </w:pPr>
      <w:r>
        <w:rPr>
          <w:rFonts w:hint="eastAsia"/>
          <w:color w:val="000000"/>
          <w:szCs w:val="21"/>
        </w:rPr>
        <w:t>其中，</w:t>
      </w:r>
      <w:r>
        <w:rPr>
          <w:rFonts w:hint="eastAsia"/>
          <w:i/>
          <w:iCs/>
          <w:color w:val="000000"/>
          <w:szCs w:val="21"/>
        </w:rPr>
        <w:t>Healthc</w:t>
      </w:r>
      <w:r>
        <w:rPr>
          <w:rFonts w:hint="eastAsia"/>
          <w:i/>
          <w:iCs/>
          <w:color w:val="000000"/>
          <w:szCs w:val="21"/>
          <w:vertAlign w:val="subscript"/>
        </w:rPr>
        <w:t>ict</w:t>
      </w:r>
      <w:r>
        <w:rPr>
          <w:rFonts w:hint="eastAsia"/>
          <w:color w:val="000000"/>
          <w:szCs w:val="21"/>
        </w:rPr>
        <w:t>是</w:t>
      </w:r>
      <w:r>
        <w:rPr>
          <w:rFonts w:hint="eastAsia"/>
          <w:i/>
          <w:iCs/>
          <w:color w:val="000000"/>
          <w:szCs w:val="21"/>
        </w:rPr>
        <w:t>c</w:t>
      </w:r>
      <w:r>
        <w:rPr>
          <w:rFonts w:hint="eastAsia"/>
          <w:color w:val="000000"/>
          <w:szCs w:val="21"/>
        </w:rPr>
        <w:t>城市</w:t>
      </w:r>
      <w:r>
        <w:rPr>
          <w:rFonts w:hint="eastAsia"/>
          <w:i/>
          <w:iCs/>
          <w:color w:val="000000"/>
          <w:szCs w:val="21"/>
        </w:rPr>
        <w:t>f</w:t>
      </w:r>
      <w:r>
        <w:rPr>
          <w:rFonts w:hint="eastAsia"/>
          <w:color w:val="000000"/>
          <w:szCs w:val="21"/>
        </w:rPr>
        <w:t>家庭中的个体</w:t>
      </w:r>
      <w:r>
        <w:rPr>
          <w:rFonts w:hint="eastAsia"/>
          <w:i/>
          <w:iCs/>
          <w:color w:val="000000"/>
          <w:szCs w:val="21"/>
        </w:rPr>
        <w:t>i</w:t>
      </w:r>
      <w:r>
        <w:rPr>
          <w:rFonts w:hint="eastAsia"/>
          <w:color w:val="000000"/>
          <w:szCs w:val="21"/>
        </w:rPr>
        <w:t>在</w:t>
      </w:r>
      <w:r>
        <w:rPr>
          <w:rFonts w:hint="eastAsia"/>
          <w:i/>
          <w:iCs/>
          <w:color w:val="000000"/>
          <w:szCs w:val="21"/>
        </w:rPr>
        <w:t>t</w:t>
      </w:r>
      <w:r>
        <w:rPr>
          <w:rFonts w:hint="eastAsia"/>
          <w:color w:val="000000"/>
          <w:szCs w:val="21"/>
        </w:rPr>
        <w:t>时期健康水平的连续变量，</w:t>
      </w:r>
      <w:r>
        <w:rPr>
          <w:rFonts w:hint="eastAsia"/>
          <w:i/>
          <w:iCs/>
          <w:color w:val="000000"/>
          <w:szCs w:val="21"/>
        </w:rPr>
        <w:t>Robot</w:t>
      </w:r>
      <w:r>
        <w:rPr>
          <w:rFonts w:hint="eastAsia"/>
          <w:i/>
          <w:iCs/>
          <w:color w:val="000000"/>
          <w:szCs w:val="21"/>
          <w:vertAlign w:val="subscript"/>
        </w:rPr>
        <w:t>ct</w:t>
      </w:r>
      <w:r>
        <w:rPr>
          <w:rFonts w:hint="eastAsia"/>
          <w:color w:val="000000"/>
          <w:szCs w:val="21"/>
        </w:rPr>
        <w:t>表示</w:t>
      </w:r>
      <w:r>
        <w:rPr>
          <w:rFonts w:hint="eastAsia"/>
          <w:i/>
          <w:iCs/>
          <w:color w:val="000000"/>
          <w:szCs w:val="21"/>
        </w:rPr>
        <w:t>c</w:t>
      </w:r>
      <w:r>
        <w:rPr>
          <w:rFonts w:hint="eastAsia"/>
          <w:color w:val="000000"/>
          <w:szCs w:val="21"/>
        </w:rPr>
        <w:t>城市的机器人应用水平。在得到各因素回归系数的基础上，本文利用各因素的均值计算出对应的弹性，然后求出每个因素的集中指数，再以弹性为权重进行加权平均，实现健康不平等的分解，即：</w:t>
      </w:r>
    </w:p>
    <w:p>
      <w:pPr>
        <w:spacing w:line="240" w:lineRule="atLeast"/>
        <w:rPr>
          <w:rFonts w:hint="eastAsia"/>
          <w:color w:val="000000"/>
          <w:szCs w:val="21"/>
        </w:rPr>
      </w:pP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color w:val="000000"/>
          <w:position w:val="-28"/>
        </w:rPr>
        <w:object>
          <v:shape id="_x0000_i1037" o:spt="75" type="#_x0000_t75" style="height:32.9pt;width:106.45pt;" o:ole="t" filled="f" o:preferrelative="t" stroked="f" coordsize="21600,21600">
            <v:path/>
            <v:fill on="f" focussize="0,0"/>
            <v:stroke on="f"/>
            <v:imagedata r:id="rId24" o:title=""/>
            <o:lock v:ext="edit" aspectratio="t"/>
            <w10:wrap type="none"/>
            <w10:anchorlock/>
          </v:shape>
          <o:OLEObject Type="Embed" ProgID="Equation.DSMT4" ShapeID="_x0000_i1037" DrawAspect="Content" ObjectID="_1468075727" r:id="rId23">
            <o:LockedField>false</o:LockedField>
          </o:OLEObject>
        </w:objec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A3</w:t>
      </w:r>
      <w:r>
        <w:rPr>
          <w:color w:val="000000"/>
        </w:rPr>
        <w:t>）</w:t>
      </w:r>
    </w:p>
    <w:p>
      <w:pPr>
        <w:spacing w:line="240" w:lineRule="atLeast"/>
        <w:ind w:firstLine="392" w:firstLineChars="200"/>
        <w:jc w:val="left"/>
        <w:rPr>
          <w:rFonts w:hint="eastAsia"/>
          <w:color w:val="000000"/>
          <w:szCs w:val="21"/>
        </w:rPr>
      </w:pPr>
      <w:r>
        <w:rPr>
          <w:color w:val="000000"/>
          <w:szCs w:val="21"/>
        </w:rPr>
        <w:t>其中，</w:t>
      </w:r>
      <w:r>
        <w:rPr>
          <w:i/>
          <w:iCs/>
          <w:color w:val="000000"/>
          <w:szCs w:val="21"/>
        </w:rPr>
        <w:t>CI</w:t>
      </w:r>
      <w:r>
        <w:rPr>
          <w:color w:val="000000"/>
          <w:szCs w:val="21"/>
        </w:rPr>
        <w:t>为健康集中指数。</w:t>
      </w:r>
      <w:r>
        <w:rPr>
          <w:i/>
          <w:iCs/>
          <w:color w:val="000000"/>
          <w:szCs w:val="21"/>
        </w:rPr>
        <w:t>CI</w:t>
      </w:r>
      <w:r>
        <w:rPr>
          <w:i/>
          <w:iCs/>
          <w:color w:val="000000"/>
          <w:szCs w:val="21"/>
          <w:vertAlign w:val="subscript"/>
        </w:rPr>
        <w:t>k</w:t>
      </w:r>
      <w:r>
        <w:rPr>
          <w:color w:val="000000"/>
          <w:szCs w:val="21"/>
        </w:rPr>
        <w:t>为第</w:t>
      </w:r>
      <w:r>
        <w:rPr>
          <w:i/>
          <w:iCs/>
          <w:color w:val="000000"/>
          <w:szCs w:val="21"/>
        </w:rPr>
        <w:t>k</w:t>
      </w:r>
      <w:r>
        <w:rPr>
          <w:color w:val="000000"/>
          <w:szCs w:val="21"/>
        </w:rPr>
        <w:t>个影响因素的集中指数，计算方式如式（</w:t>
      </w:r>
      <w:r>
        <w:rPr>
          <w:rFonts w:hint="eastAsia"/>
          <w:color w:val="000000"/>
          <w:szCs w:val="21"/>
        </w:rPr>
        <w:t>A3</w:t>
      </w:r>
      <w:r>
        <w:rPr>
          <w:color w:val="000000"/>
          <w:szCs w:val="21"/>
        </w:rPr>
        <w:t>），代表各因素自身与收入相关的不平等。</w:t>
      </w:r>
      <w:r>
        <w:rPr>
          <w:i/>
          <w:iCs/>
          <w:color w:val="000000"/>
          <w:szCs w:val="21"/>
        </w:rPr>
        <w:t>η</w:t>
      </w:r>
      <w:r>
        <w:rPr>
          <w:i/>
          <w:iCs/>
          <w:color w:val="000000"/>
          <w:szCs w:val="21"/>
          <w:vertAlign w:val="subscript"/>
        </w:rPr>
        <w:t>k</w:t>
      </w:r>
      <w:r>
        <w:rPr>
          <w:color w:val="000000"/>
          <w:szCs w:val="21"/>
        </w:rPr>
        <w:t>代表第</w:t>
      </w:r>
      <w:r>
        <w:rPr>
          <w:i/>
          <w:iCs/>
          <w:color w:val="000000"/>
          <w:szCs w:val="21"/>
        </w:rPr>
        <w:t>k</w:t>
      </w:r>
      <w:r>
        <w:rPr>
          <w:color w:val="000000"/>
          <w:szCs w:val="21"/>
        </w:rPr>
        <w:t>个因素对健康的需求弹性，可以表示为</w:t>
      </w:r>
      <w:r>
        <w:rPr>
          <w:bCs/>
          <w:color w:val="000000"/>
          <w:position w:val="-10"/>
          <w:szCs w:val="21"/>
        </w:rPr>
        <w:object>
          <v:shape id="_x0000_i1038" o:spt="75" type="#_x0000_t75" style="height:14.8pt;width:50.35pt;" o:ole="t" filled="f" o:preferrelative="t" stroked="f" coordsize="21600,21600">
            <v:path/>
            <v:fill on="f" focussize="0,0"/>
            <v:stroke on="f"/>
            <v:imagedata r:id="rId26" o:title=""/>
            <o:lock v:ext="edit" aspectratio="f"/>
            <w10:wrap type="none"/>
            <w10:anchorlock/>
          </v:shape>
          <o:OLEObject Type="Embed" ProgID="Equation.DSMT4" ShapeID="_x0000_i1038" DrawAspect="Content" ObjectID="_1468075728" r:id="rId25">
            <o:LockedField>false</o:LockedField>
          </o:OLEObject>
        </w:object>
      </w:r>
      <w:r>
        <w:rPr>
          <w:color w:val="000000"/>
          <w:szCs w:val="21"/>
        </w:rPr>
        <w:t>，</w:t>
      </w:r>
      <w:r>
        <w:rPr>
          <w:rFonts w:hint="eastAsia"/>
          <w:color w:val="000000"/>
          <w:szCs w:val="21"/>
        </w:rPr>
        <w:t>即各因素的回归系数与其均值的乘积再除以健康水平的均值</w:t>
      </w:r>
      <w:r>
        <w:rPr>
          <w:color w:val="000000"/>
          <w:szCs w:val="21"/>
        </w:rPr>
        <w:t>。需求弹性</w:t>
      </w:r>
      <w:r>
        <w:rPr>
          <w:i/>
          <w:iCs/>
          <w:color w:val="000000"/>
          <w:szCs w:val="21"/>
        </w:rPr>
        <w:t>η</w:t>
      </w:r>
      <w:r>
        <w:rPr>
          <w:i/>
          <w:iCs/>
          <w:color w:val="000000"/>
          <w:szCs w:val="21"/>
          <w:vertAlign w:val="subscript"/>
        </w:rPr>
        <w:t>k</w:t>
      </w:r>
      <w:r>
        <w:rPr>
          <w:color w:val="000000"/>
          <w:szCs w:val="21"/>
        </w:rPr>
        <w:t>表示第</w:t>
      </w:r>
      <w:r>
        <w:rPr>
          <w:i/>
          <w:iCs/>
          <w:color w:val="000000"/>
          <w:szCs w:val="21"/>
        </w:rPr>
        <w:t>k</w:t>
      </w:r>
      <w:r>
        <w:rPr>
          <w:color w:val="000000"/>
          <w:szCs w:val="21"/>
        </w:rPr>
        <w:t>个因素每变化1%</w:t>
      </w:r>
      <w:r>
        <w:rPr>
          <w:rFonts w:hint="eastAsia"/>
          <w:color w:val="000000"/>
          <w:szCs w:val="21"/>
        </w:rPr>
        <w:t>所</w:t>
      </w:r>
      <w:r>
        <w:rPr>
          <w:color w:val="000000"/>
          <w:szCs w:val="21"/>
        </w:rPr>
        <w:t>引起的健康</w:t>
      </w:r>
      <w:r>
        <w:rPr>
          <w:rFonts w:hint="eastAsia"/>
          <w:color w:val="000000"/>
          <w:szCs w:val="21"/>
        </w:rPr>
        <w:t>水平</w:t>
      </w:r>
      <w:r>
        <w:rPr>
          <w:color w:val="000000"/>
          <w:szCs w:val="21"/>
        </w:rPr>
        <w:t>分值变化的百分比。最后一项</w:t>
      </w:r>
      <w:r>
        <w:rPr>
          <w:i/>
          <w:iCs/>
          <w:color w:val="000000"/>
          <w:szCs w:val="21"/>
        </w:rPr>
        <w:t>CG</w:t>
      </w:r>
      <w:r>
        <w:rPr>
          <w:i/>
          <w:iCs/>
          <w:color w:val="000000"/>
          <w:szCs w:val="21"/>
          <w:vertAlign w:val="subscript"/>
        </w:rPr>
        <w:t>ε</w:t>
      </w:r>
      <w:r>
        <w:rPr>
          <w:color w:val="000000"/>
          <w:szCs w:val="21"/>
        </w:rPr>
        <w:t>/</w:t>
      </w:r>
      <w:r>
        <w:rPr>
          <w:i/>
          <w:iCs/>
          <w:color w:val="000000"/>
          <w:szCs w:val="21"/>
        </w:rPr>
        <w:t>μ</w:t>
      </w:r>
      <w:r>
        <w:rPr>
          <w:rFonts w:hint="eastAsia"/>
          <w:color w:val="000000"/>
          <w:szCs w:val="21"/>
        </w:rPr>
        <w:t>代表</w:t>
      </w:r>
      <w:r>
        <w:rPr>
          <w:color w:val="000000"/>
          <w:szCs w:val="21"/>
        </w:rPr>
        <w:t>扰动项对健康集中指数的影响。</w:t>
      </w:r>
    </w:p>
    <w:p>
      <w:pPr>
        <w:spacing w:line="240" w:lineRule="atLeast"/>
        <w:ind w:firstLine="392" w:firstLineChars="200"/>
        <w:rPr>
          <w:rFonts w:hint="eastAsia"/>
          <w:color w:val="000000"/>
          <w:szCs w:val="21"/>
        </w:rPr>
      </w:pP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宋体" w:hAnsi="宋体"/>
          <w:b/>
          <w:bCs/>
          <w:color w:val="000000"/>
          <w:sz w:val="18"/>
          <w:szCs w:val="18"/>
        </w:rPr>
      </w:pPr>
      <w:r>
        <w:rPr>
          <w:rFonts w:hint="eastAsia" w:ascii="黑体" w:hAnsi="黑体" w:eastAsia="黑体" w:cs="黑体"/>
          <w:b w:val="0"/>
          <w:bCs w:val="0"/>
          <w:color w:val="000000"/>
          <w:sz w:val="18"/>
          <w:szCs w:val="18"/>
        </w:rPr>
        <w:t>参考文献</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1.</w:t>
      </w:r>
      <w:r>
        <w:rPr>
          <w:rFonts w:hint="eastAsia"/>
          <w:color w:val="000000"/>
          <w:sz w:val="18"/>
          <w:szCs w:val="18"/>
        </w:rPr>
        <w:t>陈东、秦子洋，2022：《人工智能与包容性增长——来自全球工业机器人使用的证据》，《经济研究》第4期，第85-102页。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2.</w:t>
      </w:r>
      <w:r>
        <w:rPr>
          <w:rFonts w:hint="eastAsia"/>
          <w:color w:val="000000"/>
          <w:sz w:val="18"/>
          <w:szCs w:val="18"/>
        </w:rPr>
        <w:t>黄群慧、余泳泽、张松林，2019：《互联网发展与制造业生产率提升：内在机制与中国经验》，《中国工业经济》第8期，第5-23页。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3.</w:t>
      </w:r>
      <w:r>
        <w:rPr>
          <w:rFonts w:hint="eastAsia"/>
          <w:color w:val="000000"/>
          <w:sz w:val="18"/>
          <w:szCs w:val="18"/>
        </w:rPr>
        <w:t>林熙、刘啟仁、冯桂媚，2023：《智能制造与绿色发展：基于工业机器人进口视角》，《世界经济》第8期，第3-31页。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4.</w:t>
      </w:r>
      <w:r>
        <w:rPr>
          <w:rFonts w:hint="eastAsia"/>
          <w:color w:val="000000"/>
          <w:sz w:val="18"/>
          <w:szCs w:val="18"/>
        </w:rPr>
        <w:t>綦建红、张志彤</w:t>
      </w:r>
      <w:r>
        <w:rPr>
          <w:rFonts w:hint="eastAsia"/>
          <w:color w:val="000000"/>
          <w:sz w:val="18"/>
        </w:rPr>
        <w:t>，2</w:t>
      </w:r>
      <w:r>
        <w:rPr>
          <w:color w:val="000000"/>
          <w:sz w:val="18"/>
        </w:rPr>
        <w:t>0</w:t>
      </w:r>
      <w:r>
        <w:rPr>
          <w:rFonts w:hint="eastAsia"/>
          <w:color w:val="000000"/>
          <w:sz w:val="18"/>
        </w:rPr>
        <w:t>22：《</w:t>
      </w:r>
      <w:r>
        <w:rPr>
          <w:rFonts w:hint="eastAsia"/>
          <w:color w:val="000000"/>
          <w:sz w:val="18"/>
          <w:szCs w:val="18"/>
        </w:rPr>
        <w:t>机器人应用与出口产品范围调整：效率与质量能否兼得</w:t>
      </w:r>
      <w:r>
        <w:rPr>
          <w:rFonts w:hint="eastAsia"/>
          <w:color w:val="000000"/>
          <w:sz w:val="18"/>
        </w:rPr>
        <w:t>》，《</w:t>
      </w:r>
      <w:r>
        <w:rPr>
          <w:rFonts w:hint="eastAsia"/>
          <w:color w:val="000000"/>
          <w:sz w:val="18"/>
          <w:szCs w:val="18"/>
        </w:rPr>
        <w:t>世界经济</w:t>
      </w:r>
      <w:r>
        <w:rPr>
          <w:rFonts w:hint="eastAsia"/>
          <w:color w:val="000000"/>
          <w:sz w:val="18"/>
        </w:rPr>
        <w:t>》第9期，第3-31页。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5.</w:t>
      </w:r>
      <w:r>
        <w:rPr>
          <w:rFonts w:hint="eastAsia"/>
          <w:color w:val="000000"/>
          <w:sz w:val="18"/>
          <w:szCs w:val="18"/>
        </w:rPr>
        <w:t>许怡、叶欣，2020：《技术升级劳动降级</w:t>
      </w:r>
      <w:r>
        <w:rPr>
          <w:rFonts w:hint="eastAsia"/>
          <w:color w:val="000000"/>
          <w:sz w:val="18"/>
          <w:szCs w:val="18"/>
          <w:lang w:eastAsia="zh-CN"/>
        </w:rPr>
        <w:t>？</w:t>
      </w:r>
      <w:r>
        <w:rPr>
          <w:rFonts w:hint="eastAsia"/>
          <w:color w:val="000000"/>
          <w:sz w:val="18"/>
          <w:szCs w:val="18"/>
        </w:rPr>
        <w:t>——基于三家“机器换人”工厂的社会学考察》，《社会学研究》第3期，第23-46页。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6.</w:t>
      </w:r>
      <w:r>
        <w:rPr>
          <w:rFonts w:hint="eastAsia"/>
          <w:color w:val="000000"/>
          <w:sz w:val="18"/>
          <w:szCs w:val="18"/>
        </w:rPr>
        <w:t>杨克文、何欢，2020：《互联网使用对居民健康的影响——基于2016年中国劳动力动态调查数据的研究》，《南开经济研究》第3期，第182-203页。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7.</w:t>
      </w:r>
      <w:r>
        <w:rPr>
          <w:rFonts w:hint="eastAsia"/>
          <w:color w:val="000000"/>
          <w:sz w:val="18"/>
          <w:szCs w:val="18"/>
        </w:rPr>
        <w:t>张军，闫雪凌，余沭乐，张雪原，2023：《工业机器人应用与劳动关系：基于司法诉讼的实证研究》，《管理世界》第12期，第90-112页。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8.</w:t>
      </w:r>
      <w:r>
        <w:rPr>
          <w:rFonts w:hint="eastAsia"/>
          <w:color w:val="000000"/>
          <w:sz w:val="18"/>
          <w:szCs w:val="18"/>
        </w:rPr>
        <w:t>赵忠、侯振刚</w:t>
      </w:r>
      <w:r>
        <w:rPr>
          <w:rFonts w:hint="eastAsia"/>
          <w:color w:val="000000"/>
          <w:sz w:val="18"/>
        </w:rPr>
        <w:t>，2</w:t>
      </w:r>
      <w:r>
        <w:rPr>
          <w:color w:val="000000"/>
          <w:sz w:val="18"/>
        </w:rPr>
        <w:t>0</w:t>
      </w:r>
      <w:r>
        <w:rPr>
          <w:rFonts w:hint="eastAsia"/>
          <w:color w:val="000000"/>
          <w:sz w:val="18"/>
        </w:rPr>
        <w:t>05：《</w:t>
      </w:r>
      <w:r>
        <w:rPr>
          <w:rFonts w:hint="eastAsia"/>
          <w:color w:val="000000"/>
          <w:sz w:val="18"/>
          <w:szCs w:val="18"/>
        </w:rPr>
        <w:t>我国城镇居民的健康需求与Grossman模型——来自截面数据的证据</w:t>
      </w:r>
      <w:r>
        <w:rPr>
          <w:rFonts w:hint="eastAsia"/>
          <w:color w:val="000000"/>
          <w:sz w:val="18"/>
        </w:rPr>
        <w:t>》，《经济研究》第10期，第79-90页。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9.</w:t>
      </w:r>
      <w:r>
        <w:rPr>
          <w:rFonts w:hint="eastAsia"/>
          <w:color w:val="000000"/>
          <w:sz w:val="18"/>
          <w:szCs w:val="18"/>
        </w:rPr>
        <w:t>周广肃、丁相元，2022：《工业机器人应用对城镇居民收入差距的影响》，《数量经济技术经济研究》第1期，第115-131页。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10.</w:t>
      </w:r>
      <w:r>
        <w:rPr>
          <w:rFonts w:hint="eastAsia"/>
          <w:color w:val="000000"/>
          <w:sz w:val="18"/>
          <w:szCs w:val="18"/>
        </w:rPr>
        <w:t>周广肃、樊纲、申广军</w:t>
      </w:r>
      <w:r>
        <w:rPr>
          <w:rFonts w:hint="eastAsia"/>
          <w:color w:val="000000"/>
          <w:sz w:val="18"/>
        </w:rPr>
        <w:t>，2</w:t>
      </w:r>
      <w:r>
        <w:rPr>
          <w:color w:val="000000"/>
          <w:sz w:val="18"/>
        </w:rPr>
        <w:t>0</w:t>
      </w:r>
      <w:r>
        <w:rPr>
          <w:rFonts w:hint="eastAsia"/>
          <w:color w:val="000000"/>
          <w:sz w:val="18"/>
        </w:rPr>
        <w:t>14：《</w:t>
      </w:r>
      <w:r>
        <w:rPr>
          <w:rFonts w:hint="eastAsia"/>
          <w:color w:val="000000"/>
          <w:sz w:val="18"/>
          <w:szCs w:val="18"/>
        </w:rPr>
        <w:t>收入差距、社会资本与健康水平——基于中国家庭追踪调查</w:t>
      </w:r>
      <w:r>
        <w:rPr>
          <w:rFonts w:hint="eastAsia"/>
          <w:color w:val="000000"/>
          <w:sz w:val="18"/>
          <w:szCs w:val="18"/>
          <w:lang w:eastAsia="zh-CN"/>
        </w:rPr>
        <w:t>（</w:t>
      </w:r>
      <w:r>
        <w:rPr>
          <w:rFonts w:hint="eastAsia"/>
          <w:color w:val="000000"/>
          <w:sz w:val="18"/>
          <w:szCs w:val="18"/>
        </w:rPr>
        <w:t>CFPS</w:t>
      </w:r>
      <w:r>
        <w:rPr>
          <w:rFonts w:hint="eastAsia"/>
          <w:color w:val="000000"/>
          <w:sz w:val="18"/>
          <w:szCs w:val="18"/>
          <w:lang w:eastAsia="zh-CN"/>
        </w:rPr>
        <w:t>）</w:t>
      </w:r>
      <w:r>
        <w:rPr>
          <w:rFonts w:hint="eastAsia"/>
          <w:color w:val="000000"/>
          <w:sz w:val="18"/>
          <w:szCs w:val="18"/>
        </w:rPr>
        <w:t>的实证分析</w:t>
      </w:r>
      <w:r>
        <w:rPr>
          <w:rFonts w:hint="eastAsia"/>
          <w:color w:val="000000"/>
          <w:sz w:val="18"/>
        </w:rPr>
        <w:t>》，《管理世界》第7期，第12-21页。</w:t>
      </w:r>
    </w:p>
    <w:p>
      <w:pPr>
        <w:pStyle w:val="96"/>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color w:val="000000"/>
          <w:sz w:val="18"/>
          <w:szCs w:val="18"/>
        </w:rPr>
      </w:pPr>
      <w:r>
        <w:rPr>
          <w:rFonts w:hint="eastAsia"/>
          <w:color w:val="000000"/>
          <w:sz w:val="18"/>
          <w:szCs w:val="18"/>
          <w:lang w:val="en-US" w:eastAsia="zh-CN"/>
        </w:rPr>
        <w:t>11.</w:t>
      </w:r>
      <w:r>
        <w:rPr>
          <w:rFonts w:hint="eastAsia"/>
          <w:color w:val="000000"/>
          <w:sz w:val="18"/>
          <w:szCs w:val="18"/>
        </w:rPr>
        <w:t xml:space="preserve">Acemoglu, D., and P. Restrepo , 2018, </w:t>
      </w:r>
      <w:r>
        <w:rPr>
          <w:color w:val="000000"/>
          <w:sz w:val="18"/>
          <w:szCs w:val="18"/>
        </w:rPr>
        <w:t>“</w:t>
      </w:r>
      <w:r>
        <w:rPr>
          <w:rFonts w:hint="eastAsia"/>
          <w:color w:val="000000"/>
          <w:sz w:val="18"/>
          <w:szCs w:val="18"/>
        </w:rPr>
        <w:t>Artificial Intelligence, Automation and Work</w:t>
      </w:r>
      <w:r>
        <w:rPr>
          <w:color w:val="000000"/>
          <w:sz w:val="18"/>
          <w:szCs w:val="18"/>
        </w:rPr>
        <w:t>”</w:t>
      </w:r>
      <w:r>
        <w:rPr>
          <w:rFonts w:hint="eastAsia"/>
          <w:color w:val="000000"/>
          <w:sz w:val="18"/>
          <w:szCs w:val="18"/>
        </w:rPr>
        <w:t>, NBER Working Paper.</w:t>
      </w:r>
    </w:p>
    <w:p/>
    <w:p>
      <w:pPr>
        <w:pStyle w:val="96"/>
        <w:ind w:firstLine="166" w:firstLineChars="100"/>
        <w:rPr>
          <w:rFonts w:hint="eastAsia" w:ascii="宋体" w:hAnsi="宋体"/>
          <w:b/>
          <w:bCs/>
          <w:color w:val="000000"/>
          <w:sz w:val="18"/>
          <w:szCs w:val="18"/>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0000000000000000000"/>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Light">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陈东等  工业机器人应用的隐性社会成本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lang w:val="en-US" w:eastAsia="zh-CN"/>
      </w:rPr>
      <w:t>陈东等  工业机器人应用的隐性社会成本</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5年第6期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5.wmf"/><Relationship Id="rId25" Type="http://schemas.openxmlformats.org/officeDocument/2006/relationships/oleObject" Target="embeddings/oleObject4.bin"/><Relationship Id="rId24" Type="http://schemas.openxmlformats.org/officeDocument/2006/relationships/image" Target="media/image14.wmf"/><Relationship Id="rId23" Type="http://schemas.openxmlformats.org/officeDocument/2006/relationships/oleObject" Target="embeddings/oleObject3.bin"/><Relationship Id="rId22" Type="http://schemas.openxmlformats.org/officeDocument/2006/relationships/image" Target="media/image13.wmf"/><Relationship Id="rId21" Type="http://schemas.openxmlformats.org/officeDocument/2006/relationships/oleObject" Target="embeddings/oleObject2.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1.emf"/><Relationship Id="rId17" Type="http://schemas.openxmlformats.org/officeDocument/2006/relationships/image" Target="media/image10.emf"/><Relationship Id="rId16" Type="http://schemas.openxmlformats.org/officeDocument/2006/relationships/image" Target="media/image9.emf"/><Relationship Id="rId15" Type="http://schemas.openxmlformats.org/officeDocument/2006/relationships/image" Target="media/image8.emf"/><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6</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2025-06-12T05:11:08Z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