
<file path=[Content_Types].xml><?xml version="1.0" encoding="utf-8"?>
<Types xmlns="http://schemas.openxmlformats.org/package/2006/content-types">
  <Default Extension="xml" ContentType="application/xml"/>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after="0" w:line="240" w:lineRule="atLeast"/>
        <w:ind w:left="0" w:leftChars="0" w:firstLine="0" w:firstLineChars="0"/>
        <w:jc w:val="center"/>
        <w:rPr>
          <w:rFonts w:hint="eastAsia" w:ascii="黑体" w:hAnsi="黑体" w:eastAsia="黑体" w:cs="黑体"/>
          <w:szCs w:val="21"/>
          <w:shd w:val="clear" w:color="auto" w:fill="FFFFFF"/>
        </w:rPr>
      </w:pPr>
      <w:bookmarkStart w:id="0" w:name="_top"/>
      <w:bookmarkEnd w:id="0"/>
    </w:p>
    <w:p>
      <w:pPr>
        <w:pStyle w:val="15"/>
        <w:spacing w:after="0" w:line="240" w:lineRule="atLeast"/>
        <w:ind w:left="0" w:leftChars="0" w:firstLine="0" w:firstLineChars="0"/>
        <w:jc w:val="center"/>
        <w:rPr>
          <w:rFonts w:hint="eastAsia" w:ascii="黑体" w:hAnsi="黑体" w:eastAsia="黑体" w:cs="黑体"/>
          <w:szCs w:val="21"/>
          <w:shd w:val="clear" w:color="auto" w:fill="FFFFFF"/>
        </w:rPr>
      </w:pPr>
    </w:p>
    <w:p>
      <w:pPr>
        <w:spacing w:line="240" w:lineRule="atLeast"/>
        <w:jc w:val="center"/>
        <w:rPr>
          <w:rFonts w:ascii="Times New Roman Regular" w:hAnsi="Times New Roman Regular" w:eastAsia="黑体" w:cs="Times New Roman Regular"/>
          <w:szCs w:val="21"/>
        </w:rPr>
      </w:pPr>
      <w:r>
        <w:rPr>
          <w:rFonts w:hint="eastAsia" w:ascii="黑体" w:hAnsi="黑体" w:eastAsia="黑体" w:cs="黑体"/>
          <w:sz w:val="44"/>
          <w:szCs w:val="44"/>
          <w:shd w:val="clear" w:color="auto" w:fill="FFFFFF"/>
        </w:rPr>
        <w:t>附  录</w:t>
      </w:r>
      <w:r>
        <w:rPr>
          <w:rFonts w:eastAsia="黑体"/>
          <w:sz w:val="44"/>
          <w:szCs w:val="44"/>
          <w:shd w:val="clear" w:color="auto" w:fill="FFFFFF"/>
          <w:vertAlign w:val="superscript"/>
        </w:rPr>
        <w:footnoteReference w:id="0" w:customMarkFollows="1"/>
        <w:t>*</w:t>
      </w:r>
    </w:p>
    <w:p>
      <w:pPr>
        <w:spacing w:after="0" w:line="480" w:lineRule="auto"/>
        <w:ind w:firstLine="452" w:firstLineChars="200"/>
        <w:rPr>
          <w:rFonts w:hint="eastAsia" w:ascii="黑体" w:hAnsi="黑体" w:eastAsia="黑体"/>
          <w:sz w:val="24"/>
        </w:rPr>
      </w:pPr>
      <w:r>
        <w:rPr>
          <w:rFonts w:hint="eastAsia" w:ascii="黑体" w:hAnsi="黑体" w:eastAsia="黑体"/>
          <w:sz w:val="24"/>
        </w:rPr>
        <w:t>附录一：工具变量可行性的进一步检验</w:t>
      </w:r>
    </w:p>
    <w:p>
      <w:pPr>
        <w:spacing w:after="0" w:line="240" w:lineRule="auto"/>
        <w:ind w:firstLine="388" w:firstLineChars="200"/>
        <w:rPr>
          <w:rFonts w:eastAsia="黑体"/>
          <w:spacing w:val="-1"/>
          <w:szCs w:val="21"/>
        </w:rPr>
      </w:pPr>
      <w:r>
        <w:rPr>
          <w:rFonts w:hint="eastAsia"/>
          <w:spacing w:val="-1"/>
          <w:szCs w:val="21"/>
        </w:rPr>
        <w:t>有学者指出使用组均值这一类工具变量时需要十分谨慎（Gormley and Matsa，2014），因为同省其他城市的财政透明度水平还可能通过未被控制的其他因素间接影响样本城市的城乡收入差距，本文进一步对工具变量可能违反的排他性约束渠道进行分析：一是，同省其他城市的财政透明度水平与这些城市的经济发展水平相关，而这些城市经济发展所产生的溢出效应或虹吸效应，可能会影响到样本城市的城乡收入差距。本文将本省其他城市GDP均值、人均GDP均值以及GDP增长速度均值加入到工具变量回归模型中，结果如表</w:t>
      </w:r>
      <w:bookmarkStart w:id="2" w:name="_GoBack"/>
      <w:bookmarkEnd w:id="2"/>
      <w:r>
        <w:rPr>
          <w:rFonts w:hint="eastAsia"/>
          <w:spacing w:val="-1"/>
          <w:szCs w:val="21"/>
        </w:rPr>
        <w:t>A1（1）列所示。结果表明，在控制了其他城市经济发展带来的影响后，基于工具变量估计的财政透明度系数仍然显著为负，与基准回归结果一致。二是，同省其他城市的财政透明度水平还与本省共同的制度环境水平相关，可能会通过其他未被考虑的制度与政策影响到样本城市的城乡收入差距。本文在回归模型中纳入制度环境指数以吸收省层面共同的制度因素对城乡收入差距的潜在影响</w:t>
      </w:r>
      <w:r>
        <w:rPr>
          <w:rStyle w:val="30"/>
          <w:rFonts w:hint="eastAsia" w:ascii="Times New Roman" w:hAnsi="Times New Roman"/>
          <w:spacing w:val="-1"/>
          <w:szCs w:val="21"/>
        </w:rPr>
        <w:footnoteReference w:id="1"/>
      </w:r>
      <w:r>
        <w:rPr>
          <w:rFonts w:hint="eastAsia"/>
          <w:spacing w:val="-1"/>
          <w:szCs w:val="21"/>
        </w:rPr>
        <w:t>，结果汇报于表A1（2）列。可以发现，在控制了共同制度因素带来的影响后，基于工具变量估计的财政透明度回归系数显著为负。综合表A1的结果，基准回归结果具有可靠性。</w:t>
      </w:r>
    </w:p>
    <w:p>
      <w:pPr>
        <w:spacing w:after="0" w:line="240" w:lineRule="auto"/>
        <w:ind w:firstLine="332" w:firstLineChars="200"/>
        <w:rPr>
          <w:rFonts w:hint="eastAsia" w:ascii="黑体" w:hAnsi="黑体" w:eastAsia="黑体" w:cs="黑体"/>
          <w:sz w:val="18"/>
          <w:szCs w:val="18"/>
        </w:rPr>
      </w:pPr>
      <w:r>
        <w:rPr>
          <w:rFonts w:hint="eastAsia" w:ascii="黑体" w:hAnsi="黑体" w:eastAsia="黑体" w:cs="黑体"/>
          <w:sz w:val="18"/>
          <w:szCs w:val="18"/>
        </w:rPr>
        <w:t>表</w:t>
      </w:r>
      <w:r>
        <w:rPr>
          <w:rFonts w:hint="eastAsia" w:eastAsia="黑体"/>
          <w:sz w:val="18"/>
          <w:szCs w:val="18"/>
        </w:rPr>
        <w:t>A1</w:t>
      </w:r>
      <w:r>
        <w:rPr>
          <w:rFonts w:ascii="黑体" w:hAnsi="黑体" w:eastAsia="黑体" w:cs="黑体"/>
          <w:sz w:val="18"/>
          <w:szCs w:val="18"/>
        </w:rPr>
        <w:t xml:space="preserve">  </w:t>
      </w:r>
      <w:r>
        <w:rPr>
          <w:rFonts w:hint="eastAsia" w:ascii="黑体" w:hAnsi="黑体" w:eastAsia="黑体" w:cs="黑体"/>
          <w:sz w:val="18"/>
          <w:szCs w:val="18"/>
        </w:rPr>
        <w:t xml:space="preserve">                               工具变量有效性检验结果</w:t>
      </w:r>
    </w:p>
    <w:tbl>
      <w:tblPr>
        <w:tblStyle w:val="33"/>
        <w:tblW w:w="8641" w:type="dxa"/>
        <w:tblInd w:w="0"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
      <w:tblGrid>
        <w:gridCol w:w="3329"/>
        <w:gridCol w:w="1328"/>
        <w:gridCol w:w="1328"/>
        <w:gridCol w:w="1328"/>
        <w:gridCol w:w="1328"/>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vMerge w:val="restart"/>
            <w:tcBorders>
              <w:left w:val="nil"/>
              <w:right w:val="single" w:color="auto" w:sz="4" w:space="0"/>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变量</w:t>
            </w:r>
          </w:p>
        </w:tc>
        <w:tc>
          <w:tcPr>
            <w:tcW w:w="2656" w:type="dxa"/>
            <w:gridSpan w:val="2"/>
            <w:tcBorders>
              <w:left w:val="single" w:color="auto" w:sz="4" w:space="0"/>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rFonts w:hint="eastAsia"/>
                <w:kern w:val="0"/>
                <w:sz w:val="18"/>
                <w:szCs w:val="18"/>
                <w:lang w:bidi="ar"/>
              </w:rPr>
              <w:t>（</w:t>
            </w:r>
            <w:r>
              <w:rPr>
                <w:kern w:val="0"/>
                <w:sz w:val="18"/>
                <w:szCs w:val="18"/>
                <w:lang w:bidi="ar"/>
              </w:rPr>
              <w:t>1</w:t>
            </w:r>
            <w:r>
              <w:rPr>
                <w:rFonts w:hint="eastAsia"/>
                <w:kern w:val="0"/>
                <w:sz w:val="18"/>
                <w:szCs w:val="18"/>
                <w:lang w:bidi="ar"/>
              </w:rPr>
              <w:t>）</w:t>
            </w:r>
            <w:r>
              <w:rPr>
                <w:rFonts w:hint="eastAsia"/>
                <w:sz w:val="18"/>
                <w:szCs w:val="18"/>
              </w:rPr>
              <w:t>城乡收入差距</w:t>
            </w:r>
          </w:p>
        </w:tc>
        <w:tc>
          <w:tcPr>
            <w:tcW w:w="2656" w:type="dxa"/>
            <w:gridSpan w:val="2"/>
            <w:tcBorders>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rFonts w:hint="eastAsia"/>
                <w:kern w:val="0"/>
                <w:sz w:val="18"/>
                <w:szCs w:val="18"/>
                <w:lang w:bidi="ar"/>
              </w:rPr>
              <w:t>（</w:t>
            </w:r>
            <w:r>
              <w:rPr>
                <w:kern w:val="0"/>
                <w:sz w:val="18"/>
                <w:szCs w:val="18"/>
                <w:lang w:bidi="ar"/>
              </w:rPr>
              <w:t>2</w:t>
            </w:r>
            <w:r>
              <w:rPr>
                <w:rFonts w:hint="eastAsia"/>
                <w:kern w:val="0"/>
                <w:sz w:val="18"/>
                <w:szCs w:val="18"/>
                <w:lang w:bidi="ar"/>
              </w:rPr>
              <w:t>）</w:t>
            </w:r>
            <w:r>
              <w:rPr>
                <w:rFonts w:hint="eastAsia"/>
                <w:sz w:val="18"/>
                <w:szCs w:val="18"/>
              </w:rPr>
              <w:t>城乡收入差距</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vMerge w:val="continue"/>
            <w:tcBorders>
              <w:left w:val="nil"/>
              <w:right w:val="single" w:color="auto" w:sz="4" w:space="0"/>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p>
        </w:tc>
        <w:tc>
          <w:tcPr>
            <w:tcW w:w="2656" w:type="dxa"/>
            <w:gridSpan w:val="2"/>
            <w:tcBorders>
              <w:top w:val="nil"/>
              <w:left w:val="single" w:color="auto" w:sz="4" w:space="0"/>
              <w:bottom w:val="single" w:color="auto" w:sz="4" w:space="0"/>
              <w:right w:val="single" w:color="auto" w:sz="4" w:space="0"/>
            </w:tcBorders>
            <w:noWrap/>
            <w:tcMar>
              <w:top w:w="12" w:type="dxa"/>
              <w:left w:w="12" w:type="dxa"/>
              <w:right w:w="12" w:type="dxa"/>
            </w:tcMar>
            <w:vAlign w:val="center"/>
          </w:tcPr>
          <w:p>
            <w:pPr>
              <w:widowControl/>
              <w:spacing w:after="0" w:line="300" w:lineRule="exact"/>
              <w:jc w:val="center"/>
              <w:textAlignment w:val="center"/>
              <w:rPr>
                <w:kern w:val="0"/>
                <w:sz w:val="18"/>
                <w:szCs w:val="18"/>
                <w:lang w:bidi="ar"/>
              </w:rPr>
            </w:pPr>
            <w:r>
              <w:rPr>
                <w:kern w:val="0"/>
                <w:sz w:val="18"/>
                <w:szCs w:val="18"/>
                <w:lang w:bidi="ar"/>
              </w:rPr>
              <w:t>2SLS</w:t>
            </w:r>
          </w:p>
        </w:tc>
        <w:tc>
          <w:tcPr>
            <w:tcW w:w="2656" w:type="dxa"/>
            <w:gridSpan w:val="2"/>
            <w:tcBorders>
              <w:top w:val="nil"/>
              <w:left w:val="single" w:color="auto" w:sz="4" w:space="0"/>
              <w:bottom w:val="single" w:color="auto" w:sz="4" w:space="0"/>
              <w:right w:val="nil"/>
            </w:tcBorders>
            <w:noWrap/>
            <w:tcMar>
              <w:top w:w="12" w:type="dxa"/>
              <w:left w:w="12" w:type="dxa"/>
              <w:right w:w="12" w:type="dxa"/>
            </w:tcMar>
            <w:vAlign w:val="center"/>
          </w:tcPr>
          <w:p>
            <w:pPr>
              <w:widowControl/>
              <w:spacing w:after="0" w:line="300" w:lineRule="exact"/>
              <w:jc w:val="center"/>
              <w:textAlignment w:val="bottom"/>
              <w:rPr>
                <w:sz w:val="18"/>
                <w:szCs w:val="18"/>
              </w:rPr>
            </w:pPr>
            <w:r>
              <w:rPr>
                <w:kern w:val="0"/>
                <w:sz w:val="18"/>
                <w:szCs w:val="18"/>
                <w:lang w:bidi="ar"/>
              </w:rPr>
              <w:t>2SLS</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vMerge w:val="continue"/>
            <w:tcBorders>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i/>
                <w:iCs/>
                <w:kern w:val="0"/>
                <w:sz w:val="18"/>
                <w:szCs w:val="18"/>
                <w:lang w:bidi="ar"/>
              </w:rPr>
            </w:pPr>
          </w:p>
        </w:tc>
        <w:tc>
          <w:tcPr>
            <w:tcW w:w="1328" w:type="dxa"/>
            <w:tcBorders>
              <w:top w:val="single" w:color="auto" w:sz="4" w:space="0"/>
              <w:left w:val="single" w:color="auto" w:sz="4" w:space="0"/>
              <w:bottom w:val="single" w:color="auto" w:sz="4" w:space="0"/>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rFonts w:hint="eastAsia"/>
                <w:kern w:val="0"/>
                <w:sz w:val="18"/>
                <w:szCs w:val="18"/>
                <w:lang w:bidi="ar"/>
              </w:rPr>
              <w:t>系数</w:t>
            </w:r>
          </w:p>
        </w:tc>
        <w:tc>
          <w:tcPr>
            <w:tcW w:w="1328" w:type="dxa"/>
            <w:tcBorders>
              <w:top w:val="single" w:color="auto" w:sz="4" w:space="0"/>
              <w:left w:val="nil"/>
              <w:bottom w:val="single" w:color="auto" w:sz="4" w:space="0"/>
              <w:right w:val="single" w:color="auto" w:sz="4" w:space="0"/>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rFonts w:hint="eastAsia"/>
                <w:kern w:val="0"/>
                <w:sz w:val="18"/>
                <w:szCs w:val="18"/>
                <w:lang w:bidi="ar"/>
              </w:rPr>
              <w:t>标准误</w:t>
            </w:r>
          </w:p>
        </w:tc>
        <w:tc>
          <w:tcPr>
            <w:tcW w:w="1328" w:type="dxa"/>
            <w:tcBorders>
              <w:top w:val="single" w:color="auto" w:sz="4" w:space="0"/>
              <w:left w:val="single" w:color="auto" w:sz="4" w:space="0"/>
              <w:bottom w:val="single" w:color="auto" w:sz="4" w:space="0"/>
              <w:right w:val="nil"/>
            </w:tcBorders>
            <w:noWrap/>
            <w:tcMar>
              <w:top w:w="12" w:type="dxa"/>
              <w:left w:w="12" w:type="dxa"/>
              <w:right w:w="12" w:type="dxa"/>
            </w:tcMar>
            <w:vAlign w:val="center"/>
          </w:tcPr>
          <w:p>
            <w:pPr>
              <w:widowControl/>
              <w:spacing w:after="0" w:line="300" w:lineRule="exact"/>
              <w:jc w:val="center"/>
              <w:textAlignment w:val="bottom"/>
              <w:rPr>
                <w:sz w:val="18"/>
                <w:szCs w:val="18"/>
              </w:rPr>
            </w:pPr>
            <w:r>
              <w:rPr>
                <w:rFonts w:hint="eastAsia"/>
                <w:sz w:val="18"/>
                <w:szCs w:val="18"/>
              </w:rPr>
              <w:t>系数</w:t>
            </w:r>
          </w:p>
        </w:tc>
        <w:tc>
          <w:tcPr>
            <w:tcW w:w="1328" w:type="dxa"/>
            <w:tcBorders>
              <w:top w:val="single" w:color="auto" w:sz="4" w:space="0"/>
              <w:left w:val="nil"/>
              <w:bottom w:val="single" w:color="auto" w:sz="4" w:space="0"/>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rFonts w:hint="eastAsia"/>
                <w:kern w:val="0"/>
                <w:sz w:val="18"/>
                <w:szCs w:val="18"/>
                <w:lang w:bidi="ar"/>
              </w:rPr>
              <w:t>标准误</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tcBorders>
              <w:top w:val="single" w:color="auto" w:sz="4" w:space="0"/>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sz w:val="18"/>
                <w:szCs w:val="18"/>
              </w:rPr>
            </w:pPr>
            <w:r>
              <w:rPr>
                <w:rFonts w:hint="eastAsia"/>
                <w:kern w:val="0"/>
                <w:sz w:val="18"/>
                <w:szCs w:val="18"/>
                <w:lang w:bidi="ar"/>
              </w:rPr>
              <w:t>财政透明度</w:t>
            </w:r>
          </w:p>
        </w:tc>
        <w:tc>
          <w:tcPr>
            <w:tcW w:w="1328" w:type="dxa"/>
            <w:tcBorders>
              <w:top w:val="single" w:color="auto" w:sz="4" w:space="0"/>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sz w:val="18"/>
                <w:szCs w:val="18"/>
              </w:rPr>
            </w:pPr>
            <w:r>
              <w:rPr>
                <w:kern w:val="0"/>
                <w:sz w:val="18"/>
                <w:szCs w:val="18"/>
                <w:lang w:bidi="ar"/>
              </w:rPr>
              <w:t>−0.0</w:t>
            </w:r>
            <w:r>
              <w:rPr>
                <w:rFonts w:hint="eastAsia"/>
                <w:kern w:val="0"/>
                <w:sz w:val="18"/>
                <w:szCs w:val="18"/>
                <w:lang w:bidi="ar"/>
              </w:rPr>
              <w:t>202</w:t>
            </w:r>
            <w:r>
              <w:rPr>
                <w:kern w:val="0"/>
                <w:sz w:val="18"/>
                <w:szCs w:val="18"/>
                <w:vertAlign w:val="superscript"/>
                <w:lang w:bidi="ar"/>
              </w:rPr>
              <w:t>***</w:t>
            </w:r>
          </w:p>
        </w:tc>
        <w:tc>
          <w:tcPr>
            <w:tcW w:w="1328" w:type="dxa"/>
            <w:tcBorders>
              <w:top w:val="single" w:color="auto" w:sz="4" w:space="0"/>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sz w:val="18"/>
                <w:szCs w:val="18"/>
              </w:rPr>
            </w:pPr>
            <w:r>
              <w:rPr>
                <w:kern w:val="0"/>
                <w:sz w:val="18"/>
                <w:szCs w:val="18"/>
                <w:lang w:bidi="ar"/>
              </w:rPr>
              <w:t>0.006</w:t>
            </w:r>
            <w:r>
              <w:rPr>
                <w:rFonts w:hint="eastAsia"/>
                <w:kern w:val="0"/>
                <w:sz w:val="18"/>
                <w:szCs w:val="18"/>
                <w:lang w:bidi="ar"/>
              </w:rPr>
              <w:t>9</w:t>
            </w:r>
          </w:p>
        </w:tc>
        <w:tc>
          <w:tcPr>
            <w:tcW w:w="1328" w:type="dxa"/>
            <w:tcBorders>
              <w:top w:val="single" w:color="auto" w:sz="4" w:space="0"/>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sz w:val="18"/>
                <w:szCs w:val="18"/>
              </w:rPr>
            </w:pPr>
            <w:r>
              <w:rPr>
                <w:kern w:val="0"/>
                <w:sz w:val="18"/>
                <w:szCs w:val="18"/>
                <w:lang w:bidi="ar"/>
              </w:rPr>
              <w:t>−0.0</w:t>
            </w:r>
            <w:r>
              <w:rPr>
                <w:rFonts w:hint="eastAsia"/>
                <w:kern w:val="0"/>
                <w:sz w:val="18"/>
                <w:szCs w:val="18"/>
                <w:lang w:bidi="ar"/>
              </w:rPr>
              <w:t>234</w:t>
            </w:r>
            <w:r>
              <w:rPr>
                <w:kern w:val="0"/>
                <w:sz w:val="18"/>
                <w:szCs w:val="18"/>
                <w:vertAlign w:val="superscript"/>
                <w:lang w:bidi="ar"/>
              </w:rPr>
              <w:t>***</w:t>
            </w:r>
          </w:p>
        </w:tc>
        <w:tc>
          <w:tcPr>
            <w:tcW w:w="1328" w:type="dxa"/>
            <w:tcBorders>
              <w:top w:val="single" w:color="auto" w:sz="4" w:space="0"/>
              <w:left w:val="nil"/>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0.00</w:t>
            </w:r>
            <w:r>
              <w:rPr>
                <w:rFonts w:hint="eastAsia"/>
                <w:kern w:val="0"/>
                <w:sz w:val="18"/>
                <w:szCs w:val="18"/>
                <w:lang w:bidi="ar"/>
              </w:rPr>
              <w:t>71</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tcBorders>
              <w:top w:val="nil"/>
              <w:left w:val="nil"/>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sz w:val="18"/>
                <w:szCs w:val="18"/>
              </w:rPr>
              <w:t>同省其他市GDP</w:t>
            </w:r>
          </w:p>
        </w:tc>
        <w:tc>
          <w:tcPr>
            <w:tcW w:w="1328" w:type="dxa"/>
            <w:tcBorders>
              <w:top w:val="nil"/>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−0.0</w:t>
            </w:r>
            <w:r>
              <w:rPr>
                <w:rFonts w:hint="eastAsia"/>
                <w:kern w:val="0"/>
                <w:sz w:val="18"/>
                <w:szCs w:val="18"/>
                <w:lang w:bidi="ar"/>
              </w:rPr>
              <w:t>180</w:t>
            </w:r>
            <w:r>
              <w:rPr>
                <w:kern w:val="0"/>
                <w:sz w:val="18"/>
                <w:szCs w:val="18"/>
                <w:vertAlign w:val="superscript"/>
                <w:lang w:bidi="ar"/>
              </w:rPr>
              <w:t>**</w:t>
            </w:r>
          </w:p>
        </w:tc>
        <w:tc>
          <w:tcPr>
            <w:tcW w:w="1328" w:type="dxa"/>
            <w:tcBorders>
              <w:top w:val="nil"/>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0.00</w:t>
            </w:r>
            <w:r>
              <w:rPr>
                <w:rFonts w:hint="eastAsia"/>
                <w:kern w:val="0"/>
                <w:sz w:val="18"/>
                <w:szCs w:val="18"/>
                <w:lang w:bidi="ar"/>
              </w:rPr>
              <w:t>75</w:t>
            </w:r>
          </w:p>
        </w:tc>
        <w:tc>
          <w:tcPr>
            <w:tcW w:w="1328" w:type="dxa"/>
            <w:tcBorders>
              <w:top w:val="nil"/>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p>
        </w:tc>
        <w:tc>
          <w:tcPr>
            <w:tcW w:w="1328" w:type="dxa"/>
            <w:tcBorders>
              <w:top w:val="nil"/>
              <w:left w:val="nil"/>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tcBorders>
              <w:top w:val="nil"/>
              <w:left w:val="nil"/>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sz w:val="18"/>
                <w:szCs w:val="18"/>
              </w:rPr>
              <w:t>同省其他市人均GDP</w:t>
            </w:r>
          </w:p>
        </w:tc>
        <w:tc>
          <w:tcPr>
            <w:tcW w:w="1328" w:type="dxa"/>
            <w:tcBorders>
              <w:top w:val="nil"/>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0.01</w:t>
            </w:r>
            <w:r>
              <w:rPr>
                <w:rFonts w:hint="eastAsia"/>
                <w:kern w:val="0"/>
                <w:sz w:val="18"/>
                <w:szCs w:val="18"/>
                <w:lang w:bidi="ar"/>
              </w:rPr>
              <w:t>24</w:t>
            </w:r>
          </w:p>
        </w:tc>
        <w:tc>
          <w:tcPr>
            <w:tcW w:w="1328" w:type="dxa"/>
            <w:tcBorders>
              <w:top w:val="nil"/>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0.00</w:t>
            </w:r>
            <w:r>
              <w:rPr>
                <w:rFonts w:hint="eastAsia"/>
                <w:kern w:val="0"/>
                <w:sz w:val="18"/>
                <w:szCs w:val="18"/>
                <w:lang w:bidi="ar"/>
              </w:rPr>
              <w:t>90</w:t>
            </w:r>
          </w:p>
        </w:tc>
        <w:tc>
          <w:tcPr>
            <w:tcW w:w="1328" w:type="dxa"/>
            <w:tcBorders>
              <w:top w:val="nil"/>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p>
        </w:tc>
        <w:tc>
          <w:tcPr>
            <w:tcW w:w="1328" w:type="dxa"/>
            <w:tcBorders>
              <w:top w:val="nil"/>
              <w:left w:val="nil"/>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tcBorders>
              <w:top w:val="nil"/>
              <w:left w:val="nil"/>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sz w:val="18"/>
                <w:szCs w:val="18"/>
              </w:rPr>
              <w:t>同省其他市GDP增长速度</w:t>
            </w:r>
          </w:p>
        </w:tc>
        <w:tc>
          <w:tcPr>
            <w:tcW w:w="1328" w:type="dxa"/>
            <w:tcBorders>
              <w:top w:val="nil"/>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−0.0</w:t>
            </w:r>
            <w:r>
              <w:rPr>
                <w:rFonts w:hint="eastAsia"/>
                <w:kern w:val="0"/>
                <w:sz w:val="18"/>
                <w:szCs w:val="18"/>
                <w:lang w:bidi="ar"/>
              </w:rPr>
              <w:t>214</w:t>
            </w:r>
          </w:p>
        </w:tc>
        <w:tc>
          <w:tcPr>
            <w:tcW w:w="1328" w:type="dxa"/>
            <w:tcBorders>
              <w:top w:val="nil"/>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0.02</w:t>
            </w:r>
            <w:r>
              <w:rPr>
                <w:rFonts w:hint="eastAsia"/>
                <w:kern w:val="0"/>
                <w:sz w:val="18"/>
                <w:szCs w:val="18"/>
                <w:lang w:bidi="ar"/>
              </w:rPr>
              <w:t>54</w:t>
            </w:r>
          </w:p>
        </w:tc>
        <w:tc>
          <w:tcPr>
            <w:tcW w:w="1328" w:type="dxa"/>
            <w:tcBorders>
              <w:top w:val="nil"/>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p>
        </w:tc>
        <w:tc>
          <w:tcPr>
            <w:tcW w:w="1328" w:type="dxa"/>
            <w:tcBorders>
              <w:top w:val="nil"/>
              <w:left w:val="nil"/>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tcBorders>
              <w:top w:val="nil"/>
              <w:left w:val="nil"/>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sz w:val="18"/>
                <w:szCs w:val="18"/>
              </w:rPr>
              <w:t>省制度环境</w:t>
            </w:r>
          </w:p>
        </w:tc>
        <w:tc>
          <w:tcPr>
            <w:tcW w:w="1328" w:type="dxa"/>
            <w:tcBorders>
              <w:top w:val="nil"/>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p>
        </w:tc>
        <w:tc>
          <w:tcPr>
            <w:tcW w:w="1328" w:type="dxa"/>
            <w:tcBorders>
              <w:top w:val="nil"/>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p>
        </w:tc>
        <w:tc>
          <w:tcPr>
            <w:tcW w:w="1328" w:type="dxa"/>
            <w:tcBorders>
              <w:top w:val="nil"/>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0.02</w:t>
            </w:r>
            <w:r>
              <w:rPr>
                <w:rFonts w:hint="eastAsia"/>
                <w:kern w:val="0"/>
                <w:sz w:val="18"/>
                <w:szCs w:val="18"/>
                <w:lang w:bidi="ar"/>
              </w:rPr>
              <w:t>68</w:t>
            </w:r>
            <w:r>
              <w:rPr>
                <w:kern w:val="0"/>
                <w:sz w:val="18"/>
                <w:szCs w:val="18"/>
                <w:vertAlign w:val="superscript"/>
                <w:lang w:bidi="ar"/>
              </w:rPr>
              <w:t>***</w:t>
            </w:r>
          </w:p>
        </w:tc>
        <w:tc>
          <w:tcPr>
            <w:tcW w:w="1328" w:type="dxa"/>
            <w:tcBorders>
              <w:top w:val="nil"/>
              <w:left w:val="nil"/>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0.0</w:t>
            </w:r>
            <w:r>
              <w:rPr>
                <w:rFonts w:hint="eastAsia"/>
                <w:kern w:val="0"/>
                <w:sz w:val="18"/>
                <w:szCs w:val="18"/>
                <w:lang w:bidi="ar"/>
              </w:rPr>
              <w:t>102</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tcBorders>
              <w:top w:val="nil"/>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center"/>
              <w:rPr>
                <w:sz w:val="18"/>
                <w:szCs w:val="18"/>
              </w:rPr>
            </w:pPr>
            <w:r>
              <w:rPr>
                <w:kern w:val="0"/>
                <w:sz w:val="18"/>
                <w:szCs w:val="18"/>
                <w:lang w:bidi="ar"/>
              </w:rPr>
              <w:t>控制变量</w:t>
            </w:r>
          </w:p>
        </w:tc>
        <w:tc>
          <w:tcPr>
            <w:tcW w:w="2656" w:type="dxa"/>
            <w:gridSpan w:val="2"/>
            <w:tcBorders>
              <w:top w:val="nil"/>
              <w:left w:val="single" w:color="auto" w:sz="4" w:space="0"/>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rFonts w:hint="eastAsia"/>
                <w:sz w:val="18"/>
                <w:szCs w:val="18"/>
              </w:rPr>
              <w:t>已控制</w:t>
            </w:r>
          </w:p>
        </w:tc>
        <w:tc>
          <w:tcPr>
            <w:tcW w:w="2656" w:type="dxa"/>
            <w:gridSpan w:val="2"/>
            <w:tcBorders>
              <w:top w:val="nil"/>
              <w:left w:val="single" w:color="auto" w:sz="4" w:space="0"/>
              <w:bottom w:val="nil"/>
              <w:right w:val="nil"/>
            </w:tcBorders>
            <w:noWrap/>
            <w:tcMar>
              <w:top w:w="12" w:type="dxa"/>
              <w:left w:w="12" w:type="dxa"/>
              <w:right w:w="12" w:type="dxa"/>
            </w:tcMar>
            <w:vAlign w:val="center"/>
          </w:tcPr>
          <w:p>
            <w:pPr>
              <w:spacing w:after="0" w:line="300" w:lineRule="exact"/>
              <w:jc w:val="center"/>
              <w:rPr>
                <w:sz w:val="18"/>
                <w:szCs w:val="18"/>
              </w:rPr>
            </w:pPr>
            <w:r>
              <w:rPr>
                <w:rFonts w:hint="eastAsia"/>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tcBorders>
              <w:top w:val="nil"/>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center"/>
              <w:rPr>
                <w:sz w:val="18"/>
                <w:szCs w:val="18"/>
              </w:rPr>
            </w:pPr>
            <w:r>
              <w:rPr>
                <w:kern w:val="0"/>
                <w:sz w:val="18"/>
                <w:szCs w:val="18"/>
                <w:lang w:bidi="ar"/>
              </w:rPr>
              <w:t>城市</w:t>
            </w:r>
            <w:r>
              <w:rPr>
                <w:rFonts w:hint="eastAsia"/>
                <w:kern w:val="0"/>
                <w:sz w:val="18"/>
                <w:szCs w:val="18"/>
                <w:lang w:bidi="ar"/>
              </w:rPr>
              <w:t>及年份</w:t>
            </w:r>
            <w:r>
              <w:rPr>
                <w:kern w:val="0"/>
                <w:sz w:val="18"/>
                <w:szCs w:val="18"/>
                <w:lang w:bidi="ar"/>
              </w:rPr>
              <w:t>固定效应</w:t>
            </w:r>
          </w:p>
        </w:tc>
        <w:tc>
          <w:tcPr>
            <w:tcW w:w="2656" w:type="dxa"/>
            <w:gridSpan w:val="2"/>
            <w:tcBorders>
              <w:top w:val="nil"/>
              <w:left w:val="single" w:color="auto" w:sz="4" w:space="0"/>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rFonts w:hint="eastAsia"/>
                <w:sz w:val="18"/>
                <w:szCs w:val="18"/>
              </w:rPr>
              <w:t>已控制</w:t>
            </w:r>
          </w:p>
        </w:tc>
        <w:tc>
          <w:tcPr>
            <w:tcW w:w="2656" w:type="dxa"/>
            <w:gridSpan w:val="2"/>
            <w:tcBorders>
              <w:top w:val="nil"/>
              <w:left w:val="single" w:color="auto" w:sz="4" w:space="0"/>
              <w:bottom w:val="nil"/>
              <w:right w:val="nil"/>
            </w:tcBorders>
            <w:noWrap/>
            <w:tcMar>
              <w:top w:w="12" w:type="dxa"/>
              <w:left w:w="12" w:type="dxa"/>
              <w:right w:w="12" w:type="dxa"/>
            </w:tcMar>
            <w:vAlign w:val="center"/>
          </w:tcPr>
          <w:p>
            <w:pPr>
              <w:spacing w:after="0" w:line="300" w:lineRule="exact"/>
              <w:jc w:val="center"/>
              <w:rPr>
                <w:sz w:val="18"/>
                <w:szCs w:val="18"/>
              </w:rPr>
            </w:pPr>
            <w:r>
              <w:rPr>
                <w:rFonts w:hint="eastAsia"/>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tcBorders>
              <w:top w:val="single" w:color="000000" w:sz="4" w:space="0"/>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sz w:val="18"/>
                <w:szCs w:val="18"/>
              </w:rPr>
            </w:pPr>
            <w:r>
              <w:rPr>
                <w:rFonts w:hint="eastAsia"/>
                <w:sz w:val="18"/>
                <w:szCs w:val="18"/>
              </w:rPr>
              <w:t>观测值</w:t>
            </w:r>
          </w:p>
        </w:tc>
        <w:tc>
          <w:tcPr>
            <w:tcW w:w="2656" w:type="dxa"/>
            <w:gridSpan w:val="2"/>
            <w:tcBorders>
              <w:top w:val="single" w:color="000000" w:sz="4" w:space="0"/>
              <w:left w:val="single" w:color="auto" w:sz="4" w:space="0"/>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sz w:val="18"/>
                <w:szCs w:val="18"/>
              </w:rPr>
            </w:pPr>
            <w:r>
              <w:rPr>
                <w:kern w:val="0"/>
                <w:sz w:val="18"/>
                <w:szCs w:val="18"/>
                <w:lang w:bidi="ar"/>
              </w:rPr>
              <w:t>2148</w:t>
            </w:r>
          </w:p>
        </w:tc>
        <w:tc>
          <w:tcPr>
            <w:tcW w:w="2656" w:type="dxa"/>
            <w:gridSpan w:val="2"/>
            <w:tcBorders>
              <w:top w:val="single" w:color="000000" w:sz="4" w:space="0"/>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2148</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3329" w:type="dxa"/>
            <w:tcBorders>
              <w:top w:val="nil"/>
              <w:left w:val="nil"/>
              <w:right w:val="single" w:color="auto" w:sz="4" w:space="0"/>
            </w:tcBorders>
            <w:noWrap/>
            <w:tcMar>
              <w:top w:w="12" w:type="dxa"/>
              <w:left w:w="12" w:type="dxa"/>
              <w:right w:w="12" w:type="dxa"/>
            </w:tcMar>
            <w:vAlign w:val="center"/>
          </w:tcPr>
          <w:p>
            <w:pPr>
              <w:widowControl/>
              <w:spacing w:after="0" w:line="300" w:lineRule="exact"/>
              <w:jc w:val="center"/>
              <w:textAlignment w:val="bottom"/>
              <w:rPr>
                <w:sz w:val="18"/>
                <w:szCs w:val="18"/>
              </w:rPr>
            </w:pPr>
            <w:r>
              <w:rPr>
                <w:rFonts w:hint="eastAsia"/>
                <w:kern w:val="0"/>
                <w:sz w:val="18"/>
                <w:szCs w:val="18"/>
                <w:lang w:bidi="ar"/>
              </w:rPr>
              <w:t>调整</w:t>
            </w:r>
            <w:r>
              <w:rPr>
                <w:kern w:val="0"/>
                <w:sz w:val="18"/>
                <w:szCs w:val="18"/>
                <w:lang w:bidi="ar"/>
              </w:rPr>
              <w:t>R</w:t>
            </w:r>
            <w:r>
              <w:rPr>
                <w:kern w:val="0"/>
                <w:sz w:val="18"/>
                <w:szCs w:val="18"/>
                <w:vertAlign w:val="superscript"/>
                <w:lang w:bidi="ar"/>
              </w:rPr>
              <w:t>2</w:t>
            </w:r>
          </w:p>
        </w:tc>
        <w:tc>
          <w:tcPr>
            <w:tcW w:w="2656" w:type="dxa"/>
            <w:gridSpan w:val="2"/>
            <w:tcBorders>
              <w:top w:val="nil"/>
              <w:left w:val="single" w:color="auto" w:sz="4" w:space="0"/>
              <w:right w:val="single" w:color="auto" w:sz="4" w:space="0"/>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w:t>
            </w:r>
            <w:r>
              <w:rPr>
                <w:rFonts w:hint="eastAsia"/>
                <w:kern w:val="0"/>
                <w:sz w:val="18"/>
                <w:szCs w:val="18"/>
                <w:lang w:bidi="ar"/>
              </w:rPr>
              <w:t>2006</w:t>
            </w:r>
          </w:p>
        </w:tc>
        <w:tc>
          <w:tcPr>
            <w:tcW w:w="2656" w:type="dxa"/>
            <w:gridSpan w:val="2"/>
            <w:tcBorders>
              <w:top w:val="nil"/>
              <w:left w:val="single" w:color="auto" w:sz="4" w:space="0"/>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w:t>
            </w:r>
            <w:r>
              <w:rPr>
                <w:rFonts w:hint="eastAsia"/>
                <w:kern w:val="0"/>
                <w:sz w:val="18"/>
                <w:szCs w:val="18"/>
                <w:lang w:bidi="ar"/>
              </w:rPr>
              <w:t>1653</w:t>
            </w:r>
          </w:p>
        </w:tc>
      </w:tr>
    </w:tbl>
    <w:p>
      <w:pPr>
        <w:spacing w:after="0" w:line="240" w:lineRule="atLeast"/>
        <w:ind w:firstLine="332" w:firstLineChars="200"/>
        <w:rPr>
          <w:rFonts w:hint="eastAsia" w:ascii="黑体" w:hAnsi="黑体" w:cs="黑体"/>
          <w:szCs w:val="21"/>
        </w:rPr>
      </w:pPr>
      <w:r>
        <w:rPr>
          <w:sz w:val="18"/>
          <w:szCs w:val="18"/>
        </w:rPr>
        <w:t>注：</w:t>
      </w:r>
      <w:r>
        <w:rPr>
          <w:rFonts w:hint="eastAsia"/>
          <w:sz w:val="18"/>
          <w:szCs w:val="18"/>
        </w:rPr>
        <w:t>①</w:t>
      </w:r>
      <w:r>
        <w:rPr>
          <w:sz w:val="18"/>
          <w:szCs w:val="18"/>
        </w:rPr>
        <w:t>***</w:t>
      </w:r>
      <w:r>
        <w:rPr>
          <w:rFonts w:hint="eastAsia"/>
          <w:sz w:val="18"/>
          <w:szCs w:val="18"/>
          <w:lang w:val="en-US" w:eastAsia="zh-CN"/>
        </w:rPr>
        <w:t>和</w:t>
      </w:r>
      <w:r>
        <w:rPr>
          <w:sz w:val="18"/>
          <w:szCs w:val="18"/>
        </w:rPr>
        <w:t>**分别</w:t>
      </w:r>
      <w:r>
        <w:rPr>
          <w:rFonts w:hint="eastAsia"/>
          <w:sz w:val="18"/>
          <w:szCs w:val="18"/>
        </w:rPr>
        <w:t>表示</w:t>
      </w:r>
      <w:r>
        <w:rPr>
          <w:sz w:val="18"/>
          <w:szCs w:val="18"/>
        </w:rPr>
        <w:t>1%</w:t>
      </w:r>
      <w:r>
        <w:rPr>
          <w:rFonts w:hint="eastAsia"/>
          <w:sz w:val="18"/>
          <w:szCs w:val="18"/>
          <w:lang w:val="en-US" w:eastAsia="zh-CN"/>
        </w:rPr>
        <w:t>和</w:t>
      </w:r>
      <w:r>
        <w:rPr>
          <w:sz w:val="18"/>
          <w:szCs w:val="18"/>
        </w:rPr>
        <w:t>5%的显著</w:t>
      </w:r>
      <w:r>
        <w:rPr>
          <w:rFonts w:hint="eastAsia"/>
          <w:sz w:val="18"/>
          <w:szCs w:val="18"/>
        </w:rPr>
        <w:t>性水平；②小</w:t>
      </w:r>
      <w:r>
        <w:rPr>
          <w:sz w:val="18"/>
          <w:szCs w:val="18"/>
        </w:rPr>
        <w:t>括号内为聚类在城市层面的稳健标准误</w:t>
      </w:r>
      <w:r>
        <w:rPr>
          <w:rFonts w:hint="eastAsia"/>
          <w:sz w:val="18"/>
          <w:szCs w:val="18"/>
        </w:rPr>
        <w:t>。</w:t>
      </w:r>
    </w:p>
    <w:p>
      <w:pPr>
        <w:spacing w:after="0" w:line="480" w:lineRule="auto"/>
        <w:ind w:firstLine="452" w:firstLineChars="200"/>
        <w:rPr>
          <w:rFonts w:hint="eastAsia" w:ascii="黑体" w:hAnsi="黑体" w:eastAsia="黑体"/>
          <w:sz w:val="24"/>
        </w:rPr>
      </w:pPr>
      <w:r>
        <w:rPr>
          <w:rFonts w:hint="eastAsia" w:ascii="黑体" w:hAnsi="黑体" w:eastAsia="黑体"/>
          <w:sz w:val="24"/>
        </w:rPr>
        <w:t>附录二：更换工具变量结果</w:t>
      </w:r>
    </w:p>
    <w:p>
      <w:pPr>
        <w:spacing w:after="0" w:line="240" w:lineRule="auto"/>
        <w:ind w:firstLine="392" w:firstLineChars="200"/>
        <w:rPr>
          <w:szCs w:val="21"/>
        </w:rPr>
      </w:pPr>
      <w:r>
        <w:rPr>
          <w:rFonts w:hint="eastAsia"/>
          <w:szCs w:val="21"/>
        </w:rPr>
        <w:t>基于城市开埠通商工具变量的两阶段最小二乘法回归结果汇报于表A2。其中，（1）列汇报的第一阶段回归结果显示，</w:t>
      </w:r>
      <w:bookmarkStart w:id="1" w:name="_Hlk197459582"/>
      <w:r>
        <w:rPr>
          <w:rFonts w:hint="eastAsia"/>
          <w:szCs w:val="21"/>
        </w:rPr>
        <w:t>城市开埠通商历史时长对财政透明度的回归系数显著为正，佐证了前文对于工具变量相关性的猜测；不可识别检验与弱工具变量检验的结果均支持了工具变量的合理性；（2）列汇报的第二阶段回归结果显示，在利用工具变量缓解内生性问题后，财政透明度对城乡收入差距的回归系数依然显著为负，与基准回归保持一致，再次证实了基本结论的稳健性。</w:t>
      </w:r>
      <w:bookmarkEnd w:id="1"/>
    </w:p>
    <w:p>
      <w:pPr>
        <w:spacing w:after="0" w:line="240" w:lineRule="auto"/>
        <w:ind w:firstLine="332" w:firstLineChars="200"/>
        <w:rPr>
          <w:rFonts w:eastAsia="黑体"/>
          <w:szCs w:val="21"/>
        </w:rPr>
      </w:pPr>
      <w:r>
        <w:rPr>
          <w:rFonts w:eastAsia="黑体"/>
          <w:sz w:val="18"/>
          <w:szCs w:val="18"/>
        </w:rPr>
        <w:t>表A</w:t>
      </w:r>
      <w:r>
        <w:rPr>
          <w:rFonts w:hint="eastAsia" w:eastAsia="黑体"/>
          <w:sz w:val="18"/>
          <w:szCs w:val="18"/>
        </w:rPr>
        <w:t>2</w:t>
      </w:r>
      <w:r>
        <w:rPr>
          <w:rFonts w:eastAsia="黑体"/>
          <w:sz w:val="18"/>
          <w:szCs w:val="18"/>
        </w:rPr>
        <w:t xml:space="preserve"> </w:t>
      </w:r>
      <w:r>
        <w:rPr>
          <w:rFonts w:hint="eastAsia" w:ascii="黑体" w:hAnsi="黑体" w:eastAsia="黑体" w:cs="黑体"/>
          <w:sz w:val="18"/>
          <w:szCs w:val="18"/>
        </w:rPr>
        <w:t xml:space="preserve">                               替换工具变量估计结果</w:t>
      </w:r>
    </w:p>
    <w:tbl>
      <w:tblPr>
        <w:tblStyle w:val="33"/>
        <w:tblW w:w="8642" w:type="dxa"/>
        <w:tblInd w:w="0"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
      <w:tblGrid>
        <w:gridCol w:w="2285"/>
        <w:gridCol w:w="1589"/>
        <w:gridCol w:w="1589"/>
        <w:gridCol w:w="1589"/>
        <w:gridCol w:w="1590"/>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vMerge w:val="restart"/>
            <w:tcBorders>
              <w:left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sz w:val="18"/>
                <w:szCs w:val="18"/>
              </w:rPr>
              <w:t>变量</w:t>
            </w:r>
          </w:p>
        </w:tc>
        <w:tc>
          <w:tcPr>
            <w:tcW w:w="3178" w:type="dxa"/>
            <w:gridSpan w:val="2"/>
            <w:tcBorders>
              <w:left w:val="single" w:color="auto" w:sz="4" w:space="0"/>
              <w:bottom w:val="nil"/>
              <w:right w:val="single" w:color="auto" w:sz="4" w:space="0"/>
            </w:tcBorders>
            <w:noWrap/>
            <w:tcMar>
              <w:top w:w="12" w:type="dxa"/>
              <w:left w:w="12" w:type="dxa"/>
              <w:right w:w="12" w:type="dxa"/>
            </w:tcMar>
            <w:vAlign w:val="center"/>
          </w:tcPr>
          <w:p>
            <w:pPr>
              <w:widowControl/>
              <w:spacing w:after="0" w:line="300" w:lineRule="exact"/>
              <w:jc w:val="center"/>
              <w:textAlignment w:val="center"/>
              <w:rPr>
                <w:kern w:val="0"/>
                <w:sz w:val="18"/>
                <w:szCs w:val="18"/>
                <w:lang w:bidi="ar"/>
              </w:rPr>
            </w:pPr>
            <w:r>
              <w:rPr>
                <w:rFonts w:hint="eastAsia"/>
                <w:kern w:val="0"/>
                <w:sz w:val="18"/>
                <w:szCs w:val="18"/>
                <w:lang w:bidi="ar"/>
              </w:rPr>
              <w:t>（1）</w:t>
            </w:r>
            <w:r>
              <w:rPr>
                <w:kern w:val="0"/>
                <w:sz w:val="18"/>
                <w:szCs w:val="18"/>
                <w:lang w:bidi="ar"/>
              </w:rPr>
              <w:t>第一阶段</w:t>
            </w:r>
          </w:p>
        </w:tc>
        <w:tc>
          <w:tcPr>
            <w:tcW w:w="3179" w:type="dxa"/>
            <w:gridSpan w:val="2"/>
            <w:tcBorders>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center"/>
              <w:rPr>
                <w:kern w:val="0"/>
                <w:sz w:val="18"/>
                <w:szCs w:val="18"/>
                <w:lang w:bidi="ar"/>
              </w:rPr>
            </w:pPr>
            <w:r>
              <w:rPr>
                <w:rFonts w:hint="eastAsia"/>
                <w:kern w:val="0"/>
                <w:sz w:val="18"/>
                <w:szCs w:val="18"/>
                <w:lang w:bidi="ar"/>
              </w:rPr>
              <w:t>（2）</w:t>
            </w:r>
            <w:r>
              <w:rPr>
                <w:kern w:val="0"/>
                <w:sz w:val="18"/>
                <w:szCs w:val="18"/>
                <w:lang w:bidi="ar"/>
              </w:rPr>
              <w:t>第二阶段</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vMerge w:val="continue"/>
            <w:tcBorders>
              <w:left w:val="nil"/>
              <w:right w:val="single" w:color="auto" w:sz="4" w:space="0"/>
            </w:tcBorders>
            <w:noWrap/>
            <w:tcMar>
              <w:top w:w="12" w:type="dxa"/>
              <w:left w:w="12" w:type="dxa"/>
              <w:right w:w="12" w:type="dxa"/>
            </w:tcMar>
            <w:vAlign w:val="center"/>
          </w:tcPr>
          <w:p>
            <w:pPr>
              <w:spacing w:after="0" w:line="300" w:lineRule="exact"/>
              <w:jc w:val="center"/>
              <w:rPr>
                <w:sz w:val="18"/>
                <w:szCs w:val="18"/>
              </w:rPr>
            </w:pPr>
          </w:p>
        </w:tc>
        <w:tc>
          <w:tcPr>
            <w:tcW w:w="3178" w:type="dxa"/>
            <w:gridSpan w:val="2"/>
            <w:tcBorders>
              <w:top w:val="nil"/>
              <w:left w:val="single" w:color="auto" w:sz="4" w:space="0"/>
              <w:bottom w:val="single" w:color="auto" w:sz="4" w:space="0"/>
              <w:right w:val="single" w:color="auto" w:sz="4" w:space="0"/>
            </w:tcBorders>
            <w:noWrap/>
            <w:tcMar>
              <w:top w:w="12" w:type="dxa"/>
              <w:left w:w="12" w:type="dxa"/>
              <w:right w:w="12" w:type="dxa"/>
            </w:tcMar>
            <w:vAlign w:val="center"/>
          </w:tcPr>
          <w:p>
            <w:pPr>
              <w:widowControl/>
              <w:spacing w:after="0" w:line="300" w:lineRule="exact"/>
              <w:jc w:val="center"/>
              <w:textAlignment w:val="center"/>
              <w:rPr>
                <w:sz w:val="18"/>
                <w:szCs w:val="18"/>
              </w:rPr>
            </w:pPr>
            <w:r>
              <w:rPr>
                <w:rFonts w:hint="eastAsia"/>
                <w:sz w:val="18"/>
                <w:szCs w:val="18"/>
              </w:rPr>
              <w:t>财政透明度</w:t>
            </w:r>
          </w:p>
        </w:tc>
        <w:tc>
          <w:tcPr>
            <w:tcW w:w="3179" w:type="dxa"/>
            <w:gridSpan w:val="2"/>
            <w:tcBorders>
              <w:top w:val="nil"/>
              <w:left w:val="single" w:color="auto" w:sz="4" w:space="0"/>
              <w:bottom w:val="single" w:color="auto" w:sz="4" w:space="0"/>
              <w:right w:val="nil"/>
            </w:tcBorders>
            <w:noWrap/>
            <w:tcMar>
              <w:top w:w="12" w:type="dxa"/>
              <w:left w:w="12" w:type="dxa"/>
              <w:right w:w="12" w:type="dxa"/>
            </w:tcMar>
            <w:vAlign w:val="center"/>
          </w:tcPr>
          <w:p>
            <w:pPr>
              <w:widowControl/>
              <w:spacing w:after="0" w:line="300" w:lineRule="exact"/>
              <w:jc w:val="center"/>
              <w:textAlignment w:val="center"/>
              <w:rPr>
                <w:sz w:val="18"/>
                <w:szCs w:val="18"/>
              </w:rPr>
            </w:pPr>
            <w:r>
              <w:rPr>
                <w:rFonts w:hint="eastAsia"/>
                <w:sz w:val="18"/>
                <w:szCs w:val="18"/>
              </w:rPr>
              <w:t>城乡收入差距</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vMerge w:val="continue"/>
            <w:tcBorders>
              <w:left w:val="nil"/>
              <w:bottom w:val="single" w:color="auto" w:sz="4" w:space="0"/>
              <w:right w:val="single" w:color="auto" w:sz="4" w:space="0"/>
            </w:tcBorders>
            <w:noWrap/>
            <w:tcMar>
              <w:top w:w="12" w:type="dxa"/>
              <w:left w:w="12" w:type="dxa"/>
              <w:right w:w="12" w:type="dxa"/>
            </w:tcMar>
            <w:vAlign w:val="center"/>
          </w:tcPr>
          <w:p>
            <w:pPr>
              <w:widowControl/>
              <w:spacing w:after="0" w:line="300" w:lineRule="exact"/>
              <w:jc w:val="center"/>
              <w:textAlignment w:val="bottom"/>
              <w:rPr>
                <w:i/>
                <w:iCs/>
                <w:sz w:val="18"/>
                <w:szCs w:val="18"/>
              </w:rPr>
            </w:pPr>
          </w:p>
        </w:tc>
        <w:tc>
          <w:tcPr>
            <w:tcW w:w="1589" w:type="dxa"/>
            <w:tcBorders>
              <w:top w:val="single" w:color="auto" w:sz="4" w:space="0"/>
              <w:left w:val="single" w:color="auto" w:sz="4" w:space="0"/>
              <w:bottom w:val="single" w:color="auto" w:sz="4" w:space="0"/>
              <w:right w:val="nil"/>
            </w:tcBorders>
            <w:noWrap/>
            <w:tcMar>
              <w:top w:w="12" w:type="dxa"/>
              <w:left w:w="12" w:type="dxa"/>
              <w:right w:w="12" w:type="dxa"/>
            </w:tcMar>
            <w:vAlign w:val="center"/>
          </w:tcPr>
          <w:p>
            <w:pPr>
              <w:spacing w:after="0" w:line="300" w:lineRule="exact"/>
              <w:jc w:val="center"/>
              <w:rPr>
                <w:sz w:val="18"/>
                <w:szCs w:val="18"/>
              </w:rPr>
            </w:pPr>
            <w:r>
              <w:rPr>
                <w:rFonts w:hint="eastAsia"/>
                <w:sz w:val="18"/>
                <w:szCs w:val="18"/>
              </w:rPr>
              <w:t>系数</w:t>
            </w:r>
          </w:p>
        </w:tc>
        <w:tc>
          <w:tcPr>
            <w:tcW w:w="1589" w:type="dxa"/>
            <w:tcBorders>
              <w:top w:val="single" w:color="auto" w:sz="4" w:space="0"/>
              <w:left w:val="nil"/>
              <w:bottom w:val="single" w:color="auto" w:sz="4" w:space="0"/>
              <w:right w:val="single" w:color="auto" w:sz="4" w:space="0"/>
            </w:tcBorders>
            <w:noWrap/>
            <w:tcMar>
              <w:top w:w="12" w:type="dxa"/>
              <w:left w:w="12" w:type="dxa"/>
              <w:right w:w="12" w:type="dxa"/>
            </w:tcMar>
            <w:vAlign w:val="center"/>
          </w:tcPr>
          <w:p>
            <w:pPr>
              <w:spacing w:after="0" w:line="300" w:lineRule="exact"/>
              <w:jc w:val="center"/>
              <w:rPr>
                <w:sz w:val="18"/>
                <w:szCs w:val="18"/>
              </w:rPr>
            </w:pPr>
            <w:r>
              <w:rPr>
                <w:rFonts w:hint="eastAsia"/>
                <w:sz w:val="18"/>
                <w:szCs w:val="18"/>
              </w:rPr>
              <w:t>标准误</w:t>
            </w:r>
          </w:p>
        </w:tc>
        <w:tc>
          <w:tcPr>
            <w:tcW w:w="1589" w:type="dxa"/>
            <w:tcBorders>
              <w:top w:val="single" w:color="auto" w:sz="4" w:space="0"/>
              <w:left w:val="single" w:color="auto" w:sz="4" w:space="0"/>
              <w:bottom w:val="single" w:color="auto" w:sz="4" w:space="0"/>
              <w:right w:val="nil"/>
            </w:tcBorders>
            <w:noWrap/>
            <w:tcMar>
              <w:top w:w="12" w:type="dxa"/>
              <w:left w:w="12" w:type="dxa"/>
              <w:right w:w="12" w:type="dxa"/>
            </w:tcMar>
            <w:vAlign w:val="center"/>
          </w:tcPr>
          <w:p>
            <w:pPr>
              <w:widowControl/>
              <w:spacing w:after="0" w:line="300" w:lineRule="exact"/>
              <w:jc w:val="center"/>
              <w:textAlignment w:val="bottom"/>
              <w:rPr>
                <w:sz w:val="18"/>
                <w:szCs w:val="18"/>
              </w:rPr>
            </w:pPr>
            <w:r>
              <w:rPr>
                <w:rFonts w:hint="eastAsia"/>
                <w:kern w:val="0"/>
                <w:sz w:val="18"/>
                <w:szCs w:val="18"/>
                <w:lang w:bidi="ar"/>
              </w:rPr>
              <w:t>系数</w:t>
            </w:r>
          </w:p>
        </w:tc>
        <w:tc>
          <w:tcPr>
            <w:tcW w:w="1590" w:type="dxa"/>
            <w:tcBorders>
              <w:top w:val="single" w:color="auto" w:sz="4" w:space="0"/>
              <w:left w:val="nil"/>
              <w:bottom w:val="single" w:color="auto" w:sz="4" w:space="0"/>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rFonts w:hint="eastAsia"/>
                <w:kern w:val="0"/>
                <w:sz w:val="18"/>
                <w:szCs w:val="18"/>
                <w:lang w:bidi="ar"/>
              </w:rPr>
              <w:t>标准误</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tcBorders>
              <w:top w:val="single" w:color="auto" w:sz="4" w:space="0"/>
              <w:left w:val="nil"/>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rFonts w:hint="eastAsia"/>
                <w:sz w:val="18"/>
                <w:szCs w:val="18"/>
              </w:rPr>
              <w:t>财政透明度</w:t>
            </w:r>
          </w:p>
        </w:tc>
        <w:tc>
          <w:tcPr>
            <w:tcW w:w="1589" w:type="dxa"/>
            <w:tcBorders>
              <w:top w:val="single" w:color="auto" w:sz="4" w:space="0"/>
              <w:left w:val="single" w:color="auto" w:sz="4" w:space="0"/>
              <w:bottom w:val="nil"/>
              <w:right w:val="nil"/>
            </w:tcBorders>
            <w:noWrap/>
            <w:tcMar>
              <w:top w:w="12" w:type="dxa"/>
              <w:left w:w="12" w:type="dxa"/>
              <w:right w:w="12" w:type="dxa"/>
            </w:tcMar>
            <w:vAlign w:val="center"/>
          </w:tcPr>
          <w:p>
            <w:pPr>
              <w:spacing w:after="0" w:line="300" w:lineRule="exact"/>
              <w:jc w:val="center"/>
              <w:rPr>
                <w:sz w:val="18"/>
                <w:szCs w:val="18"/>
              </w:rPr>
            </w:pPr>
          </w:p>
        </w:tc>
        <w:tc>
          <w:tcPr>
            <w:tcW w:w="1589" w:type="dxa"/>
            <w:tcBorders>
              <w:top w:val="single" w:color="auto" w:sz="4" w:space="0"/>
              <w:left w:val="nil"/>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p>
        </w:tc>
        <w:tc>
          <w:tcPr>
            <w:tcW w:w="1589" w:type="dxa"/>
            <w:tcBorders>
              <w:top w:val="single" w:color="auto" w:sz="4" w:space="0"/>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bottom"/>
              <w:rPr>
                <w:sz w:val="18"/>
                <w:szCs w:val="18"/>
              </w:rPr>
            </w:pPr>
            <w:r>
              <w:rPr>
                <w:kern w:val="0"/>
                <w:sz w:val="18"/>
                <w:szCs w:val="18"/>
                <w:lang w:bidi="ar"/>
              </w:rPr>
              <w:t>−0.0</w:t>
            </w:r>
            <w:r>
              <w:rPr>
                <w:rFonts w:hint="eastAsia"/>
                <w:kern w:val="0"/>
                <w:sz w:val="18"/>
                <w:szCs w:val="18"/>
                <w:lang w:bidi="ar"/>
              </w:rPr>
              <w:t>655</w:t>
            </w:r>
            <w:r>
              <w:rPr>
                <w:kern w:val="0"/>
                <w:sz w:val="18"/>
                <w:szCs w:val="18"/>
                <w:vertAlign w:val="superscript"/>
                <w:lang w:bidi="ar"/>
              </w:rPr>
              <w:t>**</w:t>
            </w:r>
          </w:p>
        </w:tc>
        <w:tc>
          <w:tcPr>
            <w:tcW w:w="1590" w:type="dxa"/>
            <w:tcBorders>
              <w:top w:val="single" w:color="auto" w:sz="4" w:space="0"/>
              <w:left w:val="nil"/>
              <w:bottom w:val="nil"/>
              <w:right w:val="nil"/>
            </w:tcBorders>
            <w:noWrap/>
            <w:tcMar>
              <w:top w:w="12" w:type="dxa"/>
              <w:left w:w="12" w:type="dxa"/>
              <w:right w:w="12" w:type="dxa"/>
            </w:tcMar>
            <w:vAlign w:val="center"/>
          </w:tcPr>
          <w:p>
            <w:pPr>
              <w:widowControl/>
              <w:spacing w:after="0" w:line="300" w:lineRule="exact"/>
              <w:jc w:val="center"/>
              <w:textAlignment w:val="bottom"/>
              <w:rPr>
                <w:kern w:val="0"/>
                <w:sz w:val="18"/>
                <w:szCs w:val="18"/>
                <w:lang w:bidi="ar"/>
              </w:rPr>
            </w:pPr>
            <w:r>
              <w:rPr>
                <w:kern w:val="0"/>
                <w:sz w:val="18"/>
                <w:szCs w:val="18"/>
                <w:lang w:bidi="ar"/>
              </w:rPr>
              <w:t>0.0</w:t>
            </w:r>
            <w:r>
              <w:rPr>
                <w:rFonts w:hint="eastAsia"/>
                <w:kern w:val="0"/>
                <w:sz w:val="18"/>
                <w:szCs w:val="18"/>
                <w:lang w:bidi="ar"/>
              </w:rPr>
              <w:t>249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tcBorders>
              <w:top w:val="nil"/>
              <w:left w:val="nil"/>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sz w:val="18"/>
                <w:szCs w:val="18"/>
              </w:rPr>
              <w:t>开埠通商历史时长</w:t>
            </w:r>
          </w:p>
        </w:tc>
        <w:tc>
          <w:tcPr>
            <w:tcW w:w="1589" w:type="dxa"/>
            <w:tcBorders>
              <w:top w:val="nil"/>
              <w:left w:val="single" w:color="auto" w:sz="4" w:space="0"/>
              <w:bottom w:val="nil"/>
              <w:right w:val="nil"/>
            </w:tcBorders>
            <w:noWrap/>
            <w:tcMar>
              <w:top w:w="12" w:type="dxa"/>
              <w:left w:w="12" w:type="dxa"/>
              <w:right w:w="12" w:type="dxa"/>
            </w:tcMar>
            <w:vAlign w:val="center"/>
          </w:tcPr>
          <w:p>
            <w:pPr>
              <w:spacing w:after="0" w:line="300" w:lineRule="exact"/>
              <w:jc w:val="center"/>
              <w:rPr>
                <w:sz w:val="18"/>
                <w:szCs w:val="18"/>
              </w:rPr>
            </w:pPr>
            <w:r>
              <w:rPr>
                <w:rFonts w:hint="eastAsia"/>
                <w:sz w:val="18"/>
                <w:szCs w:val="18"/>
              </w:rPr>
              <w:t>3.5189</w:t>
            </w:r>
            <w:r>
              <w:rPr>
                <w:sz w:val="18"/>
                <w:szCs w:val="18"/>
                <w:vertAlign w:val="superscript"/>
              </w:rPr>
              <w:t>**</w:t>
            </w:r>
            <w:r>
              <w:rPr>
                <w:rFonts w:hint="eastAsia"/>
                <w:sz w:val="18"/>
                <w:szCs w:val="18"/>
                <w:vertAlign w:val="superscript"/>
              </w:rPr>
              <w:t>*</w:t>
            </w:r>
          </w:p>
        </w:tc>
        <w:tc>
          <w:tcPr>
            <w:tcW w:w="1589" w:type="dxa"/>
            <w:tcBorders>
              <w:top w:val="nil"/>
              <w:left w:val="nil"/>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sz w:val="18"/>
                <w:szCs w:val="18"/>
              </w:rPr>
              <w:t>0.</w:t>
            </w:r>
            <w:r>
              <w:rPr>
                <w:rFonts w:hint="eastAsia"/>
                <w:sz w:val="18"/>
                <w:szCs w:val="18"/>
              </w:rPr>
              <w:t>6747</w:t>
            </w:r>
          </w:p>
        </w:tc>
        <w:tc>
          <w:tcPr>
            <w:tcW w:w="1589" w:type="dxa"/>
            <w:tcBorders>
              <w:top w:val="nil"/>
              <w:left w:val="single" w:color="auto" w:sz="4" w:space="0"/>
              <w:bottom w:val="nil"/>
              <w:right w:val="nil"/>
            </w:tcBorders>
            <w:noWrap/>
            <w:tcMar>
              <w:top w:w="12" w:type="dxa"/>
              <w:left w:w="12" w:type="dxa"/>
              <w:right w:w="12" w:type="dxa"/>
            </w:tcMar>
            <w:vAlign w:val="center"/>
          </w:tcPr>
          <w:p>
            <w:pPr>
              <w:spacing w:after="0" w:line="300" w:lineRule="exact"/>
              <w:jc w:val="center"/>
              <w:rPr>
                <w:sz w:val="18"/>
                <w:szCs w:val="18"/>
              </w:rPr>
            </w:pPr>
          </w:p>
        </w:tc>
        <w:tc>
          <w:tcPr>
            <w:tcW w:w="1590" w:type="dxa"/>
            <w:tcBorders>
              <w:top w:val="nil"/>
              <w:left w:val="nil"/>
              <w:bottom w:val="nil"/>
              <w:right w:val="nil"/>
            </w:tcBorders>
            <w:noWrap/>
            <w:tcMar>
              <w:top w:w="12" w:type="dxa"/>
              <w:left w:w="12" w:type="dxa"/>
              <w:right w:w="12" w:type="dxa"/>
            </w:tcMar>
            <w:vAlign w:val="center"/>
          </w:tcPr>
          <w:p>
            <w:pPr>
              <w:spacing w:after="0" w:line="300" w:lineRule="exact"/>
              <w:jc w:val="center"/>
              <w:rPr>
                <w:sz w:val="18"/>
                <w:szCs w:val="18"/>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tcBorders>
              <w:top w:val="nil"/>
              <w:left w:val="nil"/>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sz w:val="18"/>
                <w:szCs w:val="18"/>
              </w:rPr>
              <w:t>K-P LM统计量</w:t>
            </w:r>
          </w:p>
        </w:tc>
        <w:tc>
          <w:tcPr>
            <w:tcW w:w="3178" w:type="dxa"/>
            <w:gridSpan w:val="2"/>
            <w:tcBorders>
              <w:top w:val="nil"/>
              <w:left w:val="single" w:color="auto" w:sz="4" w:space="0"/>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p>
        </w:tc>
        <w:tc>
          <w:tcPr>
            <w:tcW w:w="3179" w:type="dxa"/>
            <w:gridSpan w:val="2"/>
            <w:tcBorders>
              <w:top w:val="nil"/>
              <w:left w:val="single" w:color="auto" w:sz="4" w:space="0"/>
              <w:bottom w:val="nil"/>
              <w:right w:val="nil"/>
            </w:tcBorders>
            <w:noWrap/>
            <w:tcMar>
              <w:top w:w="12" w:type="dxa"/>
              <w:left w:w="12" w:type="dxa"/>
              <w:right w:w="12" w:type="dxa"/>
            </w:tcMar>
            <w:vAlign w:val="center"/>
          </w:tcPr>
          <w:p>
            <w:pPr>
              <w:spacing w:after="0" w:line="300" w:lineRule="exact"/>
              <w:jc w:val="center"/>
              <w:rPr>
                <w:sz w:val="18"/>
                <w:szCs w:val="18"/>
              </w:rPr>
            </w:pPr>
            <w:r>
              <w:rPr>
                <w:rFonts w:hint="eastAsia"/>
                <w:sz w:val="18"/>
                <w:szCs w:val="18"/>
              </w:rPr>
              <w:t>16.845</w:t>
            </w:r>
            <w:r>
              <w:rPr>
                <w:sz w:val="18"/>
                <w:szCs w:val="18"/>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tcBorders>
              <w:top w:val="nil"/>
              <w:left w:val="nil"/>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r>
              <w:rPr>
                <w:sz w:val="18"/>
                <w:szCs w:val="18"/>
              </w:rPr>
              <w:t>K-P W F统计量</w:t>
            </w:r>
          </w:p>
        </w:tc>
        <w:tc>
          <w:tcPr>
            <w:tcW w:w="3178" w:type="dxa"/>
            <w:gridSpan w:val="2"/>
            <w:tcBorders>
              <w:top w:val="nil"/>
              <w:left w:val="single" w:color="auto" w:sz="4" w:space="0"/>
              <w:bottom w:val="nil"/>
              <w:right w:val="single" w:color="auto" w:sz="4" w:space="0"/>
            </w:tcBorders>
            <w:noWrap/>
            <w:tcMar>
              <w:top w:w="12" w:type="dxa"/>
              <w:left w:w="12" w:type="dxa"/>
              <w:right w:w="12" w:type="dxa"/>
            </w:tcMar>
            <w:vAlign w:val="center"/>
          </w:tcPr>
          <w:p>
            <w:pPr>
              <w:spacing w:after="0" w:line="300" w:lineRule="exact"/>
              <w:jc w:val="center"/>
              <w:rPr>
                <w:sz w:val="18"/>
                <w:szCs w:val="18"/>
              </w:rPr>
            </w:pPr>
          </w:p>
        </w:tc>
        <w:tc>
          <w:tcPr>
            <w:tcW w:w="3179" w:type="dxa"/>
            <w:gridSpan w:val="2"/>
            <w:tcBorders>
              <w:top w:val="nil"/>
              <w:left w:val="single" w:color="auto" w:sz="4" w:space="0"/>
              <w:bottom w:val="nil"/>
              <w:right w:val="nil"/>
            </w:tcBorders>
            <w:noWrap/>
            <w:tcMar>
              <w:top w:w="12" w:type="dxa"/>
              <w:left w:w="12" w:type="dxa"/>
              <w:right w:w="12" w:type="dxa"/>
            </w:tcMar>
            <w:vAlign w:val="center"/>
          </w:tcPr>
          <w:p>
            <w:pPr>
              <w:spacing w:after="0" w:line="300" w:lineRule="exact"/>
              <w:jc w:val="center"/>
              <w:rPr>
                <w:sz w:val="18"/>
                <w:szCs w:val="18"/>
              </w:rPr>
            </w:pPr>
            <w:r>
              <w:rPr>
                <w:rFonts w:hint="eastAsia"/>
                <w:sz w:val="18"/>
                <w:szCs w:val="18"/>
              </w:rPr>
              <w:t>27.199</w:t>
            </w:r>
            <w:r>
              <w:rPr>
                <w:rFonts w:hint="eastAsia" w:ascii="宋体" w:hAnsi="宋体" w:cs="宋体"/>
                <w:sz w:val="18"/>
                <w:szCs w:val="18"/>
              </w:rPr>
              <w:t>[</w:t>
            </w:r>
            <w:r>
              <w:rPr>
                <w:sz w:val="18"/>
                <w:szCs w:val="18"/>
              </w:rPr>
              <w:t>16.38</w:t>
            </w:r>
            <w:r>
              <w:rPr>
                <w:rFonts w:hint="eastAsia" w:ascii="宋体" w:hAnsi="宋体" w:cs="宋体"/>
                <w:sz w:val="18"/>
                <w:szCs w:val="18"/>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tcBorders>
              <w:top w:val="nil"/>
              <w:left w:val="nil"/>
              <w:bottom w:val="nil"/>
              <w:right w:val="single" w:color="auto" w:sz="4" w:space="0"/>
            </w:tcBorders>
            <w:noWrap/>
            <w:tcMar>
              <w:top w:w="12" w:type="dxa"/>
              <w:left w:w="12" w:type="dxa"/>
              <w:right w:w="12" w:type="dxa"/>
            </w:tcMar>
            <w:vAlign w:val="center"/>
          </w:tcPr>
          <w:p>
            <w:pPr>
              <w:spacing w:after="0" w:line="300" w:lineRule="exact"/>
              <w:jc w:val="center"/>
              <w:rPr>
                <w:kern w:val="0"/>
                <w:sz w:val="18"/>
                <w:szCs w:val="18"/>
                <w:lang w:bidi="ar"/>
              </w:rPr>
            </w:pPr>
            <w:r>
              <w:rPr>
                <w:sz w:val="18"/>
                <w:szCs w:val="18"/>
              </w:rPr>
              <w:t>控制变量</w:t>
            </w:r>
          </w:p>
        </w:tc>
        <w:tc>
          <w:tcPr>
            <w:tcW w:w="3178" w:type="dxa"/>
            <w:gridSpan w:val="2"/>
            <w:tcBorders>
              <w:top w:val="nil"/>
              <w:left w:val="single" w:color="auto" w:sz="4" w:space="0"/>
              <w:bottom w:val="nil"/>
              <w:right w:val="single" w:color="auto" w:sz="4" w:space="0"/>
            </w:tcBorders>
            <w:noWrap/>
            <w:tcMar>
              <w:top w:w="12" w:type="dxa"/>
              <w:left w:w="12" w:type="dxa"/>
              <w:right w:w="12" w:type="dxa"/>
            </w:tcMar>
            <w:vAlign w:val="center"/>
          </w:tcPr>
          <w:p>
            <w:pPr>
              <w:spacing w:after="0" w:line="300" w:lineRule="exact"/>
              <w:jc w:val="center"/>
              <w:rPr>
                <w:kern w:val="0"/>
                <w:sz w:val="18"/>
                <w:szCs w:val="18"/>
                <w:lang w:bidi="ar"/>
              </w:rPr>
            </w:pPr>
            <w:r>
              <w:rPr>
                <w:rFonts w:hint="eastAsia"/>
                <w:sz w:val="18"/>
                <w:szCs w:val="18"/>
              </w:rPr>
              <w:t>已控制</w:t>
            </w:r>
          </w:p>
        </w:tc>
        <w:tc>
          <w:tcPr>
            <w:tcW w:w="3179" w:type="dxa"/>
            <w:gridSpan w:val="2"/>
            <w:tcBorders>
              <w:top w:val="nil"/>
              <w:left w:val="single" w:color="auto" w:sz="4" w:space="0"/>
              <w:bottom w:val="nil"/>
              <w:right w:val="nil"/>
            </w:tcBorders>
            <w:noWrap/>
            <w:tcMar>
              <w:top w:w="12" w:type="dxa"/>
              <w:left w:w="12" w:type="dxa"/>
              <w:right w:w="12" w:type="dxa"/>
            </w:tcMar>
            <w:vAlign w:val="center"/>
          </w:tcPr>
          <w:p>
            <w:pPr>
              <w:spacing w:after="0" w:line="300" w:lineRule="exact"/>
              <w:jc w:val="center"/>
              <w:rPr>
                <w:kern w:val="0"/>
                <w:sz w:val="18"/>
                <w:szCs w:val="18"/>
                <w:lang w:bidi="ar"/>
              </w:rPr>
            </w:pPr>
            <w:r>
              <w:rPr>
                <w:rFonts w:hint="eastAsia"/>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tcBorders>
              <w:top w:val="nil"/>
              <w:left w:val="nil"/>
              <w:bottom w:val="single" w:color="auto" w:sz="4" w:space="0"/>
              <w:right w:val="single" w:color="auto" w:sz="4" w:space="0"/>
            </w:tcBorders>
            <w:noWrap/>
            <w:tcMar>
              <w:top w:w="12" w:type="dxa"/>
              <w:left w:w="12" w:type="dxa"/>
              <w:right w:w="12" w:type="dxa"/>
            </w:tcMar>
            <w:vAlign w:val="center"/>
          </w:tcPr>
          <w:p>
            <w:pPr>
              <w:spacing w:after="0" w:line="300" w:lineRule="exact"/>
              <w:jc w:val="center"/>
              <w:rPr>
                <w:kern w:val="0"/>
                <w:sz w:val="18"/>
                <w:szCs w:val="18"/>
                <w:lang w:bidi="ar"/>
              </w:rPr>
            </w:pPr>
            <w:r>
              <w:rPr>
                <w:sz w:val="18"/>
                <w:szCs w:val="18"/>
              </w:rPr>
              <w:t>城市固定效应</w:t>
            </w:r>
          </w:p>
        </w:tc>
        <w:tc>
          <w:tcPr>
            <w:tcW w:w="3178" w:type="dxa"/>
            <w:gridSpan w:val="2"/>
            <w:tcBorders>
              <w:top w:val="nil"/>
              <w:left w:val="single" w:color="auto" w:sz="4" w:space="0"/>
              <w:bottom w:val="single" w:color="auto" w:sz="4" w:space="0"/>
              <w:right w:val="single" w:color="auto" w:sz="4" w:space="0"/>
            </w:tcBorders>
            <w:noWrap/>
            <w:tcMar>
              <w:top w:w="12" w:type="dxa"/>
              <w:left w:w="12" w:type="dxa"/>
              <w:right w:w="12" w:type="dxa"/>
            </w:tcMar>
            <w:vAlign w:val="center"/>
          </w:tcPr>
          <w:p>
            <w:pPr>
              <w:spacing w:after="0" w:line="300" w:lineRule="exact"/>
              <w:jc w:val="center"/>
              <w:rPr>
                <w:kern w:val="0"/>
                <w:sz w:val="18"/>
                <w:szCs w:val="18"/>
                <w:lang w:bidi="ar"/>
              </w:rPr>
            </w:pPr>
            <w:r>
              <w:rPr>
                <w:rFonts w:hint="eastAsia"/>
                <w:sz w:val="18"/>
                <w:szCs w:val="18"/>
              </w:rPr>
              <w:t>已控制</w:t>
            </w:r>
          </w:p>
        </w:tc>
        <w:tc>
          <w:tcPr>
            <w:tcW w:w="3179" w:type="dxa"/>
            <w:gridSpan w:val="2"/>
            <w:tcBorders>
              <w:top w:val="nil"/>
              <w:left w:val="single" w:color="auto" w:sz="4" w:space="0"/>
              <w:bottom w:val="single" w:color="auto" w:sz="4" w:space="0"/>
              <w:right w:val="nil"/>
            </w:tcBorders>
            <w:noWrap/>
            <w:tcMar>
              <w:top w:w="12" w:type="dxa"/>
              <w:left w:w="12" w:type="dxa"/>
              <w:right w:w="12" w:type="dxa"/>
            </w:tcMar>
            <w:vAlign w:val="center"/>
          </w:tcPr>
          <w:p>
            <w:pPr>
              <w:spacing w:after="0" w:line="300" w:lineRule="exact"/>
              <w:jc w:val="center"/>
              <w:rPr>
                <w:kern w:val="0"/>
                <w:sz w:val="18"/>
                <w:szCs w:val="18"/>
                <w:lang w:bidi="ar"/>
              </w:rPr>
            </w:pPr>
            <w:r>
              <w:rPr>
                <w:rFonts w:hint="eastAsia"/>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tcBorders>
              <w:top w:val="single" w:color="auto" w:sz="4" w:space="0"/>
              <w:left w:val="nil"/>
              <w:bottom w:val="nil"/>
              <w:right w:val="single" w:color="auto" w:sz="4" w:space="0"/>
            </w:tcBorders>
            <w:noWrap/>
            <w:tcMar>
              <w:top w:w="12" w:type="dxa"/>
              <w:left w:w="12" w:type="dxa"/>
              <w:right w:w="12" w:type="dxa"/>
            </w:tcMar>
            <w:vAlign w:val="center"/>
          </w:tcPr>
          <w:p>
            <w:pPr>
              <w:widowControl/>
              <w:spacing w:after="0" w:line="300" w:lineRule="exact"/>
              <w:jc w:val="center"/>
              <w:textAlignment w:val="bottom"/>
              <w:rPr>
                <w:sz w:val="18"/>
                <w:szCs w:val="18"/>
              </w:rPr>
            </w:pPr>
            <w:r>
              <w:rPr>
                <w:rFonts w:hint="eastAsia"/>
                <w:sz w:val="18"/>
                <w:szCs w:val="18"/>
              </w:rPr>
              <w:t>观测值</w:t>
            </w:r>
          </w:p>
        </w:tc>
        <w:tc>
          <w:tcPr>
            <w:tcW w:w="3178" w:type="dxa"/>
            <w:gridSpan w:val="2"/>
            <w:tcBorders>
              <w:top w:val="single" w:color="auto" w:sz="4" w:space="0"/>
              <w:left w:val="single" w:color="auto" w:sz="4" w:space="0"/>
              <w:bottom w:val="nil"/>
              <w:right w:val="single" w:color="auto" w:sz="4" w:space="0"/>
            </w:tcBorders>
            <w:noWrap/>
            <w:tcMar>
              <w:top w:w="12" w:type="dxa"/>
              <w:left w:w="12" w:type="dxa"/>
              <w:right w:w="12" w:type="dxa"/>
            </w:tcMar>
            <w:vAlign w:val="center"/>
          </w:tcPr>
          <w:p>
            <w:pPr>
              <w:widowControl/>
              <w:spacing w:after="0" w:line="300" w:lineRule="exact"/>
              <w:jc w:val="center"/>
              <w:textAlignment w:val="center"/>
              <w:rPr>
                <w:sz w:val="18"/>
                <w:szCs w:val="18"/>
              </w:rPr>
            </w:pPr>
            <w:r>
              <w:rPr>
                <w:sz w:val="18"/>
                <w:szCs w:val="18"/>
              </w:rPr>
              <w:t>392</w:t>
            </w:r>
          </w:p>
        </w:tc>
        <w:tc>
          <w:tcPr>
            <w:tcW w:w="3179" w:type="dxa"/>
            <w:gridSpan w:val="2"/>
            <w:tcBorders>
              <w:top w:val="single" w:color="auto" w:sz="4" w:space="0"/>
              <w:left w:val="single" w:color="auto" w:sz="4" w:space="0"/>
              <w:bottom w:val="nil"/>
              <w:right w:val="nil"/>
            </w:tcBorders>
            <w:noWrap/>
            <w:tcMar>
              <w:top w:w="12" w:type="dxa"/>
              <w:left w:w="12" w:type="dxa"/>
              <w:right w:w="12" w:type="dxa"/>
            </w:tcMar>
            <w:vAlign w:val="center"/>
          </w:tcPr>
          <w:p>
            <w:pPr>
              <w:widowControl/>
              <w:spacing w:after="0" w:line="300" w:lineRule="exact"/>
              <w:jc w:val="center"/>
              <w:textAlignment w:val="center"/>
              <w:rPr>
                <w:sz w:val="18"/>
                <w:szCs w:val="18"/>
              </w:rPr>
            </w:pPr>
            <w:r>
              <w:rPr>
                <w:sz w:val="18"/>
                <w:szCs w:val="18"/>
              </w:rPr>
              <w:t>392</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trPr>
        <w:tc>
          <w:tcPr>
            <w:tcW w:w="2285" w:type="dxa"/>
            <w:tcBorders>
              <w:top w:val="nil"/>
              <w:left w:val="nil"/>
              <w:right w:val="single" w:color="auto" w:sz="4" w:space="0"/>
            </w:tcBorders>
            <w:noWrap/>
            <w:tcMar>
              <w:top w:w="12" w:type="dxa"/>
              <w:left w:w="12" w:type="dxa"/>
              <w:right w:w="12" w:type="dxa"/>
            </w:tcMar>
            <w:vAlign w:val="center"/>
          </w:tcPr>
          <w:p>
            <w:pPr>
              <w:widowControl/>
              <w:spacing w:after="0" w:line="300" w:lineRule="exact"/>
              <w:jc w:val="center"/>
              <w:textAlignment w:val="bottom"/>
              <w:rPr>
                <w:sz w:val="18"/>
                <w:szCs w:val="18"/>
              </w:rPr>
            </w:pPr>
            <w:r>
              <w:rPr>
                <w:rFonts w:hint="eastAsia"/>
                <w:kern w:val="0"/>
                <w:sz w:val="18"/>
                <w:szCs w:val="18"/>
                <w:lang w:bidi="ar"/>
              </w:rPr>
              <w:t>调整</w:t>
            </w:r>
            <w:r>
              <w:rPr>
                <w:kern w:val="0"/>
                <w:sz w:val="18"/>
                <w:szCs w:val="18"/>
                <w:lang w:bidi="ar"/>
              </w:rPr>
              <w:t>R</w:t>
            </w:r>
            <w:r>
              <w:rPr>
                <w:kern w:val="0"/>
                <w:sz w:val="18"/>
                <w:szCs w:val="18"/>
                <w:vertAlign w:val="superscript"/>
                <w:lang w:bidi="ar"/>
              </w:rPr>
              <w:t>2</w:t>
            </w:r>
          </w:p>
        </w:tc>
        <w:tc>
          <w:tcPr>
            <w:tcW w:w="3178" w:type="dxa"/>
            <w:gridSpan w:val="2"/>
            <w:tcBorders>
              <w:top w:val="nil"/>
              <w:left w:val="single" w:color="auto" w:sz="4" w:space="0"/>
              <w:right w:val="single" w:color="auto" w:sz="4" w:space="0"/>
            </w:tcBorders>
            <w:noWrap/>
            <w:tcMar>
              <w:top w:w="12" w:type="dxa"/>
              <w:left w:w="12" w:type="dxa"/>
              <w:right w:w="12" w:type="dxa"/>
            </w:tcMar>
            <w:vAlign w:val="center"/>
          </w:tcPr>
          <w:p>
            <w:pPr>
              <w:widowControl/>
              <w:spacing w:after="0" w:line="300" w:lineRule="exact"/>
              <w:jc w:val="center"/>
              <w:textAlignment w:val="center"/>
              <w:rPr>
                <w:sz w:val="18"/>
                <w:szCs w:val="18"/>
              </w:rPr>
            </w:pPr>
            <w:r>
              <w:rPr>
                <w:rFonts w:hint="eastAsia"/>
                <w:sz w:val="18"/>
                <w:szCs w:val="18"/>
              </w:rPr>
              <w:t>0.4378</w:t>
            </w:r>
          </w:p>
        </w:tc>
        <w:tc>
          <w:tcPr>
            <w:tcW w:w="3179" w:type="dxa"/>
            <w:gridSpan w:val="2"/>
            <w:tcBorders>
              <w:top w:val="nil"/>
              <w:left w:val="single" w:color="auto" w:sz="4" w:space="0"/>
              <w:right w:val="nil"/>
            </w:tcBorders>
            <w:noWrap/>
            <w:tcMar>
              <w:top w:w="12" w:type="dxa"/>
              <w:left w:w="12" w:type="dxa"/>
              <w:right w:w="12" w:type="dxa"/>
            </w:tcMar>
            <w:vAlign w:val="center"/>
          </w:tcPr>
          <w:p>
            <w:pPr>
              <w:widowControl/>
              <w:spacing w:after="0" w:line="300" w:lineRule="exact"/>
              <w:jc w:val="center"/>
              <w:textAlignment w:val="center"/>
              <w:rPr>
                <w:sz w:val="18"/>
                <w:szCs w:val="18"/>
              </w:rPr>
            </w:pPr>
            <w:r>
              <w:rPr>
                <w:rFonts w:hint="eastAsia"/>
                <w:sz w:val="18"/>
                <w:szCs w:val="18"/>
              </w:rPr>
              <w:t>0.1231</w:t>
            </w:r>
          </w:p>
        </w:tc>
      </w:tr>
    </w:tbl>
    <w:p>
      <w:pPr>
        <w:spacing w:after="0" w:line="240" w:lineRule="atLeast"/>
        <w:ind w:firstLine="332" w:firstLineChars="200"/>
        <w:rPr>
          <w:rFonts w:hint="eastAsia" w:ascii="黑体" w:hAnsi="黑体" w:eastAsia="黑体"/>
          <w:sz w:val="24"/>
        </w:rPr>
      </w:pPr>
      <w:r>
        <w:rPr>
          <w:sz w:val="18"/>
          <w:szCs w:val="18"/>
        </w:rPr>
        <w:t>注：</w:t>
      </w:r>
      <w:r>
        <w:rPr>
          <w:rFonts w:hint="eastAsia"/>
          <w:sz w:val="18"/>
          <w:szCs w:val="18"/>
        </w:rPr>
        <w:t>①</w:t>
      </w:r>
      <w:r>
        <w:rPr>
          <w:sz w:val="18"/>
          <w:szCs w:val="18"/>
        </w:rPr>
        <w:t>***</w:t>
      </w:r>
      <w:r>
        <w:rPr>
          <w:rFonts w:hint="eastAsia"/>
          <w:sz w:val="18"/>
          <w:szCs w:val="18"/>
        </w:rPr>
        <w:t>和</w:t>
      </w:r>
      <w:r>
        <w:rPr>
          <w:sz w:val="18"/>
          <w:szCs w:val="18"/>
        </w:rPr>
        <w:t>**分别</w:t>
      </w:r>
      <w:r>
        <w:rPr>
          <w:rFonts w:hint="eastAsia"/>
          <w:sz w:val="18"/>
          <w:szCs w:val="18"/>
        </w:rPr>
        <w:t>表示</w:t>
      </w:r>
      <w:r>
        <w:rPr>
          <w:sz w:val="18"/>
          <w:szCs w:val="18"/>
        </w:rPr>
        <w:t>1%</w:t>
      </w:r>
      <w:r>
        <w:rPr>
          <w:rFonts w:hint="eastAsia"/>
          <w:sz w:val="18"/>
          <w:szCs w:val="18"/>
        </w:rPr>
        <w:t>和</w:t>
      </w:r>
      <w:r>
        <w:rPr>
          <w:sz w:val="18"/>
          <w:szCs w:val="18"/>
        </w:rPr>
        <w:t>5%的显著</w:t>
      </w:r>
      <w:r>
        <w:rPr>
          <w:rFonts w:hint="eastAsia"/>
          <w:sz w:val="18"/>
          <w:szCs w:val="18"/>
        </w:rPr>
        <w:t>性水平；②</w:t>
      </w:r>
      <w:r>
        <w:rPr>
          <w:sz w:val="18"/>
          <w:szCs w:val="18"/>
        </w:rPr>
        <w:t>中括号内为Stock-Yogo弱工具变量识别F检验在10%显著性水平上的临界值。</w:t>
      </w:r>
    </w:p>
    <w:p>
      <w:pPr>
        <w:spacing w:after="0" w:line="480" w:lineRule="auto"/>
        <w:ind w:firstLine="452" w:firstLineChars="200"/>
        <w:rPr>
          <w:rFonts w:eastAsia="仿宋"/>
          <w:szCs w:val="21"/>
        </w:rPr>
      </w:pPr>
      <w:r>
        <w:rPr>
          <w:rFonts w:hint="eastAsia" w:ascii="黑体" w:hAnsi="黑体" w:eastAsia="黑体"/>
          <w:sz w:val="24"/>
        </w:rPr>
        <w:t>附录三：更换回归模型结果</w:t>
      </w:r>
    </w:p>
    <w:p>
      <w:pPr>
        <w:spacing w:after="0" w:line="240" w:lineRule="auto"/>
        <w:ind w:firstLine="392" w:firstLineChars="200"/>
        <w:outlineLvl w:val="2"/>
        <w:rPr>
          <w:rFonts w:hint="eastAsia" w:ascii="楷体" w:hAnsi="楷体" w:eastAsia="楷体" w:cs="楷体"/>
          <w:szCs w:val="21"/>
        </w:rPr>
      </w:pPr>
      <w:r>
        <w:rPr>
          <w:rFonts w:hint="eastAsia"/>
          <w:szCs w:val="21"/>
        </w:rPr>
        <w:t>基于新《预算法》构建的双重差分模型动态效应结果如图A1所示。可以发现，在新《预算法》实施前（2015年前），动态效应回归系数90%置信区间均包含0，表明其不具有统计显著性，说明双重差分模型满足平行趋势假设。新《预算法》实施后，动态效应回归系数逐渐开始显著为负，表明地方政府财政透明度的提升可以缩小城乡收入差距，与前文基本结论仍然保持一致。</w:t>
      </w:r>
    </w:p>
    <w:p>
      <w:pPr>
        <w:snapToGrid w:val="0"/>
        <w:spacing w:after="0" w:line="240" w:lineRule="atLeast"/>
        <w:jc w:val="center"/>
        <w:rPr>
          <w:szCs w:val="21"/>
        </w:rPr>
      </w:pPr>
      <w:r>
        <w:drawing>
          <wp:inline distT="0" distB="0" distL="114300" distR="114300">
            <wp:extent cx="3528060" cy="2496185"/>
            <wp:effectExtent l="0" t="0" r="762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rcRect r="3132" b="6414"/>
                    <a:stretch>
                      <a:fillRect/>
                    </a:stretch>
                  </pic:blipFill>
                  <pic:spPr>
                    <a:xfrm>
                      <a:off x="0" y="0"/>
                      <a:ext cx="3528060" cy="2496185"/>
                    </a:xfrm>
                    <a:prstGeom prst="rect">
                      <a:avLst/>
                    </a:prstGeom>
                    <a:noFill/>
                    <a:ln>
                      <a:noFill/>
                    </a:ln>
                  </pic:spPr>
                </pic:pic>
              </a:graphicData>
            </a:graphic>
          </wp:inline>
        </w:drawing>
      </w:r>
    </w:p>
    <w:p>
      <w:pPr>
        <w:spacing w:after="0" w:line="240" w:lineRule="auto"/>
        <w:jc w:val="center"/>
        <w:rPr>
          <w:rFonts w:eastAsia="仿宋"/>
          <w:szCs w:val="21"/>
        </w:rPr>
      </w:pPr>
      <w:r>
        <w:rPr>
          <w:rFonts w:hint="eastAsia" w:eastAsia="黑体"/>
          <w:sz w:val="18"/>
          <w:szCs w:val="18"/>
        </w:rPr>
        <w:t>图A1</w:t>
      </w:r>
      <w:r>
        <w:rPr>
          <w:rFonts w:eastAsia="黑体"/>
          <w:sz w:val="18"/>
          <w:szCs w:val="18"/>
        </w:rPr>
        <w:t xml:space="preserve">  </w:t>
      </w:r>
      <w:r>
        <w:rPr>
          <w:rFonts w:hint="eastAsia" w:eastAsia="黑体"/>
          <w:sz w:val="18"/>
          <w:szCs w:val="18"/>
        </w:rPr>
        <w:t>基于新《预算法》的</w:t>
      </w:r>
      <w:r>
        <w:rPr>
          <w:rFonts w:eastAsia="黑体"/>
          <w:sz w:val="18"/>
          <w:szCs w:val="18"/>
        </w:rPr>
        <w:t>双重差分估计</w:t>
      </w:r>
    </w:p>
    <w:p>
      <w:pPr>
        <w:spacing w:after="0" w:line="240" w:lineRule="auto"/>
        <w:jc w:val="center"/>
        <w:rPr>
          <w:rFonts w:hint="eastAsia"/>
          <w:szCs w:val="21"/>
        </w:rPr>
      </w:pPr>
      <w:r>
        <w:rPr>
          <w:sz w:val="18"/>
          <w:szCs w:val="18"/>
        </w:rPr>
        <w:t>注：上下虚线表示9</w:t>
      </w:r>
      <w:r>
        <w:rPr>
          <w:rFonts w:hint="eastAsia"/>
          <w:sz w:val="18"/>
          <w:szCs w:val="18"/>
        </w:rPr>
        <w:t>0</w:t>
      </w:r>
      <w:r>
        <w:rPr>
          <w:sz w:val="18"/>
          <w:szCs w:val="18"/>
        </w:rPr>
        <w:t>%置信区间</w:t>
      </w:r>
      <w:r>
        <w:rPr>
          <w:rFonts w:hint="eastAsia"/>
          <w:sz w:val="18"/>
          <w:szCs w:val="18"/>
        </w:rPr>
        <w:t>。</w:t>
      </w:r>
    </w:p>
    <w:p>
      <w:pPr>
        <w:spacing w:after="0" w:line="240" w:lineRule="auto"/>
        <w:outlineLvl w:val="1"/>
        <w:rPr>
          <w:rFonts w:hint="eastAsia"/>
          <w:szCs w:val="21"/>
        </w:rPr>
      </w:pPr>
    </w:p>
    <w:p>
      <w:pPr>
        <w:keepNext w:val="0"/>
        <w:keepLines w:val="0"/>
        <w:pageBreakBefore w:val="0"/>
        <w:kinsoku/>
        <w:wordWrap/>
        <w:overflowPunct/>
        <w:topLinePunct w:val="0"/>
        <w:bidi w:val="0"/>
        <w:adjustRightInd/>
        <w:snapToGrid/>
        <w:spacing w:after="0" w:line="240" w:lineRule="atLeast"/>
        <w:ind w:firstLine="332" w:firstLineChars="200"/>
        <w:textAlignment w:val="auto"/>
        <w:rPr>
          <w:rFonts w:hint="eastAsia" w:ascii="黑体" w:hAnsi="黑体" w:eastAsia="黑体" w:cs="黑体"/>
          <w:kern w:val="21"/>
          <w:sz w:val="18"/>
          <w:szCs w:val="18"/>
        </w:rPr>
      </w:pPr>
      <w:r>
        <w:rPr>
          <w:rFonts w:hint="eastAsia" w:ascii="黑体" w:hAnsi="黑体" w:eastAsia="黑体" w:cs="黑体"/>
          <w:kern w:val="21"/>
          <w:sz w:val="18"/>
          <w:szCs w:val="18"/>
        </w:rPr>
        <w:t>参考文献</w:t>
      </w:r>
    </w:p>
    <w:p>
      <w:pPr>
        <w:keepNext w:val="0"/>
        <w:keepLines w:val="0"/>
        <w:pageBreakBefore w:val="0"/>
        <w:kinsoku/>
        <w:wordWrap/>
        <w:overflowPunct/>
        <w:topLinePunct w:val="0"/>
        <w:autoSpaceDE w:val="0"/>
        <w:autoSpaceDN w:val="0"/>
        <w:bidi w:val="0"/>
        <w:adjustRightInd/>
        <w:snapToGrid/>
        <w:spacing w:after="0" w:line="240" w:lineRule="atLeast"/>
        <w:ind w:firstLine="332" w:firstLineChars="200"/>
        <w:textAlignment w:val="auto"/>
        <w:rPr>
          <w:kern w:val="21"/>
          <w:sz w:val="18"/>
          <w:szCs w:val="18"/>
        </w:rPr>
      </w:pPr>
      <w:r>
        <w:rPr>
          <w:rFonts w:hint="eastAsia"/>
          <w:kern w:val="21"/>
          <w:sz w:val="18"/>
          <w:szCs w:val="18"/>
        </w:rPr>
        <w:t>1.</w:t>
      </w:r>
      <w:r>
        <w:rPr>
          <w:kern w:val="21"/>
          <w:sz w:val="18"/>
          <w:szCs w:val="18"/>
        </w:rPr>
        <w:t xml:space="preserve">Gormley, T. A., </w:t>
      </w:r>
      <w:r>
        <w:rPr>
          <w:rFonts w:hint="eastAsia"/>
          <w:kern w:val="21"/>
          <w:sz w:val="18"/>
          <w:szCs w:val="18"/>
        </w:rPr>
        <w:t>and</w:t>
      </w:r>
      <w:r>
        <w:rPr>
          <w:kern w:val="21"/>
          <w:sz w:val="18"/>
          <w:szCs w:val="18"/>
        </w:rPr>
        <w:t xml:space="preserve"> D. A.</w:t>
      </w:r>
      <w:r>
        <w:rPr>
          <w:rFonts w:hint="eastAsia"/>
          <w:kern w:val="21"/>
          <w:sz w:val="18"/>
          <w:szCs w:val="18"/>
        </w:rPr>
        <w:t xml:space="preserve"> </w:t>
      </w:r>
      <w:r>
        <w:rPr>
          <w:kern w:val="21"/>
          <w:sz w:val="18"/>
          <w:szCs w:val="18"/>
        </w:rPr>
        <w:t>Matsa,</w:t>
      </w:r>
      <w:r>
        <w:rPr>
          <w:rFonts w:hint="eastAsia"/>
          <w:kern w:val="21"/>
          <w:sz w:val="18"/>
          <w:szCs w:val="18"/>
        </w:rPr>
        <w:t xml:space="preserve"> </w:t>
      </w:r>
      <w:r>
        <w:rPr>
          <w:kern w:val="21"/>
          <w:sz w:val="18"/>
          <w:szCs w:val="18"/>
        </w:rPr>
        <w:t>2014</w:t>
      </w:r>
      <w:r>
        <w:rPr>
          <w:rFonts w:hint="eastAsia"/>
          <w:kern w:val="21"/>
          <w:sz w:val="18"/>
          <w:szCs w:val="18"/>
        </w:rPr>
        <w:t>,</w:t>
      </w:r>
      <w:r>
        <w:rPr>
          <w:kern w:val="21"/>
          <w:sz w:val="18"/>
          <w:szCs w:val="18"/>
        </w:rPr>
        <w:t xml:space="preserve"> “Common </w:t>
      </w:r>
      <w:r>
        <w:rPr>
          <w:rFonts w:hint="eastAsia"/>
          <w:kern w:val="21"/>
          <w:sz w:val="18"/>
          <w:szCs w:val="18"/>
        </w:rPr>
        <w:t>E</w:t>
      </w:r>
      <w:r>
        <w:rPr>
          <w:kern w:val="21"/>
          <w:sz w:val="18"/>
          <w:szCs w:val="18"/>
        </w:rPr>
        <w:t xml:space="preserve">rrors: How to (and not to) </w:t>
      </w:r>
      <w:r>
        <w:rPr>
          <w:rFonts w:hint="eastAsia"/>
          <w:kern w:val="21"/>
          <w:sz w:val="18"/>
          <w:szCs w:val="18"/>
        </w:rPr>
        <w:t>C</w:t>
      </w:r>
      <w:r>
        <w:rPr>
          <w:kern w:val="21"/>
          <w:sz w:val="18"/>
          <w:szCs w:val="18"/>
        </w:rPr>
        <w:t xml:space="preserve">ontrol for </w:t>
      </w:r>
      <w:r>
        <w:rPr>
          <w:rFonts w:hint="eastAsia"/>
          <w:kern w:val="21"/>
          <w:sz w:val="18"/>
          <w:szCs w:val="18"/>
        </w:rPr>
        <w:t>U</w:t>
      </w:r>
      <w:r>
        <w:rPr>
          <w:kern w:val="21"/>
          <w:sz w:val="18"/>
          <w:szCs w:val="18"/>
        </w:rPr>
        <w:t xml:space="preserve">nobserved </w:t>
      </w:r>
      <w:r>
        <w:rPr>
          <w:rFonts w:hint="eastAsia"/>
          <w:kern w:val="21"/>
          <w:sz w:val="18"/>
          <w:szCs w:val="18"/>
        </w:rPr>
        <w:t>H</w:t>
      </w:r>
      <w:r>
        <w:rPr>
          <w:kern w:val="21"/>
          <w:sz w:val="18"/>
          <w:szCs w:val="18"/>
        </w:rPr>
        <w:t>eterogeneity”</w:t>
      </w:r>
      <w:r>
        <w:rPr>
          <w:rFonts w:hint="eastAsia"/>
          <w:kern w:val="21"/>
          <w:sz w:val="18"/>
          <w:szCs w:val="18"/>
        </w:rPr>
        <w:t>,</w:t>
      </w:r>
      <w:r>
        <w:rPr>
          <w:kern w:val="21"/>
          <w:sz w:val="18"/>
          <w:szCs w:val="18"/>
        </w:rPr>
        <w:t xml:space="preserve"> </w:t>
      </w:r>
      <w:r>
        <w:rPr>
          <w:i/>
          <w:iCs/>
          <w:kern w:val="21"/>
          <w:sz w:val="18"/>
          <w:szCs w:val="18"/>
        </w:rPr>
        <w:t>The Review of Financial Studies</w:t>
      </w:r>
      <w:r>
        <w:rPr>
          <w:kern w:val="21"/>
          <w:sz w:val="18"/>
          <w:szCs w:val="18"/>
        </w:rPr>
        <w:t>, 27(2)</w:t>
      </w:r>
      <w:r>
        <w:rPr>
          <w:rFonts w:hint="eastAsia"/>
          <w:kern w:val="21"/>
          <w:sz w:val="18"/>
          <w:szCs w:val="18"/>
        </w:rPr>
        <w:t>:</w:t>
      </w:r>
      <w:r>
        <w:rPr>
          <w:kern w:val="21"/>
          <w:sz w:val="18"/>
          <w:szCs w:val="18"/>
        </w:rPr>
        <w:t xml:space="preserve"> 617-661.</w:t>
      </w:r>
    </w:p>
    <w:p>
      <w:pPr>
        <w:pStyle w:val="96"/>
        <w:keepNext w:val="0"/>
        <w:keepLines w:val="0"/>
        <w:pageBreakBefore w:val="0"/>
        <w:kinsoku/>
        <w:wordWrap/>
        <w:overflowPunct/>
        <w:topLinePunct w:val="0"/>
        <w:bidi w:val="0"/>
        <w:adjustRightInd/>
        <w:snapToGrid/>
        <w:spacing w:line="240" w:lineRule="atLeast"/>
        <w:ind w:firstLine="166" w:firstLineChars="100"/>
        <w:textAlignment w:val="auto"/>
        <w:rPr>
          <w:rFonts w:hint="eastAsia" w:ascii="宋体" w:hAnsi="宋体"/>
          <w:b/>
          <w:bCs/>
          <w:color w:val="000000"/>
          <w:sz w:val="18"/>
          <w:szCs w:val="18"/>
        </w:rPr>
      </w:pPr>
    </w:p>
    <w:p>
      <w:pPr>
        <w:keepNext w:val="0"/>
        <w:keepLines w:val="0"/>
        <w:pageBreakBefore w:val="0"/>
        <w:widowControl/>
        <w:kinsoku/>
        <w:wordWrap/>
        <w:overflowPunct/>
        <w:topLinePunct w:val="0"/>
        <w:autoSpaceDE/>
        <w:autoSpaceDN/>
        <w:bidi w:val="0"/>
        <w:adjustRightInd/>
        <w:snapToGrid/>
        <w:spacing w:after="0" w:line="240" w:lineRule="atLeast"/>
        <w:jc w:val="left"/>
        <w:textAlignment w:val="auto"/>
        <w:rPr>
          <w:rFonts w:ascii="Calibri" w:hAnsi="Calibri"/>
        </w:rPr>
      </w:pPr>
      <w:r>
        <w:rPr>
          <w:rFonts w:hint="eastAsia" w:ascii="宋体" w:hAnsi="宋体" w:cs="宋体"/>
          <w:b/>
          <w:bCs/>
          <w:color w:val="FF0000"/>
          <w:kern w:val="0"/>
          <w:szCs w:val="21"/>
          <w:lang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cs="宋体"/>
          <w:color w:val="3C3C3C"/>
          <w:kern w:val="0"/>
          <w:szCs w:val="21"/>
          <w:lang w:bidi="ar"/>
        </w:rPr>
        <w:t>。</w:t>
      </w:r>
      <w:r>
        <w:rPr>
          <w:rFonts w:hint="eastAsia" w:ascii="宋体" w:hAnsi="宋体" w:cs="宋体"/>
          <w:b/>
          <w:bCs/>
          <w:color w:val="FF0000"/>
          <w:kern w:val="0"/>
          <w:szCs w:val="21"/>
          <w:lang w:bidi="ar"/>
        </w:rPr>
        <w:t xml:space="preserve"> </w:t>
      </w:r>
    </w:p>
    <w:p>
      <w:pPr>
        <w:keepNext w:val="0"/>
        <w:keepLines w:val="0"/>
        <w:pageBreakBefore w:val="0"/>
        <w:widowControl/>
        <w:kinsoku/>
        <w:wordWrap/>
        <w:overflowPunct/>
        <w:topLinePunct w:val="0"/>
        <w:autoSpaceDE/>
        <w:autoSpaceDN/>
        <w:bidi w:val="0"/>
        <w:adjustRightInd/>
        <w:snapToGrid/>
        <w:spacing w:after="0" w:line="240" w:lineRule="atLeast"/>
        <w:jc w:val="left"/>
        <w:textAlignment w:val="auto"/>
        <w:rPr>
          <w:rFonts w:ascii="Calibri" w:hAnsi="Calibri"/>
        </w:rPr>
      </w:pPr>
      <w:r>
        <w:rPr>
          <w:rFonts w:hint="eastAsia" w:ascii="宋体" w:hAnsi="宋体" w:cs="宋体"/>
          <w:color w:val="3C3C3C"/>
          <w:kern w:val="0"/>
          <w:szCs w:val="21"/>
          <w:lang w:bidi="ar"/>
        </w:rPr>
        <w:t xml:space="preserve">引用示例： </w:t>
      </w:r>
    </w:p>
    <w:p>
      <w:pPr>
        <w:keepNext w:val="0"/>
        <w:keepLines w:val="0"/>
        <w:pageBreakBefore w:val="0"/>
        <w:widowControl/>
        <w:kinsoku/>
        <w:wordWrap/>
        <w:overflowPunct/>
        <w:topLinePunct w:val="0"/>
        <w:autoSpaceDE/>
        <w:autoSpaceDN/>
        <w:bidi w:val="0"/>
        <w:adjustRightInd/>
        <w:snapToGrid/>
        <w:spacing w:after="0" w:line="240" w:lineRule="atLeast"/>
        <w:jc w:val="left"/>
        <w:textAlignment w:val="auto"/>
        <w:rPr>
          <w:rFonts w:ascii="Calibri" w:hAnsi="Calibri"/>
        </w:rPr>
      </w:pPr>
      <w:r>
        <w:rPr>
          <w:rFonts w:ascii="黑体" w:hAnsi="宋体" w:eastAsia="黑体" w:cs="黑体"/>
          <w:color w:val="000000"/>
          <w:kern w:val="0"/>
          <w:szCs w:val="21"/>
          <w:lang w:bidi="ar"/>
        </w:rPr>
        <w:t>参考文献引用范例</w:t>
      </w:r>
      <w:r>
        <w:rPr>
          <w:rFonts w:hint="eastAsia" w:ascii="Arial" w:hAnsi="Arial" w:cs="Arial"/>
          <w:color w:val="333333"/>
          <w:szCs w:val="21"/>
          <w:shd w:val="clear" w:color="auto" w:fill="FFFFFF"/>
        </w:rPr>
        <w:t xml:space="preserve">（具体请根据目标投稿期刊对应调整体例）： </w:t>
      </w:r>
    </w:p>
    <w:p>
      <w:pPr>
        <w:keepNext w:val="0"/>
        <w:keepLines w:val="0"/>
        <w:pageBreakBefore w:val="0"/>
        <w:widowControl/>
        <w:kinsoku/>
        <w:wordWrap/>
        <w:overflowPunct/>
        <w:topLinePunct w:val="0"/>
        <w:autoSpaceDE/>
        <w:autoSpaceDN/>
        <w:bidi w:val="0"/>
        <w:adjustRightInd/>
        <w:snapToGrid/>
        <w:spacing w:after="0" w:line="240" w:lineRule="atLeast"/>
        <w:jc w:val="left"/>
        <w:textAlignment w:val="auto"/>
        <w:rPr>
          <w:color w:val="000000"/>
          <w:spacing w:val="-2"/>
          <w:kern w:val="0"/>
          <w:szCs w:val="21"/>
          <w:lang w:bidi="ar"/>
        </w:rPr>
      </w:pPr>
      <w:r>
        <w:rPr>
          <w:rFonts w:hint="eastAsia" w:ascii="宋体" w:hAnsi="宋体" w:cs="宋体"/>
          <w:color w:val="000000"/>
          <w:spacing w:val="-2"/>
          <w:kern w:val="0"/>
          <w:szCs w:val="21"/>
          <w:lang w:bidi="ar"/>
        </w:rPr>
        <w:t>[</w:t>
      </w:r>
      <w:r>
        <w:rPr>
          <w:color w:val="000000"/>
          <w:spacing w:val="-2"/>
          <w:kern w:val="0"/>
          <w:szCs w:val="21"/>
          <w:lang w:bidi="ar"/>
        </w:rPr>
        <w:t>1</w:t>
      </w:r>
      <w:r>
        <w:rPr>
          <w:rFonts w:hint="eastAsia" w:ascii="宋体" w:hAnsi="宋体" w:cs="宋体"/>
          <w:color w:val="000000"/>
          <w:spacing w:val="-2"/>
          <w:kern w:val="0"/>
          <w:szCs w:val="21"/>
          <w:lang w:bidi="ar"/>
        </w:rPr>
        <w:t>]</w:t>
      </w:r>
      <w:r>
        <w:rPr>
          <w:rFonts w:ascii="Arial" w:hAnsi="Arial" w:cs="Arial"/>
          <w:color w:val="333333"/>
          <w:spacing w:val="-2"/>
          <w:szCs w:val="21"/>
          <w:shd w:val="clear" w:color="auto" w:fill="FFFFFF"/>
        </w:rPr>
        <w:t>王术坤</w:t>
      </w:r>
      <w:r>
        <w:rPr>
          <w:rFonts w:hint="eastAsia" w:ascii="Arial" w:hAnsi="Arial" w:cs="Arial"/>
          <w:color w:val="333333"/>
          <w:spacing w:val="-2"/>
          <w:szCs w:val="21"/>
          <w:shd w:val="clear" w:color="auto" w:fill="FFFFFF"/>
        </w:rPr>
        <w:t>、</w:t>
      </w:r>
      <w:r>
        <w:rPr>
          <w:rFonts w:ascii="Arial" w:hAnsi="Arial" w:cs="Arial"/>
          <w:color w:val="333333"/>
          <w:spacing w:val="-2"/>
          <w:szCs w:val="21"/>
          <w:shd w:val="clear" w:color="auto" w:fill="FFFFFF"/>
        </w:rPr>
        <w:t>林文声</w:t>
      </w:r>
      <w:r>
        <w:rPr>
          <w:color w:val="333333"/>
          <w:spacing w:val="-2"/>
          <w:szCs w:val="21"/>
          <w:shd w:val="clear" w:color="auto" w:fill="FFFFFF"/>
        </w:rPr>
        <w:t>，202</w:t>
      </w:r>
      <w:r>
        <w:rPr>
          <w:rFonts w:hint="eastAsia"/>
          <w:color w:val="333333"/>
          <w:spacing w:val="-2"/>
          <w:szCs w:val="21"/>
          <w:shd w:val="clear" w:color="auto" w:fill="FFFFFF"/>
        </w:rPr>
        <w:t>3</w:t>
      </w:r>
      <w:r>
        <w:rPr>
          <w:color w:val="333333"/>
          <w:spacing w:val="-2"/>
          <w:szCs w:val="21"/>
          <w:shd w:val="clear" w:color="auto" w:fill="FFFFFF"/>
        </w:rPr>
        <w:t>：《高标准农田建设的农地流转市场转型效应》，《中国农村经济》第1</w:t>
      </w:r>
      <w:r>
        <w:rPr>
          <w:rFonts w:hint="eastAsia"/>
          <w:color w:val="333333"/>
          <w:spacing w:val="-2"/>
          <w:szCs w:val="21"/>
          <w:shd w:val="clear" w:color="auto" w:fill="FFFFFF"/>
        </w:rPr>
        <w:t>2</w:t>
      </w:r>
      <w:r>
        <w:rPr>
          <w:color w:val="333333"/>
          <w:spacing w:val="-2"/>
          <w:szCs w:val="21"/>
          <w:shd w:val="clear" w:color="auto" w:fill="FFFFFF"/>
        </w:rPr>
        <w:t>期，第23-43页。</w:t>
      </w:r>
    </w:p>
    <w:p>
      <w:pPr>
        <w:keepNext w:val="0"/>
        <w:keepLines w:val="0"/>
        <w:pageBreakBefore w:val="0"/>
        <w:widowControl/>
        <w:kinsoku/>
        <w:wordWrap/>
        <w:overflowPunct/>
        <w:topLinePunct w:val="0"/>
        <w:bidi w:val="0"/>
        <w:adjustRightInd/>
        <w:snapToGrid/>
        <w:spacing w:line="240" w:lineRule="atLeast"/>
        <w:jc w:val="left"/>
        <w:textAlignment w:val="auto"/>
        <w:rPr>
          <w:rFonts w:hint="eastAsia" w:ascii="黑体" w:hAnsi="宋体" w:eastAsia="黑体" w:cs="黑体"/>
          <w:color w:val="000000"/>
          <w:kern w:val="0"/>
          <w:szCs w:val="21"/>
          <w:lang w:bidi="ar"/>
        </w:rPr>
      </w:pPr>
    </w:p>
    <w:p>
      <w:pPr>
        <w:keepNext w:val="0"/>
        <w:keepLines w:val="0"/>
        <w:pageBreakBefore w:val="0"/>
        <w:widowControl/>
        <w:kinsoku/>
        <w:wordWrap/>
        <w:overflowPunct/>
        <w:topLinePunct w:val="0"/>
        <w:autoSpaceDE/>
        <w:autoSpaceDN/>
        <w:bidi w:val="0"/>
        <w:adjustRightInd/>
        <w:snapToGrid/>
        <w:spacing w:after="0" w:line="240" w:lineRule="atLeast"/>
        <w:jc w:val="left"/>
        <w:textAlignment w:val="auto"/>
        <w:rPr>
          <w:rFonts w:ascii="Calibri" w:hAnsi="Calibri"/>
        </w:rPr>
      </w:pPr>
      <w:r>
        <w:rPr>
          <w:rFonts w:hint="eastAsia" w:ascii="黑体" w:hAnsi="宋体" w:eastAsia="黑体" w:cs="黑体"/>
          <w:color w:val="000000"/>
          <w:kern w:val="0"/>
          <w:szCs w:val="21"/>
          <w:lang w:bidi="ar"/>
        </w:rPr>
        <w:t>如果研究中使用了未在《中国农村经济》纸质版刊发、但在杂志网站上正式公开发表的数字内容（包括数据、程序、附录文件），请务必在研究成果正文中注明：</w:t>
      </w:r>
    </w:p>
    <w:p>
      <w:pPr>
        <w:keepNext w:val="0"/>
        <w:keepLines w:val="0"/>
        <w:pageBreakBefore w:val="0"/>
        <w:kinsoku/>
        <w:wordWrap/>
        <w:overflowPunct/>
        <w:topLinePunct w:val="0"/>
        <w:autoSpaceDE/>
        <w:autoSpaceDN/>
        <w:bidi w:val="0"/>
        <w:adjustRightInd/>
        <w:snapToGrid/>
        <w:spacing w:after="0" w:line="240" w:lineRule="atLeast"/>
        <w:textAlignment w:val="auto"/>
        <w:rPr>
          <w:rFonts w:hint="eastAsia" w:ascii="Calibri" w:hAnsi="Calibri"/>
          <w:spacing w:val="-1"/>
        </w:rPr>
      </w:pPr>
      <w:r>
        <w:rPr>
          <w:rFonts w:hint="eastAsia" w:ascii="Calibri" w:hAnsi="Calibri"/>
          <w:spacing w:val="-1"/>
        </w:rPr>
        <w:t>某数据（及程序等或其他材料）来自</w:t>
      </w:r>
      <w:r>
        <w:rPr>
          <w:rFonts w:ascii="Arial" w:hAnsi="Arial" w:cs="Arial"/>
          <w:color w:val="333333"/>
          <w:spacing w:val="-1"/>
          <w:szCs w:val="21"/>
          <w:shd w:val="clear" w:color="auto" w:fill="FFFFFF"/>
        </w:rPr>
        <w:t>王术坤</w:t>
      </w:r>
      <w:r>
        <w:rPr>
          <w:rFonts w:hint="eastAsia" w:ascii="Arial" w:hAnsi="Arial" w:cs="Arial"/>
          <w:color w:val="333333"/>
          <w:spacing w:val="-1"/>
          <w:szCs w:val="21"/>
          <w:shd w:val="clear" w:color="auto" w:fill="FFFFFF"/>
        </w:rPr>
        <w:t>、</w:t>
      </w:r>
      <w:r>
        <w:rPr>
          <w:rFonts w:ascii="Arial" w:hAnsi="Arial" w:cs="Arial"/>
          <w:color w:val="333333"/>
          <w:spacing w:val="-1"/>
          <w:szCs w:val="21"/>
          <w:shd w:val="clear" w:color="auto" w:fill="FFFFFF"/>
        </w:rPr>
        <w:t>林文声</w:t>
      </w:r>
      <w:r>
        <w:rPr>
          <w:rFonts w:hint="eastAsia" w:ascii="Calibri" w:hAnsi="Calibri"/>
          <w:spacing w:val="-1"/>
        </w:rPr>
        <w:t>（</w:t>
      </w:r>
      <w:r>
        <w:rPr>
          <w:rFonts w:hint="eastAsia"/>
          <w:color w:val="333333"/>
          <w:spacing w:val="-1"/>
          <w:szCs w:val="21"/>
          <w:shd w:val="clear" w:color="auto" w:fill="FFFFFF"/>
        </w:rPr>
        <w:t>2023）</w:t>
      </w:r>
      <w:r>
        <w:rPr>
          <w:rFonts w:hint="eastAsia" w:ascii="Calibri" w:hAnsi="Calibri"/>
          <w:spacing w:val="-1"/>
        </w:rPr>
        <w:t>，详见《中国农村经济》网站（</w:t>
      </w:r>
      <w:r>
        <w:rPr>
          <w:spacing w:val="-1"/>
        </w:rPr>
        <w:t>zgncjj.ajcass.</w:t>
      </w:r>
      <w:r>
        <w:rPr>
          <w:rFonts w:hint="eastAsia"/>
          <w:spacing w:val="-1"/>
        </w:rPr>
        <w:t>com</w:t>
      </w:r>
      <w:r>
        <w:rPr>
          <w:rFonts w:hint="eastAsia" w:ascii="Calibri" w:hAnsi="Calibri"/>
          <w:spacing w:val="-1"/>
        </w:rPr>
        <w:t>）该文的对应附件。</w:t>
      </w: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0000000000000000000"/>
    <w:charset w:val="86"/>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New Roman Regular">
    <w:altName w:val="Times New Roman"/>
    <w:panose1 w:val="00000000000000000000"/>
    <w:charset w:val="00"/>
    <w:family w:val="auto"/>
    <w:pitch w:val="default"/>
    <w:sig w:usb0="00000000" w:usb1="00000000"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8434410"/>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id w:val="198434410"/>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after="0" w:line="240" w:lineRule="atLeast"/>
        <w:textAlignment w:val="auto"/>
        <w:rPr>
          <w:rFonts w:ascii="Calibri" w:hAnsi="Calibri"/>
          <w:sz w:val="18"/>
        </w:rPr>
      </w:pPr>
      <w:r>
        <w:rPr>
          <w:rFonts w:ascii="Calibri" w:hAnsi="Calibri"/>
          <w:sz w:val="18"/>
          <w:vertAlign w:val="superscript"/>
        </w:rPr>
        <w:t>*</w:t>
      </w:r>
      <w:r>
        <w:rPr>
          <w:rFonts w:hint="eastAsia"/>
          <w:sz w:val="18"/>
          <w:szCs w:val="18"/>
        </w:rPr>
        <w:t>附录由作者提供，文责自负。引用该附录中的内容请注明出处，具体要求详见文末。</w:t>
      </w:r>
    </w:p>
  </w:footnote>
  <w:footnote w:id="1">
    <w:p>
      <w:pPr>
        <w:pStyle w:val="17"/>
        <w:keepNext w:val="0"/>
        <w:keepLines w:val="0"/>
        <w:pageBreakBefore w:val="0"/>
        <w:widowControl w:val="0"/>
        <w:kinsoku/>
        <w:wordWrap/>
        <w:overflowPunct/>
        <w:topLinePunct w:val="0"/>
        <w:autoSpaceDE/>
        <w:autoSpaceDN/>
        <w:bidi w:val="0"/>
        <w:adjustRightInd/>
        <w:snapToGrid/>
        <w:spacing w:after="0" w:line="240" w:lineRule="atLeast"/>
        <w:jc w:val="both"/>
        <w:textAlignment w:val="auto"/>
      </w:pPr>
      <w:r>
        <w:rPr>
          <w:rStyle w:val="30"/>
          <w:rFonts w:ascii="Times New Roman" w:hAnsi="Times New Roman"/>
        </w:rPr>
        <w:footnoteRef/>
      </w:r>
      <w:r>
        <w:rPr>
          <w:rFonts w:hint="eastAsia"/>
        </w:rPr>
        <w:t>基于历年《中国分省市场化指数报告》推算得到。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eastAsia="黑体"/>
      </w:rPr>
    </w:pPr>
    <w:r>
      <w:rPr>
        <w:rFonts w:hint="eastAsia" w:eastAsia="黑体"/>
      </w:rPr>
      <w:t>雷卓骏、刘晔  地方政府财政透明度如何影响城乡收入差距</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rPr>
      <w:t xml:space="preserve">                                                       </w:t>
    </w:r>
    <w:r>
      <w:rPr>
        <w:rFonts w:eastAsia="黑体"/>
      </w:rPr>
      <w:t>202</w:t>
    </w:r>
    <w:r>
      <w:rPr>
        <w:rFonts w:hint="eastAsia" w:eastAsia="黑体"/>
      </w:rPr>
      <w:t>5年第6期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ocumentProtection w:enforcement="0"/>
  <w:defaultTabStop w:val="420"/>
  <w:drawingGridHorizontalSpacing w:val="98"/>
  <w:drawingGridVerticalSpacing w:val="183"/>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3599"/>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C40"/>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8EA"/>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121"/>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571"/>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09B5"/>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A4446B"/>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0DC60C3"/>
    <w:rsid w:val="21310C65"/>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8D6F23"/>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DD1AAE"/>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662610"/>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8D83FD5"/>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EE86DC8"/>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AF056D5"/>
    <w:rsid w:val="6B163691"/>
    <w:rsid w:val="6B80414A"/>
    <w:rsid w:val="6B8D788F"/>
    <w:rsid w:val="6B9F06EA"/>
    <w:rsid w:val="6BE7209E"/>
    <w:rsid w:val="6C006B53"/>
    <w:rsid w:val="6C3F2A09"/>
    <w:rsid w:val="6C947E73"/>
    <w:rsid w:val="6CAA233D"/>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5E1653"/>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9F0AF3"/>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9E76DA"/>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4"/>
    <w:unhideWhenUsed/>
    <w:qFormat/>
    <w:uiPriority w:val="0"/>
    <w:pPr>
      <w:spacing w:line="360" w:lineRule="auto"/>
      <w:jc w:val="left"/>
      <w:outlineLvl w:val="1"/>
    </w:pPr>
    <w:rPr>
      <w:rFonts w:hint="eastAsia" w:ascii="宋体" w:hAnsi="宋体"/>
      <w:b/>
      <w:bCs/>
      <w:kern w:val="0"/>
      <w:sz w:val="28"/>
      <w:szCs w:val="36"/>
    </w:rPr>
  </w:style>
  <w:style w:type="paragraph" w:styleId="6">
    <w:name w:val="heading 3"/>
    <w:basedOn w:val="1"/>
    <w:next w:val="1"/>
    <w:unhideWhenUsed/>
    <w:qFormat/>
    <w:uiPriority w:val="0"/>
    <w:pPr>
      <w:jc w:val="left"/>
      <w:outlineLvl w:val="2"/>
    </w:pPr>
    <w:rPr>
      <w:rFonts w:hint="eastAsia" w:ascii="宋体" w:hAnsi="宋体"/>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kern w:val="0"/>
      <w:sz w:val="20"/>
      <w:szCs w:val="20"/>
    </w:rPr>
  </w:style>
  <w:style w:type="paragraph" w:styleId="9">
    <w:name w:val="caption"/>
    <w:basedOn w:val="1"/>
    <w:next w:val="1"/>
    <w:qFormat/>
    <w:uiPriority w:val="0"/>
    <w:rPr>
      <w:rFonts w:eastAsia="黑体" w:cs="Arial Narrow"/>
    </w:rPr>
  </w:style>
  <w:style w:type="paragraph" w:styleId="10">
    <w:name w:val="Body Text"/>
    <w:basedOn w:val="1"/>
    <w:link w:val="106"/>
    <w:qFormat/>
    <w:uiPriority w:val="99"/>
    <w:rPr>
      <w:sz w:val="18"/>
    </w:rPr>
  </w:style>
  <w:style w:type="paragraph" w:styleId="11">
    <w:name w:val="Body Text Indent"/>
    <w:qFormat/>
    <w:uiPriority w:val="0"/>
    <w:pPr>
      <w:widowControl w:val="0"/>
      <w:spacing w:after="160" w:line="278" w:lineRule="auto"/>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3"/>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line="278" w:lineRule="auto"/>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after="160"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pPr>
      <w:spacing w:after="160" w:line="278" w:lineRule="auto"/>
    </w:pPr>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pPr>
      <w:spacing w:after="160" w:line="278" w:lineRule="auto"/>
    </w:pPr>
    <w:rPr>
      <w:rFonts w:asciiTheme="minorHAnsi" w:hAnsiTheme="minorHAnsi" w:eastAsiaTheme="minorEastAsia" w:cstheme="minorBidi"/>
      <w:kern w:val="2"/>
      <w:sz w:val="21"/>
      <w:szCs w:val="24"/>
      <w:lang w:val="en-US" w:eastAsia="zh-CN" w:bidi="ar-SA"/>
    </w:rPr>
  </w:style>
  <w:style w:type="paragraph" w:customStyle="1" w:styleId="98">
    <w:name w:val="MTDisplayEquation"/>
    <w:basedOn w:val="99"/>
    <w:next w:val="1"/>
    <w:link w:val="100"/>
    <w:qFormat/>
    <w:uiPriority w:val="0"/>
    <w:pPr>
      <w:tabs>
        <w:tab w:val="center" w:pos="4320"/>
        <w:tab w:val="right" w:pos="8620"/>
        <w:tab w:val="right" w:pos="10103"/>
      </w:tabs>
      <w:spacing w:line="380" w:lineRule="exact"/>
      <w:ind w:firstLine="392" w:firstLineChars="200"/>
    </w:pPr>
    <w:rPr>
      <w:i/>
      <w:iCs/>
      <w:szCs w:val="22"/>
    </w:rPr>
  </w:style>
  <w:style w:type="paragraph" w:customStyle="1" w:styleId="99">
    <w:name w:val="公式"/>
    <w:basedOn w:val="1"/>
    <w:unhideWhenUsed/>
    <w:qFormat/>
    <w:uiPriority w:val="0"/>
    <w:pPr>
      <w:tabs>
        <w:tab w:val="right" w:pos="10103"/>
      </w:tabs>
      <w:spacing w:line="360" w:lineRule="auto"/>
      <w:jc w:val="center"/>
    </w:pPr>
  </w:style>
  <w:style w:type="character" w:customStyle="1" w:styleId="100">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1">
    <w:name w:val="未处理的提及1"/>
    <w:basedOn w:val="19"/>
    <w:semiHidden/>
    <w:unhideWhenUsed/>
    <w:qFormat/>
    <w:uiPriority w:val="99"/>
    <w:rPr>
      <w:color w:val="605E5C"/>
      <w:shd w:val="clear" w:color="auto" w:fill="E1DFDD"/>
    </w:rPr>
  </w:style>
  <w:style w:type="paragraph" w:customStyle="1" w:styleId="102">
    <w:name w:val="修订3"/>
    <w:hidden/>
    <w:semiHidden/>
    <w:qFormat/>
    <w:uiPriority w:val="99"/>
    <w:pPr>
      <w:spacing w:after="160" w:line="278" w:lineRule="auto"/>
    </w:pPr>
    <w:rPr>
      <w:rFonts w:asciiTheme="minorHAnsi" w:hAnsiTheme="minorHAnsi" w:eastAsiaTheme="minorEastAsia" w:cstheme="minorBidi"/>
      <w:kern w:val="2"/>
      <w:sz w:val="21"/>
      <w:szCs w:val="24"/>
      <w:lang w:val="en-US" w:eastAsia="zh-CN" w:bidi="ar-SA"/>
    </w:rPr>
  </w:style>
  <w:style w:type="character" w:customStyle="1" w:styleId="103">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4">
    <w:name w:val="标题 2 字符"/>
    <w:basedOn w:val="19"/>
    <w:link w:val="5"/>
    <w:qFormat/>
    <w:uiPriority w:val="0"/>
    <w:rPr>
      <w:rFonts w:ascii="宋体" w:hAnsi="宋体" w:eastAsiaTheme="minorEastAsia"/>
      <w:b/>
      <w:bCs/>
      <w:sz w:val="28"/>
      <w:szCs w:val="36"/>
    </w:rPr>
  </w:style>
  <w:style w:type="character" w:customStyle="1" w:styleId="105">
    <w:name w:val="未处理的提及2"/>
    <w:basedOn w:val="19"/>
    <w:semiHidden/>
    <w:unhideWhenUsed/>
    <w:qFormat/>
    <w:uiPriority w:val="99"/>
    <w:rPr>
      <w:color w:val="605E5C"/>
      <w:shd w:val="clear" w:color="auto" w:fill="E1DFDD"/>
    </w:rPr>
  </w:style>
  <w:style w:type="character" w:customStyle="1" w:styleId="106">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7">
    <w:name w:val="修订4"/>
    <w:hidden/>
    <w:unhideWhenUsed/>
    <w:qFormat/>
    <w:uiPriority w:val="99"/>
    <w:pPr>
      <w:spacing w:after="160" w:line="278" w:lineRule="auto"/>
    </w:pPr>
    <w:rPr>
      <w:rFonts w:asciiTheme="minorHAnsi" w:hAnsiTheme="minorHAnsi" w:eastAsiaTheme="minorEastAsia" w:cstheme="minorBidi"/>
      <w:kern w:val="2"/>
      <w:sz w:val="21"/>
      <w:szCs w:val="24"/>
      <w:lang w:val="en-US" w:eastAsia="zh-CN" w:bidi="ar-SA"/>
    </w:rPr>
  </w:style>
  <w:style w:type="character" w:customStyle="1" w:styleId="108">
    <w:name w:val="未处理的提及3"/>
    <w:basedOn w:val="19"/>
    <w:semiHidden/>
    <w:unhideWhenUsed/>
    <w:qFormat/>
    <w:uiPriority w:val="99"/>
    <w:rPr>
      <w:color w:val="605E5C"/>
      <w:shd w:val="clear" w:color="auto" w:fill="E1DFDD"/>
    </w:rPr>
  </w:style>
  <w:style w:type="paragraph" w:customStyle="1" w:styleId="109">
    <w:name w:val="3"/>
    <w:basedOn w:val="1"/>
    <w:next w:val="91"/>
    <w:qFormat/>
    <w:uiPriority w:val="34"/>
    <w:pPr>
      <w:ind w:firstLine="420" w:firstLineChars="200"/>
    </w:pPr>
    <w:rPr>
      <w:rFonts w:ascii="等线" w:hAnsi="等线" w:eastAsia="等线"/>
    </w:rPr>
  </w:style>
  <w:style w:type="paragraph" w:customStyle="1" w:styleId="110">
    <w:name w:val="4正文"/>
    <w:basedOn w:val="1"/>
    <w:qFormat/>
    <w:uiPriority w:val="0"/>
    <w:pPr>
      <w:spacing w:line="400" w:lineRule="exact"/>
    </w:pPr>
  </w:style>
  <w:style w:type="table" w:customStyle="1" w:styleId="111">
    <w:name w:val="网格型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table" w:customStyle="1" w:styleId="112">
    <w:name w:val="网格型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customStyle="1" w:styleId="113">
    <w:name w:val="正文jj"/>
    <w:basedOn w:val="1"/>
    <w:qFormat/>
    <w:uiPriority w:val="0"/>
    <w:pPr>
      <w:spacing w:line="240" w:lineRule="atLeast"/>
      <w:ind w:firstLine="392" w:firstLineChars="200"/>
    </w:pPr>
    <w:rPr>
      <w:rFonts w:hint="eastAsia"/>
      <w:szCs w:val="22"/>
    </w:rPr>
  </w:style>
  <w:style w:type="paragraph" w:customStyle="1" w:styleId="114">
    <w:name w:val="表标题jj"/>
    <w:basedOn w:val="1"/>
    <w:qFormat/>
    <w:uiPriority w:val="0"/>
    <w:pPr>
      <w:keepNext/>
      <w:spacing w:line="240" w:lineRule="atLeast"/>
      <w:ind w:firstLine="332" w:firstLineChars="200"/>
    </w:pPr>
    <w:rPr>
      <w:rFonts w:eastAsia="黑体"/>
      <w:sz w:val="18"/>
      <w:szCs w:val="20"/>
    </w:rPr>
  </w:style>
  <w:style w:type="paragraph" w:customStyle="1" w:styleId="115">
    <w:name w:val="表下注jj"/>
    <w:basedOn w:val="1"/>
    <w:qFormat/>
    <w:uiPriority w:val="0"/>
    <w:pPr>
      <w:keepNext/>
      <w:keepLines/>
      <w:tabs>
        <w:tab w:val="left" w:pos="432"/>
      </w:tabs>
      <w:spacing w:line="240" w:lineRule="atLeast"/>
      <w:ind w:firstLine="332" w:firstLineChars="200"/>
      <w:outlineLvl w:val="0"/>
    </w:pPr>
    <w:rPr>
      <w:rFonts w:hint="eastAsia"/>
      <w:sz w:val="18"/>
      <w:szCs w:val="18"/>
    </w:rPr>
  </w:style>
  <w:style w:type="paragraph" w:customStyle="1" w:styleId="116">
    <w:name w:val="正文-公1"/>
    <w:basedOn w:val="1"/>
    <w:qFormat/>
    <w:uiPriority w:val="0"/>
    <w:pPr>
      <w:framePr w:hSpace="181" w:wrap="notBeside" w:vAnchor="text" w:hAnchor="margin" w:xAlign="center" w:y="63"/>
      <w:spacing w:line="300" w:lineRule="exact"/>
      <w:jc w:val="center"/>
    </w:pPr>
    <w:rPr>
      <w:rFonts w:ascii="宋体" w:hAnsi="宋体"/>
      <w:b/>
      <w:bCs/>
      <w:sz w:val="18"/>
      <w:szCs w:val="18"/>
    </w:rPr>
  </w:style>
  <w:style w:type="table" w:customStyle="1" w:styleId="117">
    <w:name w:val="无格式表格 21"/>
    <w:basedOn w:val="33"/>
    <w:qFormat/>
    <w:uiPriority w:val="0"/>
    <w:tblPr>
      <w:tblBorders>
        <w:top w:val="single" w:color="7E7E7E" w:sz="4" w:space="0"/>
        <w:bottom w:val="single" w:color="7E7E7E" w:sz="4" w:space="0"/>
      </w:tblBorders>
      <w:tblLayout w:type="fixed"/>
    </w:tblPr>
    <w:tblStylePr w:type="firstRow">
      <w:rPr>
        <w:b/>
        <w:bCs/>
      </w:rPr>
      <w:tcPr>
        <w:tcBorders>
          <w:top w:val="nil"/>
          <w:left w:val="nil"/>
          <w:bottom w:val="single" w:color="7E7E7E" w:sz="4" w:space="0"/>
          <w:right w:val="nil"/>
          <w:insideH w:val="nil"/>
          <w:insideV w:val="nil"/>
          <w:tl2br w:val="nil"/>
          <w:tr2bl w:val="nil"/>
        </w:tcBorders>
      </w:tcPr>
    </w:tblStylePr>
    <w:tblStylePr w:type="lastRow">
      <w:rPr>
        <w:b/>
        <w:bCs/>
      </w:rPr>
      <w:tcPr>
        <w:tcBorders>
          <w:top w:val="single" w:color="7E7E7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E7E7E" w:sz="4" w:space="0"/>
          <w:bottom w:val="nil"/>
          <w:right w:val="single" w:color="7E7E7E" w:sz="4" w:space="0"/>
          <w:insideH w:val="nil"/>
          <w:insideV w:val="nil"/>
          <w:tl2br w:val="nil"/>
          <w:tr2bl w:val="nil"/>
        </w:tcBorders>
      </w:tcPr>
    </w:tblStylePr>
    <w:tblStylePr w:type="band2Vert">
      <w:tcPr>
        <w:tcBorders>
          <w:top w:val="nil"/>
          <w:left w:val="single" w:color="7E7E7E" w:sz="4" w:space="0"/>
          <w:bottom w:val="nil"/>
          <w:right w:val="single" w:color="7E7E7E" w:sz="4" w:space="0"/>
          <w:insideH w:val="nil"/>
          <w:insideV w:val="nil"/>
          <w:tl2br w:val="nil"/>
          <w:tr2bl w:val="nil"/>
        </w:tcBorders>
      </w:tcPr>
    </w:tblStylePr>
    <w:tblStylePr w:type="band1Horz">
      <w:tcPr>
        <w:tcBorders>
          <w:top w:val="single" w:color="7E7E7E" w:sz="4" w:space="0"/>
          <w:left w:val="nil"/>
          <w:bottom w:val="single" w:color="7E7E7E" w:sz="4" w:space="0"/>
          <w:right w:val="nil"/>
          <w:insideH w:val="nil"/>
          <w:insideV w:val="nil"/>
          <w:tl2br w:val="nil"/>
          <w:tr2bl w:val="nil"/>
        </w:tcBorders>
      </w:tcPr>
    </w:tblStylePr>
  </w:style>
  <w:style w:type="paragraph" w:customStyle="1" w:styleId="118">
    <w:name w:val="Revision"/>
    <w:hidden/>
    <w:unhideWhenUsed/>
    <w:uiPriority w:val="99"/>
    <w:pPr>
      <w:spacing w:after="0" w:line="240"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1844</Words>
  <Characters>2304</Characters>
  <Lines>18</Lines>
  <Paragraphs>5</Paragraphs>
  <TotalTime>4</TotalTime>
  <ScaleCrop>false</ScaleCrop>
  <LinksUpToDate>false</LinksUpToDate>
  <CharactersWithSpaces>2443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deng</cp:lastModifiedBy>
  <cp:lastPrinted>2023-06-28T09:19:00Z</cp:lastPrinted>
  <dcterms:modified xsi:type="dcterms:W3CDTF">2025-06-19T08:33:59Z</dcterms:modified>
  <cp:revision>5118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y fmtid="{D5CDD505-2E9C-101B-9397-08002B2CF9AE}" pid="8" name="KSOTemplateDocerSaveRecord">
    <vt:lpwstr>eyJoZGlkIjoiMTdlZDQ2ZTk3Y2QyZDgwMzIyNjM2MWEyMzU4NjZhMjUiLCJ1c2VySWQiOiIyODMxNTYxMTQifQ==</vt:lpwstr>
  </property>
</Properties>
</file>