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keepNext w:val="0"/>
        <w:keepLines w:val="0"/>
        <w:pageBreakBefore w:val="0"/>
        <w:widowControl w:val="0"/>
        <w:kinsoku/>
        <w:wordWrap/>
        <w:overflowPunct/>
        <w:topLinePunct w:val="0"/>
        <w:autoSpaceDE/>
        <w:autoSpaceDN/>
        <w:bidi w:val="0"/>
        <w:adjustRightInd/>
        <w:snapToGrid/>
        <w:spacing w:after="0" w:line="240" w:lineRule="atLeast"/>
        <w:ind w:left="0" w:leftChars="0" w:firstLine="0" w:firstLineChars="0"/>
        <w:jc w:val="center"/>
        <w:textAlignment w:val="auto"/>
        <w:outlineLvl w:val="9"/>
        <w:rPr>
          <w:rFonts w:hint="eastAsia" w:ascii="黑体" w:hAnsi="黑体" w:eastAsia="黑体" w:cs="黑体"/>
          <w:b w:val="0"/>
          <w:bCs w:val="0"/>
          <w:color w:val="auto"/>
          <w:kern w:val="2"/>
          <w:sz w:val="21"/>
          <w:szCs w:val="21"/>
          <w:highlight w:val="none"/>
          <w:shd w:val="clear" w:color="auto" w:fill="FFFFFF"/>
          <w:lang w:val="en-US" w:eastAsia="zh-CN" w:bidi="ar-SA"/>
        </w:rPr>
      </w:pPr>
      <w:bookmarkStart w:id="0" w:name="_top"/>
      <w:bookmarkEnd w:id="0"/>
    </w:p>
    <w:p>
      <w:pPr>
        <w:pStyle w:val="15"/>
        <w:keepNext w:val="0"/>
        <w:keepLines w:val="0"/>
        <w:pageBreakBefore w:val="0"/>
        <w:widowControl w:val="0"/>
        <w:kinsoku/>
        <w:wordWrap/>
        <w:overflowPunct/>
        <w:topLinePunct w:val="0"/>
        <w:autoSpaceDE/>
        <w:autoSpaceDN/>
        <w:bidi w:val="0"/>
        <w:adjustRightInd/>
        <w:snapToGrid/>
        <w:spacing w:after="0" w:line="240" w:lineRule="atLeast"/>
        <w:ind w:left="0" w:leftChars="0" w:firstLine="0" w:firstLineChars="0"/>
        <w:jc w:val="center"/>
        <w:textAlignment w:val="auto"/>
        <w:outlineLvl w:val="9"/>
        <w:rPr>
          <w:rFonts w:hint="eastAsia" w:ascii="黑体" w:hAnsi="黑体" w:eastAsia="黑体" w:cs="黑体"/>
          <w:b w:val="0"/>
          <w:bCs w:val="0"/>
          <w:color w:val="auto"/>
          <w:kern w:val="2"/>
          <w:sz w:val="21"/>
          <w:szCs w:val="21"/>
          <w:highlight w:val="none"/>
          <w:shd w:val="clear" w:color="auto" w:fill="FFFFFF"/>
          <w:lang w:val="en-US" w:eastAsia="zh-CN" w:bidi="ar-SA"/>
        </w:rPr>
      </w:pPr>
    </w:p>
    <w:p>
      <w:pPr>
        <w:keepNext w:val="0"/>
        <w:keepLines w:val="0"/>
        <w:pageBreakBefore w:val="0"/>
        <w:kinsoku/>
        <w:wordWrap/>
        <w:overflowPunct/>
        <w:topLinePunct w:val="0"/>
        <w:autoSpaceDE/>
        <w:autoSpaceDN/>
        <w:bidi w:val="0"/>
        <w:adjustRightInd/>
        <w:spacing w:line="240" w:lineRule="atLeast"/>
        <w:jc w:val="center"/>
        <w:rPr>
          <w:rFonts w:hint="default" w:ascii="Times New Roman" w:hAnsi="Times New Roman" w:eastAsia="黑体" w:cs="Times New Roman"/>
          <w:b w:val="0"/>
          <w:bCs w:val="0"/>
          <w:color w:val="auto"/>
          <w:kern w:val="2"/>
          <w:sz w:val="44"/>
          <w:szCs w:val="44"/>
          <w:highlight w:val="none"/>
          <w:shd w:val="clear" w:color="auto" w:fill="FFFFFF"/>
          <w:vertAlign w:val="superscript"/>
          <w:lang w:val="en-US" w:eastAsia="zh-CN" w:bidi="ar-SA"/>
        </w:rPr>
      </w:pPr>
      <w:r>
        <w:rPr>
          <w:rFonts w:hint="eastAsia" w:ascii="黑体" w:hAnsi="黑体" w:eastAsia="黑体" w:cs="黑体"/>
          <w:b w:val="0"/>
          <w:bCs w:val="0"/>
          <w:color w:val="auto"/>
          <w:kern w:val="2"/>
          <w:sz w:val="44"/>
          <w:szCs w:val="44"/>
          <w:highlight w:val="none"/>
          <w:shd w:val="clear" w:color="auto" w:fill="FFFFFF"/>
          <w:lang w:val="en-US" w:eastAsia="zh-CN" w:bidi="ar-SA"/>
        </w:rPr>
        <w:t>附  录</w:t>
      </w:r>
      <w:r>
        <w:rPr>
          <w:rFonts w:hint="default" w:ascii="Times New Roman" w:hAnsi="Times New Roman" w:eastAsia="黑体" w:cs="Times New Roman"/>
          <w:b w:val="0"/>
          <w:bCs w:val="0"/>
          <w:color w:val="auto"/>
          <w:kern w:val="2"/>
          <w:sz w:val="44"/>
          <w:szCs w:val="44"/>
          <w:highlight w:val="none"/>
          <w:shd w:val="clear" w:color="auto" w:fill="FFFFFF"/>
          <w:vertAlign w:val="superscript"/>
          <w:lang w:val="en-US" w:eastAsia="zh-CN" w:bidi="ar-SA"/>
        </w:rPr>
        <w:footnoteReference w:id="0" w:customMarkFollows="1"/>
        <w:t>*</w:t>
      </w:r>
    </w:p>
    <w:p>
      <w:pPr>
        <w:jc w:val="both"/>
        <w:rPr>
          <w:rFonts w:hint="default" w:ascii="Times New Roman Regular" w:hAnsi="Times New Roman Regular" w:eastAsia="黑体" w:cs="Times New Roman Regular"/>
          <w:sz w:val="21"/>
          <w:szCs w:val="21"/>
          <w14:ligatures w14:val="none"/>
        </w:rPr>
      </w:pPr>
    </w:p>
    <w:p>
      <w:pPr>
        <w:keepNext w:val="0"/>
        <w:keepLines w:val="0"/>
        <w:pageBreakBefore w:val="0"/>
        <w:widowControl/>
        <w:kinsoku/>
        <w:wordWrap/>
        <w:overflowPunct/>
        <w:topLinePunct w:val="0"/>
        <w:autoSpaceDE/>
        <w:autoSpaceDN/>
        <w:bidi w:val="0"/>
        <w:adjustRightInd/>
        <w:snapToGrid/>
        <w:spacing w:line="480" w:lineRule="auto"/>
        <w:jc w:val="center"/>
        <w:textAlignment w:val="auto"/>
        <w:rPr>
          <w:rFonts w:eastAsia="黑体"/>
          <w:b w:val="0"/>
          <w:bCs w:val="0"/>
          <w:sz w:val="24"/>
          <w:szCs w:val="24"/>
        </w:rPr>
      </w:pPr>
      <w:r>
        <w:rPr>
          <w:rFonts w:hint="eastAsia" w:eastAsia="黑体"/>
          <w:b w:val="0"/>
          <w:bCs w:val="0"/>
          <w:sz w:val="24"/>
          <w:szCs w:val="24"/>
        </w:rPr>
        <w:t>A</w:t>
      </w:r>
      <w:r>
        <w:rPr>
          <w:rFonts w:hint="eastAsia" w:eastAsia="黑体"/>
          <w:b w:val="0"/>
          <w:bCs w:val="0"/>
          <w:sz w:val="24"/>
          <w:szCs w:val="24"/>
          <w:lang w:val="en-US" w:eastAsia="zh-CN"/>
        </w:rPr>
        <w:t>.</w:t>
      </w:r>
      <w:r>
        <w:rPr>
          <w:rFonts w:hint="eastAsia" w:eastAsia="黑体"/>
          <w:b w:val="0"/>
          <w:bCs w:val="0"/>
          <w:sz w:val="24"/>
          <w:szCs w:val="24"/>
        </w:rPr>
        <w:t xml:space="preserve"> 居民消费支出结构的数据处理、参数估计和数值模拟结果</w:t>
      </w:r>
    </w:p>
    <w:p>
      <w:pPr>
        <w:ind w:firstLine="392" w:firstLineChars="200"/>
      </w:pPr>
      <w:r>
        <w:rPr>
          <w:rFonts w:hint="eastAsia"/>
        </w:rPr>
        <w:t>结构转型相关文献强调了使用消费支出数据和消费增加值数据的差异，使用不同数据估计的偏好参数存在显著差别（Herrendorf et al.，2013）。现有研究中国结构转型的文献多从增加值口径出发估计消费偏好，本文的基准部分也使用了消费增加值模型和数据。为进一步检验结论的稳健性，这里使用消费支出口径数据对城乡居民消费偏好进行估计，以此测算城乡实际收入差距演化趋势。</w:t>
      </w:r>
    </w:p>
    <w:p>
      <w:pPr>
        <w:ind w:firstLine="392" w:firstLineChars="200"/>
        <w:rPr>
          <w:rFonts w:eastAsia="黑体"/>
        </w:rPr>
      </w:pPr>
      <w:r>
        <w:rPr>
          <w:rFonts w:hint="eastAsia" w:eastAsia="黑体"/>
        </w:rPr>
        <w:t>（一）数据处理</w:t>
      </w:r>
    </w:p>
    <w:p>
      <w:pPr>
        <w:ind w:firstLine="392" w:firstLineChars="200"/>
      </w:pPr>
      <w:r>
        <w:rPr>
          <w:rFonts w:hint="eastAsia"/>
        </w:rPr>
        <w:t>首先介绍相关数据处理方法。从最终支出口径衡量，国家统计局将居民最终消费分为八个大类，2013年八大类消费统计口径进行了一次调整，口径调整后的八个类别分别为食品烟酒、衣着、居住、生活用品及服务、交通通信、教育文化娱乐、医疗保健与其他用品及服务。国家统计局每年公布城镇和农村居民人均消费性支出数据，这一数据包含总量和上述八个大类消费支出，本文将其作为名义消费支出变量数据。国家统计局报告的居民消费支出是指居民用于满足家庭日常生活消费需要的全部支出，同时包括现金消费支出和实物消费支出，并且也包括居民自产自用部分的消费，因此可以反映农村居民消费支出中来自家庭农业活动等的部分。</w:t>
      </w:r>
    </w:p>
    <w:p>
      <w:pPr>
        <w:ind w:firstLine="392" w:firstLineChars="200"/>
      </w:pPr>
      <w:r>
        <w:rPr>
          <w:rFonts w:hint="eastAsia"/>
        </w:rPr>
        <w:t>国家统计局还公布了城乡居民消费者价格指数，但2013年统计口径调整后的新大类价格数据仅有2016年及以后的数据。对更早年份的价格变量数据，本文使用原口径下最接近该大类的价格变量进行替代。具体而言，2015年及以前“食品烟酒”大类使用“食品”类价格数据替代，“生活用品及服务”大类使用“耐用消费品”类价格数据替代，“教育文化娱乐”大类使用“文化娱乐”类价格数据替代。此外，国家统计局也没有提供“其他用品及服务”大类价格数据，但这个类别在城乡居民消费结构中占比均比较小，本文使用总体价格指数进行替代。合并上述两个来源的数据后，最终得到2000</w:t>
      </w:r>
      <w:r>
        <w:t>－</w:t>
      </w:r>
      <w:r>
        <w:rPr>
          <w:rFonts w:hint="eastAsia"/>
        </w:rPr>
        <w:t>2023年共24年的城镇和农村居民八大类消费支出与价格数据。</w:t>
      </w:r>
    </w:p>
    <w:p>
      <w:pPr>
        <w:ind w:firstLine="392" w:firstLineChars="200"/>
        <w:rPr>
          <w:rFonts w:eastAsia="黑体"/>
        </w:rPr>
      </w:pPr>
      <w:r>
        <w:rPr>
          <w:rFonts w:hint="eastAsia" w:eastAsia="黑体"/>
        </w:rPr>
        <w:t>（二）参数估计结果</w:t>
      </w:r>
    </w:p>
    <w:p>
      <w:pPr>
        <w:ind w:firstLine="392" w:firstLineChars="200"/>
      </w:pPr>
      <w:r>
        <w:rPr>
          <w:rFonts w:hint="eastAsia"/>
        </w:rPr>
        <w:t>这里报告参数估计结果。在使用消费最终支出数据进行估计时，本文以“衣着”大类消费品为基准消费品，使用城镇和农村居民八大类消费支出与价格数据，运用正文</w:t>
      </w:r>
      <w:r>
        <w:rPr>
          <w:rFonts w:hint="eastAsia"/>
          <w:iCs/>
        </w:rPr>
        <w:t>（13）</w:t>
      </w:r>
      <w:r>
        <w:rPr>
          <w:rFonts w:hint="eastAsia"/>
        </w:rPr>
        <w:t>式进行参数估计，估计结果见附表1。附表1（1）列控制了城乡和品类固定效应，（2）列没有控制固定效应。从（1）列结果可知，替代弹性参数</w:t>
      </w:r>
      <w:r>
        <w:rPr>
          <w:position w:val="-6"/>
        </w:rPr>
        <w:object>
          <v:shape id="_x0000_i1039" o:spt="75" type="#_x0000_t75" style="height:12pt;width:24pt;" o:ole="t" filled="f" o:preferrelative="t" stroked="f" coordsize="21600,21600">
            <v:path/>
            <v:fill on="f" focussize="0,0"/>
            <v:stroke on="f" joinstyle="miter"/>
            <v:imagedata r:id="rId10" o:title=""/>
            <o:lock v:ext="edit" aspectratio="t"/>
            <w10:wrap type="none"/>
            <w10:anchorlock/>
          </v:shape>
          <o:OLEObject Type="Embed" ProgID="Equation.DSMT4" ShapeID="_x0000_i1039" DrawAspect="Content" ObjectID="_1468075725" r:id="rId9">
            <o:LockedField>false</o:LockedField>
          </o:OLEObject>
        </w:object>
      </w:r>
      <w:r>
        <w:rPr>
          <w:rFonts w:hint="eastAsia"/>
        </w:rPr>
        <w:t>，与文献中使用最终消费支出数据得到的估计结果相似。在不同品类消费品的收入弹性参数</w:t>
      </w:r>
      <w:r>
        <w:rPr>
          <w:position w:val="-12"/>
        </w:rPr>
        <w:object>
          <v:shape id="_x0000_i1040" o:spt="75" type="#_x0000_t75" style="height:15.6pt;width:12pt;" o:ole="t" filled="f" o:preferrelative="t" stroked="f" coordsize="21600,21600">
            <v:path/>
            <v:fill on="f" focussize="0,0"/>
            <v:stroke on="f" joinstyle="miter"/>
            <v:imagedata r:id="rId12" o:title=""/>
            <o:lock v:ext="edit" aspectratio="t"/>
            <w10:wrap type="none"/>
            <w10:anchorlock/>
          </v:shape>
          <o:OLEObject Type="Embed" ProgID="Equation.DSMT4" ShapeID="_x0000_i1040" DrawAspect="Content" ObjectID="_1468075726" r:id="rId11">
            <o:LockedField>false</o:LockedField>
          </o:OLEObject>
        </w:object>
      </w:r>
      <w:r>
        <w:rPr>
          <w:rFonts w:hint="eastAsia"/>
        </w:rPr>
        <w:t>方面，食品烟酒品类的收入弹性参数最小，其他用品及服务、生活用品及服务以及医疗保健等品类的收入弹性参数较大。与（1）列相比，（2）列中替代弹性参数</w:t>
      </w:r>
      <w:r>
        <w:rPr>
          <w:position w:val="-6"/>
        </w:rPr>
        <w:object>
          <v:shape id="_x0000_i1041" o:spt="75" type="#_x0000_t75" style="height:9.6pt;width:11.4pt;" o:ole="t" filled="f" o:preferrelative="t" stroked="f" coordsize="21600,21600">
            <v:path/>
            <v:fill on="f" focussize="0,0"/>
            <v:stroke on="f" joinstyle="miter"/>
            <v:imagedata r:id="rId14" o:title=""/>
            <o:lock v:ext="edit" aspectratio="t"/>
            <w10:wrap type="none"/>
            <w10:anchorlock/>
          </v:shape>
          <o:OLEObject Type="Embed" ProgID="Equation.DSMT4" ShapeID="_x0000_i1041" DrawAspect="Content" ObjectID="_1468075727" r:id="rId13">
            <o:LockedField>false</o:LockedField>
          </o:OLEObject>
        </w:object>
      </w:r>
      <w:r>
        <w:rPr>
          <w:rFonts w:hint="eastAsia"/>
        </w:rPr>
        <w:t>的估计结果小于1且更加接近1。</w:t>
      </w:r>
      <w:bookmarkStart w:id="1" w:name="_Hlk186786455"/>
      <w:r>
        <w:rPr>
          <w:rFonts w:hint="eastAsia"/>
        </w:rPr>
        <w:t>由</w:t>
      </w:r>
      <w:bookmarkEnd w:id="1"/>
      <w:r>
        <w:rPr>
          <w:rFonts w:hint="eastAsia"/>
          <w:iCs/>
        </w:rPr>
        <w:t>（13）式可知，固定效应还捕捉了基期年份不同品类消费品的价格差异，</w:t>
      </w:r>
      <w:r>
        <w:rPr>
          <w:rFonts w:hint="eastAsia"/>
        </w:rPr>
        <w:t>因此，不控制城乡和品类固定效应产生的估计偏误会使消费结构转型中的价格效应偏小。由</w:t>
      </w:r>
      <w:r>
        <w:rPr>
          <w:rFonts w:hint="eastAsia"/>
          <w:iCs/>
        </w:rPr>
        <w:t>（4）式可知，影响消费结构的价格效应的大小取决于替代弹性</w:t>
      </w:r>
      <w:bookmarkStart w:id="2" w:name="_Hlk186786474"/>
      <w:bookmarkEnd w:id="2"/>
      <w:r>
        <w:rPr>
          <w:position w:val="-6"/>
        </w:rPr>
        <w:object>
          <v:shape id="_x0000_i1042" o:spt="75" type="#_x0000_t75" style="height:9.6pt;width:11.4pt;" o:ole="t" filled="f" o:preferrelative="t" stroked="f" coordsize="21600,21600">
            <v:path/>
            <v:fill on="f" focussize="0,0"/>
            <v:stroke on="f" joinstyle="miter"/>
            <v:imagedata r:id="rId16" o:title=""/>
            <o:lock v:ext="edit" aspectratio="t"/>
            <w10:wrap type="none"/>
            <w10:anchorlock/>
          </v:shape>
          <o:OLEObject Type="Embed" ProgID="Equation.DSMT4" ShapeID="_x0000_i1042" DrawAspect="Content" ObjectID="_1468075728" r:id="rId15">
            <o:LockedField>false</o:LockedField>
          </o:OLEObject>
        </w:object>
      </w:r>
      <w:r>
        <w:rPr>
          <w:rFonts w:hint="eastAsia"/>
        </w:rPr>
        <w:t>与1的差别，差别越小，价格效应的影响越小。在不控制相关固定效应时，替代弹性</w:t>
      </w:r>
      <w:bookmarkStart w:id="3" w:name="_Hlk186786499"/>
      <w:bookmarkEnd w:id="3"/>
      <w:r>
        <w:rPr>
          <w:position w:val="-6"/>
        </w:rPr>
        <w:object>
          <v:shape id="_x0000_i1043" o:spt="75" type="#_x0000_t75" style="height:9.6pt;width:11.4pt;" o:ole="t" filled="f" o:preferrelative="t" stroked="f" coordsize="21600,21600">
            <v:path/>
            <v:fill on="f" focussize="0,0"/>
            <v:stroke on="f" joinstyle="miter"/>
            <v:imagedata r:id="rId18" o:title=""/>
            <o:lock v:ext="edit" aspectratio="t"/>
            <w10:wrap type="none"/>
            <w10:anchorlock/>
          </v:shape>
          <o:OLEObject Type="Embed" ProgID="Equation.DSMT4" ShapeID="_x0000_i1043" DrawAspect="Content" ObjectID="_1468075729" r:id="rId17">
            <o:LockedField>false</o:LockedField>
          </o:OLEObject>
        </w:object>
      </w:r>
      <w:r>
        <w:rPr>
          <w:rFonts w:hint="eastAsia"/>
        </w:rPr>
        <w:t>的估计结果更接近1，说明遗漏固定效应会低估价格效应的影响。</w:t>
      </w:r>
      <w:bookmarkStart w:id="4" w:name="_Hlk186635685"/>
      <w:bookmarkEnd w:id="4"/>
      <w:r>
        <w:rPr>
          <w:rFonts w:hint="eastAsia"/>
        </w:rPr>
        <w:t>在（2）列中不同品类收入弹性参数的差别有所扩大，但相对大小仍基本和（1）列一致，体现了一定的稳健性。虽然交通通信和教育文化娱乐这两个品类的需求收入弹性的相对大小发生了改变，但二者的取值在两列中非常接近，说明其需求收入弹性的差别较小，收入变化在两列估计结果中不会显著影响两个品类的相对结构。因此，后续测算城乡实际收入时以（1）列结果为基准。</w:t>
      </w:r>
    </w:p>
    <w:p>
      <w:pPr>
        <w:ind w:firstLine="332" w:firstLineChars="200"/>
        <w:rPr>
          <w:rFonts w:hint="eastAsia" w:ascii="黑体" w:hAnsi="黑体" w:eastAsia="黑体" w:cs="Times New Roman"/>
          <w:sz w:val="18"/>
          <w:szCs w:val="20"/>
        </w:rPr>
      </w:pPr>
      <w:r>
        <w:rPr>
          <w:rFonts w:hint="eastAsia" w:ascii="黑体" w:hAnsi="黑体" w:eastAsia="黑体" w:cs="Times New Roman"/>
          <w:sz w:val="18"/>
          <w:szCs w:val="20"/>
        </w:rPr>
        <w:t>附表</w:t>
      </w:r>
      <w:r>
        <w:rPr>
          <w:rFonts w:hint="default" w:ascii="Times New Roman" w:hAnsi="Times New Roman" w:eastAsia="黑体" w:cs="Times New Roman"/>
          <w:sz w:val="18"/>
          <w:szCs w:val="20"/>
        </w:rPr>
        <w:t>1</w:t>
      </w:r>
      <w:r>
        <w:rPr>
          <w:rFonts w:hint="eastAsia" w:ascii="黑体" w:hAnsi="黑体" w:eastAsia="黑体" w:cs="Times New Roman"/>
          <w:sz w:val="18"/>
          <w:szCs w:val="20"/>
        </w:rPr>
        <w:t xml:space="preserve">                          消费支出口径需求参数估计结果</w:t>
      </w:r>
    </w:p>
    <w:tbl>
      <w:tblPr>
        <w:tblStyle w:val="34"/>
        <w:tblW w:w="8590" w:type="dxa"/>
        <w:jc w:val="center"/>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305"/>
        <w:gridCol w:w="1571"/>
        <w:gridCol w:w="1571"/>
        <w:gridCol w:w="1571"/>
        <w:gridCol w:w="1572"/>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2305" w:type="dxa"/>
            <w:vMerge w:val="restart"/>
            <w:tcBorders>
              <w:top w:val="single" w:color="auto" w:sz="12" w:space="0"/>
              <w:left w:val="nil"/>
              <w:bottom w:val="nil"/>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参数</w:t>
            </w:r>
          </w:p>
        </w:tc>
        <w:tc>
          <w:tcPr>
            <w:tcW w:w="3142" w:type="dxa"/>
            <w:gridSpan w:val="2"/>
            <w:tcBorders>
              <w:top w:val="single" w:color="auto" w:sz="12"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（1）</w:t>
            </w:r>
          </w:p>
        </w:tc>
        <w:tc>
          <w:tcPr>
            <w:tcW w:w="3143" w:type="dxa"/>
            <w:gridSpan w:val="2"/>
            <w:tcBorders>
              <w:top w:val="single" w:color="auto" w:sz="12" w:space="0"/>
              <w:left w:val="nil"/>
              <w:bottom w:val="single" w:color="auto" w:sz="4" w:space="0"/>
              <w:right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2305" w:type="dxa"/>
            <w:vMerge w:val="continue"/>
            <w:tcBorders>
              <w:top w:val="single" w:color="auto" w:sz="12" w:space="0"/>
              <w:left w:val="nil"/>
              <w:bottom w:val="nil"/>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sz w:val="18"/>
                <w:szCs w:val="18"/>
              </w:rPr>
            </w:pPr>
          </w:p>
        </w:tc>
        <w:tc>
          <w:tcPr>
            <w:tcW w:w="1571" w:type="dxa"/>
            <w:tcBorders>
              <w:top w:val="nil"/>
              <w:left w:val="nil"/>
              <w:bottom w:val="single" w:color="auto" w:sz="4" w:space="0"/>
              <w:right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系数</w:t>
            </w:r>
          </w:p>
        </w:tc>
        <w:tc>
          <w:tcPr>
            <w:tcW w:w="1571"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标准误</w:t>
            </w:r>
          </w:p>
        </w:tc>
        <w:tc>
          <w:tcPr>
            <w:tcW w:w="1571" w:type="dxa"/>
            <w:tcBorders>
              <w:top w:val="nil"/>
              <w:left w:val="nil"/>
              <w:bottom w:val="single" w:color="auto" w:sz="4" w:space="0"/>
              <w:right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系数</w:t>
            </w:r>
          </w:p>
        </w:tc>
        <w:tc>
          <w:tcPr>
            <w:tcW w:w="1572" w:type="dxa"/>
            <w:tcBorders>
              <w:top w:val="nil"/>
              <w:left w:val="nil"/>
              <w:bottom w:val="single" w:color="auto" w:sz="4" w:space="0"/>
              <w:right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标准误</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2305" w:type="dxa"/>
            <w:tcBorders>
              <w:top w:val="single" w:color="auto" w:sz="4" w:space="0"/>
              <w:left w:val="nil"/>
              <w:bottom w:val="nil"/>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sz w:val="18"/>
                <w:szCs w:val="18"/>
              </w:rPr>
            </w:pPr>
            <w:r>
              <w:rPr>
                <w:position w:val="-6"/>
                <w:sz w:val="18"/>
                <w:szCs w:val="18"/>
              </w:rPr>
              <w:object>
                <v:shape id="_x0000_i1044" o:spt="75" type="#_x0000_t75" style="height:9.6pt;width:11.4pt;" o:ole="t" filled="f" o:preferrelative="t" stroked="f" coordsize="21600,21600">
                  <v:path/>
                  <v:fill on="f" focussize="0,0"/>
                  <v:stroke on="f" joinstyle="miter"/>
                  <v:imagedata r:id="rId18" o:title=""/>
                  <o:lock v:ext="edit" aspectratio="t"/>
                  <w10:wrap type="none"/>
                  <w10:anchorlock/>
                </v:shape>
                <o:OLEObject Type="Embed" ProgID="Equation.DSMT4" ShapeID="_x0000_i1044" DrawAspect="Content" ObjectID="_1468075730" r:id="rId19">
                  <o:LockedField>false</o:LockedField>
                </o:OLEObject>
              </w:object>
            </w:r>
          </w:p>
        </w:tc>
        <w:tc>
          <w:tcPr>
            <w:tcW w:w="1571" w:type="dxa"/>
            <w:tcBorders>
              <w:top w:val="single" w:color="auto" w:sz="4" w:space="0"/>
              <w:left w:val="nil"/>
              <w:bottom w:val="nil"/>
              <w:right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1.427</w:t>
            </w:r>
            <w:r>
              <w:rPr>
                <w:rFonts w:hint="eastAsia"/>
                <w:sz w:val="18"/>
                <w:szCs w:val="18"/>
                <w:vertAlign w:val="superscript"/>
              </w:rPr>
              <w:t>***</w:t>
            </w:r>
          </w:p>
        </w:tc>
        <w:tc>
          <w:tcPr>
            <w:tcW w:w="1571" w:type="dxa"/>
            <w:tcBorders>
              <w:top w:val="single" w:color="auto" w:sz="4" w:space="0"/>
              <w:left w:val="nil"/>
              <w:bottom w:val="nil"/>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0.008</w:t>
            </w:r>
          </w:p>
        </w:tc>
        <w:tc>
          <w:tcPr>
            <w:tcW w:w="1571" w:type="dxa"/>
            <w:tcBorders>
              <w:top w:val="single" w:color="auto" w:sz="4" w:space="0"/>
              <w:left w:val="nil"/>
              <w:bottom w:val="nil"/>
              <w:right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0.919</w:t>
            </w:r>
            <w:r>
              <w:rPr>
                <w:rFonts w:hint="eastAsia"/>
                <w:sz w:val="18"/>
                <w:szCs w:val="18"/>
                <w:vertAlign w:val="superscript"/>
              </w:rPr>
              <w:t>***</w:t>
            </w:r>
          </w:p>
        </w:tc>
        <w:tc>
          <w:tcPr>
            <w:tcW w:w="1572" w:type="dxa"/>
            <w:tcBorders>
              <w:top w:val="single" w:color="auto" w:sz="4" w:space="0"/>
              <w:left w:val="nil"/>
              <w:bottom w:val="nil"/>
              <w:right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0.001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2305" w:type="dxa"/>
            <w:tcBorders>
              <w:top w:val="nil"/>
              <w:left w:val="nil"/>
              <w:bottom w:val="nil"/>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sz w:val="18"/>
                <w:szCs w:val="18"/>
              </w:rPr>
            </w:pPr>
            <w:r>
              <w:rPr>
                <w:position w:val="-6"/>
                <w:sz w:val="18"/>
                <w:szCs w:val="18"/>
              </w:rPr>
              <w:object>
                <v:shape id="_x0000_i1045" o:spt="75" type="#_x0000_t75" style="height:9.6pt;width:9.6pt;" o:ole="t" filled="f" o:preferrelative="t" stroked="f" coordsize="21600,21600">
                  <v:path/>
                  <v:fill on="f" focussize="0,0"/>
                  <v:stroke on="f" joinstyle="miter"/>
                  <v:imagedata r:id="rId21" o:title=""/>
                  <o:lock v:ext="edit" aspectratio="t"/>
                  <w10:wrap type="none"/>
                  <w10:anchorlock/>
                </v:shape>
                <o:OLEObject Type="Embed" ProgID="Equation.DSMT4" ShapeID="_x0000_i1045" DrawAspect="Content" ObjectID="_1468075731" r:id="rId20">
                  <o:LockedField>false</o:LockedField>
                </o:OLEObject>
              </w:object>
            </w:r>
            <w:r>
              <w:rPr>
                <w:rFonts w:hint="eastAsia"/>
                <w:sz w:val="18"/>
                <w:szCs w:val="18"/>
              </w:rPr>
              <w:t>（食品烟酒）</w:t>
            </w:r>
          </w:p>
        </w:tc>
        <w:tc>
          <w:tcPr>
            <w:tcW w:w="1571" w:type="dxa"/>
            <w:tcBorders>
              <w:top w:val="nil"/>
              <w:left w:val="nil"/>
              <w:bottom w:val="nil"/>
              <w:right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0.674</w:t>
            </w:r>
            <w:r>
              <w:rPr>
                <w:rFonts w:hint="eastAsia"/>
                <w:sz w:val="18"/>
                <w:szCs w:val="18"/>
                <w:vertAlign w:val="superscript"/>
              </w:rPr>
              <w:t>***</w:t>
            </w:r>
          </w:p>
        </w:tc>
        <w:tc>
          <w:tcPr>
            <w:tcW w:w="1571" w:type="dxa"/>
            <w:tcBorders>
              <w:top w:val="nil"/>
              <w:left w:val="nil"/>
              <w:bottom w:val="nil"/>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0.003</w:t>
            </w:r>
          </w:p>
        </w:tc>
        <w:tc>
          <w:tcPr>
            <w:tcW w:w="1571" w:type="dxa"/>
            <w:tcBorders>
              <w:top w:val="nil"/>
              <w:left w:val="nil"/>
              <w:bottom w:val="nil"/>
              <w:right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0.195</w:t>
            </w:r>
            <w:r>
              <w:rPr>
                <w:rFonts w:hint="eastAsia"/>
                <w:sz w:val="18"/>
                <w:szCs w:val="18"/>
                <w:vertAlign w:val="superscript"/>
              </w:rPr>
              <w:t>***</w:t>
            </w:r>
          </w:p>
        </w:tc>
        <w:tc>
          <w:tcPr>
            <w:tcW w:w="1572" w:type="dxa"/>
            <w:tcBorders>
              <w:top w:val="nil"/>
              <w:left w:val="nil"/>
              <w:bottom w:val="nil"/>
              <w:right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0.002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2305" w:type="dxa"/>
            <w:tcBorders>
              <w:top w:val="nil"/>
              <w:left w:val="nil"/>
              <w:bottom w:val="nil"/>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sz w:val="18"/>
                <w:szCs w:val="18"/>
              </w:rPr>
            </w:pPr>
            <w:r>
              <w:rPr>
                <w:position w:val="-6"/>
                <w:sz w:val="18"/>
                <w:szCs w:val="18"/>
              </w:rPr>
              <w:object>
                <v:shape id="_x0000_i1046" o:spt="75" type="#_x0000_t75" style="height:9.6pt;width:9.6pt;" o:ole="t" filled="f" o:preferrelative="t" stroked="f" coordsize="21600,21600">
                  <v:path/>
                  <v:fill on="f" focussize="0,0"/>
                  <v:stroke on="f" joinstyle="miter"/>
                  <v:imagedata r:id="rId21" o:title=""/>
                  <o:lock v:ext="edit" aspectratio="t"/>
                  <w10:wrap type="none"/>
                  <w10:anchorlock/>
                </v:shape>
                <o:OLEObject Type="Embed" ProgID="Equation.DSMT4" ShapeID="_x0000_i1046" DrawAspect="Content" ObjectID="_1468075732" r:id="rId22">
                  <o:LockedField>false</o:LockedField>
                </o:OLEObject>
              </w:object>
            </w:r>
            <w:r>
              <w:rPr>
                <w:rFonts w:hint="eastAsia"/>
                <w:sz w:val="18"/>
                <w:szCs w:val="18"/>
              </w:rPr>
              <w:t>（居住）</w:t>
            </w:r>
          </w:p>
        </w:tc>
        <w:tc>
          <w:tcPr>
            <w:tcW w:w="1571" w:type="dxa"/>
            <w:tcBorders>
              <w:top w:val="nil"/>
              <w:left w:val="nil"/>
              <w:bottom w:val="nil"/>
              <w:right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0.786</w:t>
            </w:r>
            <w:r>
              <w:rPr>
                <w:rFonts w:hint="eastAsia"/>
                <w:sz w:val="18"/>
                <w:szCs w:val="18"/>
                <w:vertAlign w:val="superscript"/>
              </w:rPr>
              <w:t>***</w:t>
            </w:r>
          </w:p>
        </w:tc>
        <w:tc>
          <w:tcPr>
            <w:tcW w:w="1571" w:type="dxa"/>
            <w:tcBorders>
              <w:top w:val="nil"/>
              <w:left w:val="nil"/>
              <w:bottom w:val="nil"/>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0.002</w:t>
            </w:r>
          </w:p>
        </w:tc>
        <w:tc>
          <w:tcPr>
            <w:tcW w:w="1571" w:type="dxa"/>
            <w:tcBorders>
              <w:top w:val="nil"/>
              <w:left w:val="nil"/>
              <w:bottom w:val="nil"/>
              <w:right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0.461</w:t>
            </w:r>
            <w:r>
              <w:rPr>
                <w:rFonts w:hint="eastAsia"/>
                <w:sz w:val="18"/>
                <w:szCs w:val="18"/>
                <w:vertAlign w:val="superscript"/>
              </w:rPr>
              <w:t>***</w:t>
            </w:r>
          </w:p>
        </w:tc>
        <w:tc>
          <w:tcPr>
            <w:tcW w:w="1572" w:type="dxa"/>
            <w:tcBorders>
              <w:top w:val="nil"/>
              <w:left w:val="nil"/>
              <w:bottom w:val="nil"/>
              <w:right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0.001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2305" w:type="dxa"/>
            <w:tcBorders>
              <w:top w:val="nil"/>
              <w:left w:val="nil"/>
              <w:bottom w:val="nil"/>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sz w:val="18"/>
                <w:szCs w:val="18"/>
              </w:rPr>
            </w:pPr>
            <w:r>
              <w:rPr>
                <w:position w:val="-6"/>
                <w:sz w:val="18"/>
                <w:szCs w:val="18"/>
              </w:rPr>
              <w:object>
                <v:shape id="_x0000_i1047" o:spt="75" type="#_x0000_t75" style="height:9.6pt;width:9.6pt;" o:ole="t" filled="f" o:preferrelative="t" stroked="f" coordsize="21600,21600">
                  <v:path/>
                  <v:fill on="f" focussize="0,0"/>
                  <v:stroke on="f" joinstyle="miter"/>
                  <v:imagedata r:id="rId21" o:title=""/>
                  <o:lock v:ext="edit" aspectratio="t"/>
                  <w10:wrap type="none"/>
                  <w10:anchorlock/>
                </v:shape>
                <o:OLEObject Type="Embed" ProgID="Equation.DSMT4" ShapeID="_x0000_i1047" DrawAspect="Content" ObjectID="_1468075733" r:id="rId23">
                  <o:LockedField>false</o:LockedField>
                </o:OLEObject>
              </w:object>
            </w:r>
            <w:r>
              <w:rPr>
                <w:rFonts w:hint="eastAsia"/>
                <w:sz w:val="18"/>
                <w:szCs w:val="18"/>
              </w:rPr>
              <w:t>（生活用品及服务）</w:t>
            </w:r>
          </w:p>
        </w:tc>
        <w:tc>
          <w:tcPr>
            <w:tcW w:w="1571" w:type="dxa"/>
            <w:tcBorders>
              <w:top w:val="nil"/>
              <w:left w:val="nil"/>
              <w:bottom w:val="nil"/>
              <w:right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1.011</w:t>
            </w:r>
            <w:r>
              <w:rPr>
                <w:rFonts w:hint="eastAsia"/>
                <w:sz w:val="18"/>
                <w:szCs w:val="18"/>
                <w:vertAlign w:val="superscript"/>
              </w:rPr>
              <w:t>***</w:t>
            </w:r>
          </w:p>
        </w:tc>
        <w:tc>
          <w:tcPr>
            <w:tcW w:w="1571" w:type="dxa"/>
            <w:tcBorders>
              <w:top w:val="nil"/>
              <w:left w:val="nil"/>
              <w:bottom w:val="nil"/>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0.001</w:t>
            </w:r>
          </w:p>
        </w:tc>
        <w:tc>
          <w:tcPr>
            <w:tcW w:w="1571" w:type="dxa"/>
            <w:tcBorders>
              <w:top w:val="nil"/>
              <w:left w:val="nil"/>
              <w:bottom w:val="nil"/>
              <w:right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1.076</w:t>
            </w:r>
            <w:r>
              <w:rPr>
                <w:rFonts w:hint="eastAsia"/>
                <w:sz w:val="18"/>
                <w:szCs w:val="18"/>
                <w:vertAlign w:val="superscript"/>
              </w:rPr>
              <w:t>***</w:t>
            </w:r>
          </w:p>
        </w:tc>
        <w:tc>
          <w:tcPr>
            <w:tcW w:w="1572" w:type="dxa"/>
            <w:tcBorders>
              <w:top w:val="nil"/>
              <w:left w:val="nil"/>
              <w:bottom w:val="nil"/>
              <w:right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0.001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2305" w:type="dxa"/>
            <w:tcBorders>
              <w:top w:val="nil"/>
              <w:left w:val="nil"/>
              <w:bottom w:val="nil"/>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sz w:val="18"/>
                <w:szCs w:val="18"/>
              </w:rPr>
            </w:pPr>
            <w:r>
              <w:rPr>
                <w:position w:val="-6"/>
                <w:sz w:val="18"/>
                <w:szCs w:val="18"/>
              </w:rPr>
              <w:object>
                <v:shape id="_x0000_i1048" o:spt="75" type="#_x0000_t75" style="height:9.6pt;width:9.6pt;" o:ole="t" filled="f" o:preferrelative="t" stroked="f" coordsize="21600,21600">
                  <v:path/>
                  <v:fill on="f" focussize="0,0"/>
                  <v:stroke on="f" joinstyle="miter"/>
                  <v:imagedata r:id="rId21" o:title=""/>
                  <o:lock v:ext="edit" aspectratio="t"/>
                  <w10:wrap type="none"/>
                  <w10:anchorlock/>
                </v:shape>
                <o:OLEObject Type="Embed" ProgID="Equation.DSMT4" ShapeID="_x0000_i1048" DrawAspect="Content" ObjectID="_1468075734" r:id="rId24">
                  <o:LockedField>false</o:LockedField>
                </o:OLEObject>
              </w:object>
            </w:r>
            <w:r>
              <w:rPr>
                <w:rFonts w:hint="eastAsia"/>
                <w:sz w:val="18"/>
                <w:szCs w:val="18"/>
              </w:rPr>
              <w:t>（交通通信）</w:t>
            </w:r>
          </w:p>
        </w:tc>
        <w:tc>
          <w:tcPr>
            <w:tcW w:w="1571" w:type="dxa"/>
            <w:tcBorders>
              <w:top w:val="nil"/>
              <w:left w:val="nil"/>
              <w:bottom w:val="nil"/>
              <w:right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0.908</w:t>
            </w:r>
            <w:r>
              <w:rPr>
                <w:rFonts w:hint="eastAsia"/>
                <w:sz w:val="18"/>
                <w:szCs w:val="18"/>
                <w:vertAlign w:val="superscript"/>
              </w:rPr>
              <w:t>***</w:t>
            </w:r>
          </w:p>
        </w:tc>
        <w:tc>
          <w:tcPr>
            <w:tcW w:w="1571" w:type="dxa"/>
            <w:tcBorders>
              <w:top w:val="nil"/>
              <w:left w:val="nil"/>
              <w:bottom w:val="nil"/>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0.002</w:t>
            </w:r>
          </w:p>
        </w:tc>
        <w:tc>
          <w:tcPr>
            <w:tcW w:w="1571" w:type="dxa"/>
            <w:tcBorders>
              <w:top w:val="nil"/>
              <w:left w:val="nil"/>
              <w:bottom w:val="nil"/>
              <w:right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0.733</w:t>
            </w:r>
            <w:r>
              <w:rPr>
                <w:rFonts w:hint="eastAsia"/>
                <w:sz w:val="18"/>
                <w:szCs w:val="18"/>
                <w:vertAlign w:val="superscript"/>
              </w:rPr>
              <w:t>***</w:t>
            </w:r>
          </w:p>
        </w:tc>
        <w:tc>
          <w:tcPr>
            <w:tcW w:w="1572" w:type="dxa"/>
            <w:tcBorders>
              <w:top w:val="nil"/>
              <w:left w:val="nil"/>
              <w:bottom w:val="nil"/>
              <w:right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0.002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2305" w:type="dxa"/>
            <w:tcBorders>
              <w:top w:val="nil"/>
              <w:left w:val="nil"/>
              <w:bottom w:val="nil"/>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sz w:val="18"/>
                <w:szCs w:val="18"/>
              </w:rPr>
            </w:pPr>
            <w:r>
              <w:rPr>
                <w:position w:val="-6"/>
                <w:sz w:val="18"/>
                <w:szCs w:val="18"/>
              </w:rPr>
              <w:object>
                <v:shape id="_x0000_i1049" o:spt="75" type="#_x0000_t75" style="height:9.6pt;width:9.6pt;" o:ole="t" filled="f" o:preferrelative="t" stroked="f" coordsize="21600,21600">
                  <v:path/>
                  <v:fill on="f" focussize="0,0"/>
                  <v:stroke on="f" joinstyle="miter"/>
                  <v:imagedata r:id="rId21" o:title=""/>
                  <o:lock v:ext="edit" aspectratio="t"/>
                  <w10:wrap type="none"/>
                  <w10:anchorlock/>
                </v:shape>
                <o:OLEObject Type="Embed" ProgID="Equation.DSMT4" ShapeID="_x0000_i1049" DrawAspect="Content" ObjectID="_1468075735" r:id="rId25">
                  <o:LockedField>false</o:LockedField>
                </o:OLEObject>
              </w:object>
            </w:r>
            <w:r>
              <w:rPr>
                <w:rFonts w:hint="eastAsia"/>
                <w:sz w:val="18"/>
                <w:szCs w:val="18"/>
              </w:rPr>
              <w:t>（教育文化娱乐）</w:t>
            </w:r>
          </w:p>
        </w:tc>
        <w:tc>
          <w:tcPr>
            <w:tcW w:w="1571" w:type="dxa"/>
            <w:tcBorders>
              <w:top w:val="nil"/>
              <w:left w:val="nil"/>
              <w:bottom w:val="nil"/>
              <w:right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0.886</w:t>
            </w:r>
            <w:r>
              <w:rPr>
                <w:rFonts w:hint="eastAsia"/>
                <w:sz w:val="18"/>
                <w:szCs w:val="18"/>
                <w:vertAlign w:val="superscript"/>
              </w:rPr>
              <w:t>***</w:t>
            </w:r>
          </w:p>
        </w:tc>
        <w:tc>
          <w:tcPr>
            <w:tcW w:w="1571" w:type="dxa"/>
            <w:tcBorders>
              <w:top w:val="nil"/>
              <w:left w:val="nil"/>
              <w:bottom w:val="nil"/>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0.002</w:t>
            </w:r>
          </w:p>
        </w:tc>
        <w:tc>
          <w:tcPr>
            <w:tcW w:w="1571" w:type="dxa"/>
            <w:tcBorders>
              <w:top w:val="nil"/>
              <w:left w:val="nil"/>
              <w:bottom w:val="nil"/>
              <w:right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0.737</w:t>
            </w:r>
            <w:r>
              <w:rPr>
                <w:rFonts w:hint="eastAsia"/>
                <w:sz w:val="18"/>
                <w:szCs w:val="18"/>
                <w:vertAlign w:val="superscript"/>
              </w:rPr>
              <w:t>***</w:t>
            </w:r>
          </w:p>
        </w:tc>
        <w:tc>
          <w:tcPr>
            <w:tcW w:w="1572" w:type="dxa"/>
            <w:tcBorders>
              <w:top w:val="nil"/>
              <w:left w:val="nil"/>
              <w:bottom w:val="nil"/>
              <w:right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0.001</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2305" w:type="dxa"/>
            <w:tcBorders>
              <w:top w:val="nil"/>
              <w:left w:val="nil"/>
              <w:bottom w:val="nil"/>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sz w:val="18"/>
                <w:szCs w:val="18"/>
              </w:rPr>
            </w:pPr>
            <w:r>
              <w:rPr>
                <w:position w:val="-6"/>
                <w:sz w:val="18"/>
                <w:szCs w:val="18"/>
              </w:rPr>
              <w:object>
                <v:shape id="_x0000_i1050" o:spt="75" type="#_x0000_t75" style="height:9.6pt;width:9.6pt;" o:ole="t" filled="f" o:preferrelative="t" stroked="f" coordsize="21600,21600">
                  <v:path/>
                  <v:fill on="f" focussize="0,0"/>
                  <v:stroke on="f" joinstyle="miter"/>
                  <v:imagedata r:id="rId21" o:title=""/>
                  <o:lock v:ext="edit" aspectratio="t"/>
                  <w10:wrap type="none"/>
                  <w10:anchorlock/>
                </v:shape>
                <o:OLEObject Type="Embed" ProgID="Equation.DSMT4" ShapeID="_x0000_i1050" DrawAspect="Content" ObjectID="_1468075736" r:id="rId26">
                  <o:LockedField>false</o:LockedField>
                </o:OLEObject>
              </w:object>
            </w:r>
            <w:r>
              <w:rPr>
                <w:rFonts w:hint="eastAsia"/>
                <w:sz w:val="18"/>
                <w:szCs w:val="18"/>
              </w:rPr>
              <w:t>（医疗保健）</w:t>
            </w:r>
          </w:p>
        </w:tc>
        <w:tc>
          <w:tcPr>
            <w:tcW w:w="1571" w:type="dxa"/>
            <w:tcBorders>
              <w:top w:val="nil"/>
              <w:left w:val="nil"/>
              <w:bottom w:val="nil"/>
              <w:right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0.937</w:t>
            </w:r>
            <w:r>
              <w:rPr>
                <w:rFonts w:hint="eastAsia"/>
                <w:sz w:val="18"/>
                <w:szCs w:val="18"/>
                <w:vertAlign w:val="superscript"/>
              </w:rPr>
              <w:t>***</w:t>
            </w:r>
          </w:p>
        </w:tc>
        <w:tc>
          <w:tcPr>
            <w:tcW w:w="1571" w:type="dxa"/>
            <w:tcBorders>
              <w:top w:val="nil"/>
              <w:left w:val="nil"/>
              <w:bottom w:val="nil"/>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0.001</w:t>
            </w:r>
          </w:p>
        </w:tc>
        <w:tc>
          <w:tcPr>
            <w:tcW w:w="1571" w:type="dxa"/>
            <w:tcBorders>
              <w:top w:val="nil"/>
              <w:left w:val="nil"/>
              <w:bottom w:val="nil"/>
              <w:right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0.956</w:t>
            </w:r>
            <w:r>
              <w:rPr>
                <w:rFonts w:hint="eastAsia"/>
                <w:sz w:val="18"/>
                <w:szCs w:val="18"/>
                <w:vertAlign w:val="superscript"/>
              </w:rPr>
              <w:t>***</w:t>
            </w:r>
          </w:p>
        </w:tc>
        <w:tc>
          <w:tcPr>
            <w:tcW w:w="1572" w:type="dxa"/>
            <w:tcBorders>
              <w:top w:val="nil"/>
              <w:left w:val="nil"/>
              <w:bottom w:val="nil"/>
              <w:right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0.002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2305" w:type="dxa"/>
            <w:tcBorders>
              <w:top w:val="nil"/>
              <w:left w:val="nil"/>
              <w:bottom w:val="nil"/>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sz w:val="18"/>
                <w:szCs w:val="18"/>
              </w:rPr>
            </w:pPr>
            <w:r>
              <w:rPr>
                <w:position w:val="-6"/>
                <w:sz w:val="18"/>
                <w:szCs w:val="18"/>
              </w:rPr>
              <w:object>
                <v:shape id="_x0000_i1051" o:spt="75" type="#_x0000_t75" style="height:9.6pt;width:9.6pt;" o:ole="t" filled="f" o:preferrelative="t" stroked="f" coordsize="21600,21600">
                  <v:path/>
                  <v:fill on="f" focussize="0,0"/>
                  <v:stroke on="f" joinstyle="miter"/>
                  <v:imagedata r:id="rId21" o:title=""/>
                  <o:lock v:ext="edit" aspectratio="t"/>
                  <w10:wrap type="none"/>
                  <w10:anchorlock/>
                </v:shape>
                <o:OLEObject Type="Embed" ProgID="Equation.DSMT4" ShapeID="_x0000_i1051" DrawAspect="Content" ObjectID="_1468075737" r:id="rId27">
                  <o:LockedField>false</o:LockedField>
                </o:OLEObject>
              </w:object>
            </w:r>
            <w:r>
              <w:rPr>
                <w:rFonts w:hint="eastAsia"/>
                <w:sz w:val="18"/>
                <w:szCs w:val="18"/>
              </w:rPr>
              <w:t>（其他用品及服务）</w:t>
            </w:r>
          </w:p>
        </w:tc>
        <w:tc>
          <w:tcPr>
            <w:tcW w:w="1571" w:type="dxa"/>
            <w:tcBorders>
              <w:top w:val="nil"/>
              <w:left w:val="nil"/>
              <w:bottom w:val="nil"/>
              <w:right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1.097</w:t>
            </w:r>
            <w:r>
              <w:rPr>
                <w:rFonts w:hint="eastAsia"/>
                <w:sz w:val="18"/>
                <w:szCs w:val="18"/>
                <w:vertAlign w:val="superscript"/>
              </w:rPr>
              <w:t>***</w:t>
            </w:r>
          </w:p>
        </w:tc>
        <w:tc>
          <w:tcPr>
            <w:tcW w:w="1571"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0.003</w:t>
            </w:r>
          </w:p>
        </w:tc>
        <w:tc>
          <w:tcPr>
            <w:tcW w:w="1571" w:type="dxa"/>
            <w:tcBorders>
              <w:top w:val="nil"/>
              <w:left w:val="nil"/>
              <w:bottom w:val="nil"/>
              <w:right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1.478</w:t>
            </w:r>
            <w:r>
              <w:rPr>
                <w:rFonts w:hint="eastAsia"/>
                <w:sz w:val="18"/>
                <w:szCs w:val="18"/>
                <w:vertAlign w:val="superscript"/>
              </w:rPr>
              <w:t>***</w:t>
            </w:r>
          </w:p>
        </w:tc>
        <w:tc>
          <w:tcPr>
            <w:tcW w:w="1572" w:type="dxa"/>
            <w:tcBorders>
              <w:top w:val="nil"/>
              <w:left w:val="nil"/>
              <w:bottom w:val="single" w:color="auto" w:sz="4" w:space="0"/>
              <w:right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0.003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2305" w:type="dxa"/>
            <w:tcBorders>
              <w:top w:val="single" w:color="auto" w:sz="4" w:space="0"/>
              <w:left w:val="nil"/>
              <w:bottom w:val="nil"/>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sz w:val="18"/>
                <w:szCs w:val="18"/>
              </w:rPr>
            </w:pPr>
            <w:r>
              <w:rPr>
                <w:rFonts w:hint="eastAsia"/>
                <w:sz w:val="18"/>
                <w:szCs w:val="18"/>
              </w:rPr>
              <w:t>城乡和品类固定效应</w:t>
            </w:r>
          </w:p>
        </w:tc>
        <w:tc>
          <w:tcPr>
            <w:tcW w:w="3142" w:type="dxa"/>
            <w:gridSpan w:val="2"/>
            <w:tcBorders>
              <w:top w:val="single" w:color="auto" w:sz="4" w:space="0"/>
              <w:left w:val="nil"/>
              <w:bottom w:val="nil"/>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已控制</w:t>
            </w:r>
          </w:p>
        </w:tc>
        <w:tc>
          <w:tcPr>
            <w:tcW w:w="3143" w:type="dxa"/>
            <w:gridSpan w:val="2"/>
            <w:tcBorders>
              <w:top w:val="single" w:color="auto" w:sz="4" w:space="0"/>
              <w:left w:val="nil"/>
              <w:bottom w:val="nil"/>
              <w:right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不控制</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2305" w:type="dxa"/>
            <w:tcBorders>
              <w:top w:val="nil"/>
              <w:left w:val="nil"/>
              <w:bottom w:val="single" w:color="auto" w:sz="12"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sz w:val="18"/>
                <w:szCs w:val="18"/>
              </w:rPr>
            </w:pPr>
            <w:r>
              <w:rPr>
                <w:rFonts w:hint="eastAsia"/>
                <w:sz w:val="18"/>
                <w:szCs w:val="18"/>
              </w:rPr>
              <w:t>样本数</w:t>
            </w:r>
          </w:p>
        </w:tc>
        <w:tc>
          <w:tcPr>
            <w:tcW w:w="3142" w:type="dxa"/>
            <w:gridSpan w:val="2"/>
            <w:tcBorders>
              <w:top w:val="nil"/>
              <w:left w:val="nil"/>
              <w:bottom w:val="single" w:color="auto" w:sz="12"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48</w:t>
            </w:r>
          </w:p>
        </w:tc>
        <w:tc>
          <w:tcPr>
            <w:tcW w:w="3143" w:type="dxa"/>
            <w:gridSpan w:val="2"/>
            <w:tcBorders>
              <w:top w:val="nil"/>
              <w:left w:val="nil"/>
              <w:bottom w:val="single" w:color="auto" w:sz="12" w:space="0"/>
              <w:right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48</w:t>
            </w:r>
          </w:p>
        </w:tc>
      </w:tr>
    </w:tbl>
    <w:p>
      <w:pPr>
        <w:keepNext w:val="0"/>
        <w:keepLines w:val="0"/>
        <w:pageBreakBefore w:val="0"/>
        <w:widowControl w:val="0"/>
        <w:kinsoku/>
        <w:wordWrap/>
        <w:overflowPunct/>
        <w:topLinePunct w:val="0"/>
        <w:autoSpaceDE/>
        <w:autoSpaceDN/>
        <w:bidi w:val="0"/>
        <w:adjustRightInd/>
        <w:snapToGrid/>
        <w:spacing w:line="240" w:lineRule="atLeast"/>
        <w:ind w:firstLine="332" w:firstLineChars="200"/>
        <w:textAlignment w:val="auto"/>
        <w:rPr>
          <w:sz w:val="18"/>
          <w:szCs w:val="20"/>
        </w:rPr>
      </w:pPr>
      <w:r>
        <w:rPr>
          <w:sz w:val="18"/>
          <w:szCs w:val="20"/>
        </w:rPr>
        <w:t>注：</w:t>
      </w:r>
      <w:r>
        <w:rPr>
          <w:rFonts w:ascii="Cambria Math" w:hAnsi="Cambria Math" w:cs="Cambria Math"/>
          <w:sz w:val="18"/>
          <w:szCs w:val="20"/>
        </w:rPr>
        <w:t>①</w:t>
      </w:r>
      <w:r>
        <w:rPr>
          <w:sz w:val="18"/>
          <w:szCs w:val="20"/>
        </w:rPr>
        <w:t>***表示1%</w:t>
      </w:r>
      <w:r>
        <w:rPr>
          <w:rFonts w:hint="eastAsia"/>
          <w:sz w:val="18"/>
          <w:szCs w:val="20"/>
        </w:rPr>
        <w:t>的显著性</w:t>
      </w:r>
      <w:r>
        <w:rPr>
          <w:sz w:val="18"/>
          <w:szCs w:val="20"/>
        </w:rPr>
        <w:t>水平。</w:t>
      </w:r>
    </w:p>
    <w:p>
      <w:pPr>
        <w:keepNext w:val="0"/>
        <w:keepLines w:val="0"/>
        <w:pageBreakBefore w:val="0"/>
        <w:widowControl w:val="0"/>
        <w:kinsoku/>
        <w:wordWrap/>
        <w:overflowPunct/>
        <w:topLinePunct w:val="0"/>
        <w:autoSpaceDE/>
        <w:autoSpaceDN/>
        <w:bidi w:val="0"/>
        <w:adjustRightInd/>
        <w:snapToGrid/>
        <w:spacing w:line="240" w:lineRule="atLeast"/>
        <w:ind w:firstLine="392" w:firstLineChars="200"/>
        <w:textAlignment w:val="auto"/>
      </w:pPr>
      <w:r>
        <w:rPr>
          <w:rFonts w:hint="eastAsia"/>
        </w:rPr>
        <w:t>估计替代弹性和收入弹性参数后，还需对城镇和农村居民可能存在差异的偏好参数</w:t>
      </w:r>
      <w:r>
        <w:rPr>
          <w:position w:val="-12"/>
        </w:rPr>
        <w:object>
          <v:shape id="_x0000_i1052" o:spt="75" type="#_x0000_t75" style="height:17.4pt;width:13.8pt;" o:ole="t" filled="f" o:preferrelative="t" stroked="f" coordsize="21600,21600">
            <v:path/>
            <v:fill on="f" focussize="0,0"/>
            <v:stroke on="f" joinstyle="miter"/>
            <v:imagedata r:id="rId29" o:title=""/>
            <o:lock v:ext="edit" aspectratio="t"/>
            <w10:wrap type="none"/>
            <w10:anchorlock/>
          </v:shape>
          <o:OLEObject Type="Embed" ProgID="Equation.DSMT4" ShapeID="_x0000_i1052" DrawAspect="Content" ObjectID="_1468075738" r:id="rId28">
            <o:LockedField>false</o:LockedField>
          </o:OLEObject>
        </w:object>
      </w:r>
      <w:r>
        <w:rPr>
          <w:rFonts w:hint="eastAsia"/>
        </w:rPr>
        <w:t>进行校准。</w:t>
      </w:r>
      <w:bookmarkStart w:id="5" w:name="_Hlk182749074"/>
      <w:bookmarkEnd w:id="5"/>
      <w:r>
        <w:rPr>
          <w:rFonts w:hint="eastAsia"/>
        </w:rPr>
        <w:t>本文使用城乡居民2010年的消费结构进行校准，也就是将数据中的消费支出数据</w:t>
      </w:r>
      <w:r>
        <w:rPr>
          <w:position w:val="-12"/>
        </w:rPr>
        <w:object>
          <v:shape id="_x0000_i1053" o:spt="75" type="#_x0000_t75" style="height:17.4pt;width:13.8pt;" o:ole="t" filled="f" o:preferrelative="t" stroked="f" coordsize="21600,21600">
            <v:path/>
            <v:fill on="f" focussize="0,0"/>
            <v:stroke on="f" joinstyle="miter"/>
            <v:imagedata r:id="rId31" o:title=""/>
            <o:lock v:ext="edit" aspectratio="t"/>
            <w10:wrap type="none"/>
            <w10:anchorlock/>
          </v:shape>
          <o:OLEObject Type="Embed" ProgID="Equation.DSMT4" ShapeID="_x0000_i1053" DrawAspect="Content" ObjectID="_1468075739" r:id="rId30">
            <o:LockedField>false</o:LockedField>
          </o:OLEObject>
        </w:object>
      </w:r>
      <w:r>
        <w:rPr>
          <w:rFonts w:hint="eastAsia"/>
        </w:rPr>
        <w:t>、消费结构数据</w:t>
      </w:r>
      <w:r>
        <w:rPr>
          <w:position w:val="-12"/>
        </w:rPr>
        <w:object>
          <v:shape id="_x0000_i1054" o:spt="75" type="#_x0000_t75" style="height:17.4pt;width:13.2pt;" o:ole="t" filled="f" o:preferrelative="t" stroked="f" coordsize="21600,21600">
            <v:path/>
            <v:fill on="f" focussize="0,0"/>
            <v:stroke on="f" joinstyle="miter"/>
            <v:imagedata r:id="rId33" o:title=""/>
            <o:lock v:ext="edit" aspectratio="t"/>
            <w10:wrap type="none"/>
            <w10:anchorlock/>
          </v:shape>
          <o:OLEObject Type="Embed" ProgID="Equation.DSMT4" ShapeID="_x0000_i1054" DrawAspect="Content" ObjectID="_1468075740" r:id="rId32">
            <o:LockedField>false</o:LockedField>
          </o:OLEObject>
        </w:object>
      </w:r>
      <w:r>
        <w:rPr>
          <w:rFonts w:hint="eastAsia"/>
        </w:rPr>
        <w:t>、消费品价格数据和附表1中（1）列的估计参数代入，通过求解方程组的方式</w:t>
      </w:r>
      <w:bookmarkStart w:id="6" w:name="_Hlk182749095"/>
      <w:r>
        <w:rPr>
          <w:rFonts w:hint="eastAsia"/>
        </w:rPr>
        <w:t>得到</w:t>
      </w:r>
      <w:bookmarkEnd w:id="6"/>
      <w:r>
        <w:rPr>
          <w:position w:val="-12"/>
        </w:rPr>
        <w:object>
          <v:shape id="_x0000_i1055" o:spt="75" type="#_x0000_t75" style="height:17.4pt;width:15.6pt;" o:ole="t" filled="f" o:preferrelative="t" stroked="f" coordsize="21600,21600">
            <v:path/>
            <v:fill on="f" focussize="0,0"/>
            <v:stroke on="f" joinstyle="miter"/>
            <v:imagedata r:id="rId35" o:title=""/>
            <o:lock v:ext="edit" aspectratio="t"/>
            <w10:wrap type="none"/>
            <w10:anchorlock/>
          </v:shape>
          <o:OLEObject Type="Embed" ProgID="Equation.DSMT4" ShapeID="_x0000_i1055" DrawAspect="Content" ObjectID="_1468075741" r:id="rId34">
            <o:LockedField>false</o:LockedField>
          </o:OLEObject>
        </w:object>
      </w:r>
      <w:r>
        <w:rPr>
          <w:rFonts w:hint="eastAsia"/>
        </w:rPr>
        <w:t>和</w:t>
      </w:r>
      <w:r>
        <w:rPr>
          <w:position w:val="-12"/>
        </w:rPr>
        <w:object>
          <v:shape id="_x0000_i1056" o:spt="75" type="#_x0000_t75" style="height:17.4pt;width:13.8pt;" o:ole="t" filled="f" o:preferrelative="t" stroked="f" coordsize="21600,21600">
            <v:path/>
            <v:fill on="f" focussize="0,0"/>
            <v:stroke on="f" joinstyle="miter"/>
            <v:imagedata r:id="rId37" o:title=""/>
            <o:lock v:ext="edit" aspectratio="t"/>
            <w10:wrap type="none"/>
            <w10:anchorlock/>
          </v:shape>
          <o:OLEObject Type="Embed" ProgID="Equation.DSMT4" ShapeID="_x0000_i1056" DrawAspect="Content" ObjectID="_1468075742" r:id="rId36">
            <o:LockedField>false</o:LockedField>
          </o:OLEObject>
        </w:object>
      </w:r>
      <w:r>
        <w:rPr>
          <w:rFonts w:hint="eastAsia"/>
        </w:rPr>
        <w:t>，从而得到城乡居民的偏好参数</w:t>
      </w:r>
      <w:r>
        <w:rPr>
          <w:position w:val="-12"/>
        </w:rPr>
        <w:object>
          <v:shape id="_x0000_i1057" o:spt="75" type="#_x0000_t75" style="height:17.4pt;width:13.8pt;" o:ole="t" filled="f" o:preferrelative="t" stroked="f" coordsize="21600,21600">
            <v:path/>
            <v:fill on="f" focussize="0,0"/>
            <v:stroke on="f" joinstyle="miter"/>
            <v:imagedata r:id="rId39" o:title=""/>
            <o:lock v:ext="edit" aspectratio="t"/>
            <w10:wrap type="none"/>
            <w10:anchorlock/>
          </v:shape>
          <o:OLEObject Type="Embed" ProgID="Equation.DSMT4" ShapeID="_x0000_i1057" DrawAspect="Content" ObjectID="_1468075743" r:id="rId38">
            <o:LockedField>false</o:LockedField>
          </o:OLEObject>
        </w:object>
      </w:r>
      <w:r>
        <w:rPr>
          <w:rFonts w:hint="eastAsia"/>
        </w:rPr>
        <w:t>，之后即可得到城乡居民的完整偏好。进而，求解历年消费支出数据代入最优性条件即可得到模型给出的城乡居民消费结构。</w:t>
      </w:r>
    </w:p>
    <w:p>
      <w:pPr>
        <w:keepNext w:val="0"/>
        <w:keepLines w:val="0"/>
        <w:pageBreakBefore w:val="0"/>
        <w:widowControl w:val="0"/>
        <w:kinsoku/>
        <w:wordWrap/>
        <w:overflowPunct/>
        <w:topLinePunct w:val="0"/>
        <w:autoSpaceDE/>
        <w:autoSpaceDN/>
        <w:bidi w:val="0"/>
        <w:adjustRightInd/>
        <w:snapToGrid/>
        <w:spacing w:line="240" w:lineRule="atLeast"/>
        <w:ind w:firstLine="392" w:firstLineChars="200"/>
        <w:textAlignment w:val="auto"/>
      </w:pPr>
      <w:r>
        <w:rPr>
          <w:rFonts w:hint="eastAsia"/>
        </w:rPr>
        <w:t>附图1给出了两类居民八大类消费支出结构的模拟结果。</w:t>
      </w:r>
    </w:p>
    <w:p>
      <w:pPr>
        <w:jc w:val="center"/>
      </w:pPr>
      <w:r>
        <w:drawing>
          <wp:inline distT="0" distB="0" distL="0" distR="0">
            <wp:extent cx="1351280" cy="964565"/>
            <wp:effectExtent l="0" t="0" r="1270" b="6985"/>
            <wp:docPr id="11854986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49866" name="图片 3"/>
                    <pic:cNvPicPr>
                      <a:picLocks noChangeAspect="1"/>
                    </pic:cNvPicPr>
                  </pic:nvPicPr>
                  <pic:blipFill>
                    <a:blip r:embed="rId40"/>
                    <a:stretch>
                      <a:fillRect/>
                    </a:stretch>
                  </pic:blipFill>
                  <pic:spPr>
                    <a:xfrm>
                      <a:off x="0" y="0"/>
                      <a:ext cx="1351280" cy="964565"/>
                    </a:xfrm>
                    <a:prstGeom prst="rect">
                      <a:avLst/>
                    </a:prstGeom>
                  </pic:spPr>
                </pic:pic>
              </a:graphicData>
            </a:graphic>
          </wp:inline>
        </w:drawing>
      </w:r>
      <w:r>
        <w:drawing>
          <wp:inline distT="0" distB="0" distL="0" distR="0">
            <wp:extent cx="1341120" cy="957580"/>
            <wp:effectExtent l="0" t="0" r="11430" b="13970"/>
            <wp:docPr id="181092999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0929990" name="图片 4"/>
                    <pic:cNvPicPr>
                      <a:picLocks noChangeAspect="1"/>
                    </pic:cNvPicPr>
                  </pic:nvPicPr>
                  <pic:blipFill>
                    <a:blip r:embed="rId41"/>
                    <a:stretch>
                      <a:fillRect/>
                    </a:stretch>
                  </pic:blipFill>
                  <pic:spPr>
                    <a:xfrm>
                      <a:off x="0" y="0"/>
                      <a:ext cx="1341120" cy="957580"/>
                    </a:xfrm>
                    <a:prstGeom prst="rect">
                      <a:avLst/>
                    </a:prstGeom>
                  </pic:spPr>
                </pic:pic>
              </a:graphicData>
            </a:graphic>
          </wp:inline>
        </w:drawing>
      </w:r>
      <w:r>
        <w:drawing>
          <wp:inline distT="0" distB="0" distL="0" distR="0">
            <wp:extent cx="1360805" cy="971550"/>
            <wp:effectExtent l="0" t="0" r="10795" b="0"/>
            <wp:docPr id="148666888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6668884" name="图片 1"/>
                    <pic:cNvPicPr>
                      <a:picLocks noChangeAspect="1"/>
                    </pic:cNvPicPr>
                  </pic:nvPicPr>
                  <pic:blipFill>
                    <a:blip r:embed="rId42"/>
                    <a:stretch>
                      <a:fillRect/>
                    </a:stretch>
                  </pic:blipFill>
                  <pic:spPr>
                    <a:xfrm>
                      <a:off x="0" y="0"/>
                      <a:ext cx="1360805" cy="971550"/>
                    </a:xfrm>
                    <a:prstGeom prst="rect">
                      <a:avLst/>
                    </a:prstGeom>
                  </pic:spPr>
                </pic:pic>
              </a:graphicData>
            </a:graphic>
          </wp:inline>
        </w:drawing>
      </w:r>
      <w:r>
        <w:drawing>
          <wp:inline distT="0" distB="0" distL="0" distR="0">
            <wp:extent cx="1348105" cy="962660"/>
            <wp:effectExtent l="0" t="0" r="4445" b="8890"/>
            <wp:docPr id="74001818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0018188" name="图片 2"/>
                    <pic:cNvPicPr>
                      <a:picLocks noChangeAspect="1"/>
                    </pic:cNvPicPr>
                  </pic:nvPicPr>
                  <pic:blipFill>
                    <a:blip r:embed="rId43"/>
                    <a:stretch>
                      <a:fillRect/>
                    </a:stretch>
                  </pic:blipFill>
                  <pic:spPr>
                    <a:xfrm>
                      <a:off x="0" y="0"/>
                      <a:ext cx="1348105" cy="962660"/>
                    </a:xfrm>
                    <a:prstGeom prst="rect">
                      <a:avLst/>
                    </a:prstGeom>
                  </pic:spPr>
                </pic:pic>
              </a:graphicData>
            </a:graphic>
          </wp:inline>
        </w:drawing>
      </w:r>
    </w:p>
    <w:p>
      <w:pPr>
        <w:jc w:val="center"/>
        <w:rPr>
          <w:rFonts w:hint="eastAsia" w:ascii="黑体" w:hAnsi="黑体" w:eastAsia="黑体" w:cs="Times New Roman"/>
          <w:sz w:val="18"/>
          <w:szCs w:val="20"/>
        </w:rPr>
      </w:pPr>
      <w:r>
        <w:rPr>
          <w:rFonts w:hint="eastAsia" w:eastAsia="黑体" w:cs="Times New Roman"/>
          <w:sz w:val="18"/>
          <w:szCs w:val="20"/>
        </w:rPr>
        <w:t>（</w:t>
      </w:r>
      <w:r>
        <w:rPr>
          <w:rFonts w:eastAsia="黑体" w:cs="Times New Roman"/>
          <w:sz w:val="18"/>
          <w:szCs w:val="20"/>
        </w:rPr>
        <w:t>a</w:t>
      </w:r>
      <w:r>
        <w:rPr>
          <w:rFonts w:hint="eastAsia" w:eastAsia="黑体" w:cs="Times New Roman"/>
          <w:sz w:val="18"/>
          <w:szCs w:val="20"/>
        </w:rPr>
        <w:t>）</w:t>
      </w:r>
      <w:r>
        <w:rPr>
          <w:rFonts w:hint="eastAsia" w:ascii="黑体" w:hAnsi="黑体" w:eastAsia="黑体" w:cs="Times New Roman"/>
          <w:sz w:val="18"/>
          <w:szCs w:val="20"/>
        </w:rPr>
        <w:t>食品烟酒               （</w:t>
      </w:r>
      <w:r>
        <w:rPr>
          <w:rFonts w:hint="eastAsia" w:eastAsia="黑体" w:cs="Times New Roman"/>
          <w:sz w:val="18"/>
          <w:szCs w:val="20"/>
        </w:rPr>
        <w:t>b</w:t>
      </w:r>
      <w:r>
        <w:rPr>
          <w:rFonts w:hint="eastAsia" w:ascii="黑体" w:hAnsi="黑体" w:eastAsia="黑体" w:cs="Times New Roman"/>
          <w:sz w:val="18"/>
          <w:szCs w:val="20"/>
        </w:rPr>
        <w:t xml:space="preserve">）衣着               </w:t>
      </w:r>
      <w:r>
        <w:rPr>
          <w:rFonts w:hint="eastAsia" w:eastAsia="黑体" w:cs="Times New Roman"/>
          <w:sz w:val="18"/>
          <w:szCs w:val="20"/>
        </w:rPr>
        <w:t>（c）</w:t>
      </w:r>
      <w:r>
        <w:rPr>
          <w:rFonts w:hint="eastAsia" w:ascii="黑体" w:hAnsi="黑体" w:eastAsia="黑体" w:cs="Times New Roman"/>
          <w:sz w:val="18"/>
          <w:szCs w:val="20"/>
        </w:rPr>
        <w:t xml:space="preserve">居住               </w:t>
      </w:r>
      <w:r>
        <w:rPr>
          <w:rFonts w:hint="eastAsia" w:eastAsia="黑体" w:cs="Times New Roman"/>
          <w:sz w:val="18"/>
          <w:szCs w:val="20"/>
        </w:rPr>
        <w:t>（d）</w:t>
      </w:r>
      <w:r>
        <w:rPr>
          <w:rFonts w:hint="eastAsia" w:ascii="黑体" w:hAnsi="黑体" w:eastAsia="黑体" w:cs="Times New Roman"/>
          <w:sz w:val="18"/>
          <w:szCs w:val="20"/>
        </w:rPr>
        <w:t>生活用品及服务</w:t>
      </w:r>
    </w:p>
    <w:p>
      <w:pPr>
        <w:jc w:val="center"/>
      </w:pPr>
      <w:r>
        <w:drawing>
          <wp:inline distT="0" distB="0" distL="0" distR="0">
            <wp:extent cx="1351280" cy="964565"/>
            <wp:effectExtent l="0" t="0" r="1270" b="6985"/>
            <wp:docPr id="135298987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2989874" name="图片 5"/>
                    <pic:cNvPicPr>
                      <a:picLocks noChangeAspect="1"/>
                    </pic:cNvPicPr>
                  </pic:nvPicPr>
                  <pic:blipFill>
                    <a:blip r:embed="rId44"/>
                    <a:stretch>
                      <a:fillRect/>
                    </a:stretch>
                  </pic:blipFill>
                  <pic:spPr>
                    <a:xfrm>
                      <a:off x="0" y="0"/>
                      <a:ext cx="1351280" cy="964565"/>
                    </a:xfrm>
                    <a:prstGeom prst="rect">
                      <a:avLst/>
                    </a:prstGeom>
                  </pic:spPr>
                </pic:pic>
              </a:graphicData>
            </a:graphic>
          </wp:inline>
        </w:drawing>
      </w:r>
      <w:r>
        <w:drawing>
          <wp:inline distT="0" distB="0" distL="0" distR="0">
            <wp:extent cx="1342390" cy="958215"/>
            <wp:effectExtent l="0" t="0" r="10160" b="13335"/>
            <wp:docPr id="10106432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0643214" name="图片 6"/>
                    <pic:cNvPicPr>
                      <a:picLocks noChangeAspect="1"/>
                    </pic:cNvPicPr>
                  </pic:nvPicPr>
                  <pic:blipFill>
                    <a:blip r:embed="rId45"/>
                    <a:stretch>
                      <a:fillRect/>
                    </a:stretch>
                  </pic:blipFill>
                  <pic:spPr>
                    <a:xfrm>
                      <a:off x="0" y="0"/>
                      <a:ext cx="1342390" cy="958215"/>
                    </a:xfrm>
                    <a:prstGeom prst="rect">
                      <a:avLst/>
                    </a:prstGeom>
                  </pic:spPr>
                </pic:pic>
              </a:graphicData>
            </a:graphic>
          </wp:inline>
        </w:drawing>
      </w:r>
      <w:r>
        <w:drawing>
          <wp:inline distT="0" distB="0" distL="0" distR="0">
            <wp:extent cx="1354455" cy="967105"/>
            <wp:effectExtent l="0" t="0" r="17145" b="4445"/>
            <wp:docPr id="14497068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970687" name="图片 8"/>
                    <pic:cNvPicPr>
                      <a:picLocks noChangeAspect="1"/>
                    </pic:cNvPicPr>
                  </pic:nvPicPr>
                  <pic:blipFill>
                    <a:blip r:embed="rId46"/>
                    <a:stretch>
                      <a:fillRect/>
                    </a:stretch>
                  </pic:blipFill>
                  <pic:spPr>
                    <a:xfrm>
                      <a:off x="0" y="0"/>
                      <a:ext cx="1354455" cy="967105"/>
                    </a:xfrm>
                    <a:prstGeom prst="rect">
                      <a:avLst/>
                    </a:prstGeom>
                  </pic:spPr>
                </pic:pic>
              </a:graphicData>
            </a:graphic>
          </wp:inline>
        </w:drawing>
      </w:r>
      <w:r>
        <w:drawing>
          <wp:inline distT="0" distB="0" distL="0" distR="0">
            <wp:extent cx="1351280" cy="964565"/>
            <wp:effectExtent l="0" t="0" r="1270" b="6985"/>
            <wp:docPr id="109325256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3252568" name="图片 7"/>
                    <pic:cNvPicPr>
                      <a:picLocks noChangeAspect="1"/>
                    </pic:cNvPicPr>
                  </pic:nvPicPr>
                  <pic:blipFill>
                    <a:blip r:embed="rId47"/>
                    <a:stretch>
                      <a:fillRect/>
                    </a:stretch>
                  </pic:blipFill>
                  <pic:spPr>
                    <a:xfrm>
                      <a:off x="0" y="0"/>
                      <a:ext cx="1351280" cy="964565"/>
                    </a:xfrm>
                    <a:prstGeom prst="rect">
                      <a:avLst/>
                    </a:prstGeom>
                  </pic:spPr>
                </pic:pic>
              </a:graphicData>
            </a:graphic>
          </wp:inline>
        </w:drawing>
      </w:r>
    </w:p>
    <w:p>
      <w:pPr>
        <w:jc w:val="center"/>
        <w:rPr>
          <w:rFonts w:hint="eastAsia" w:ascii="黑体" w:hAnsi="黑体" w:eastAsia="黑体" w:cs="Times New Roman"/>
          <w:sz w:val="18"/>
          <w:szCs w:val="20"/>
        </w:rPr>
      </w:pPr>
      <w:r>
        <w:rPr>
          <w:rFonts w:hint="eastAsia" w:eastAsia="黑体" w:cs="Times New Roman"/>
          <w:sz w:val="18"/>
          <w:szCs w:val="20"/>
        </w:rPr>
        <w:t>（e）</w:t>
      </w:r>
      <w:r>
        <w:rPr>
          <w:rFonts w:hint="eastAsia" w:ascii="黑体" w:hAnsi="黑体" w:eastAsia="黑体" w:cs="Times New Roman"/>
          <w:sz w:val="18"/>
          <w:szCs w:val="20"/>
        </w:rPr>
        <w:t xml:space="preserve">交通通信           </w:t>
      </w:r>
      <w:r>
        <w:rPr>
          <w:rFonts w:hint="eastAsia" w:eastAsia="黑体" w:cs="Times New Roman"/>
          <w:sz w:val="18"/>
          <w:szCs w:val="20"/>
        </w:rPr>
        <w:t>（f）</w:t>
      </w:r>
      <w:r>
        <w:rPr>
          <w:rFonts w:hint="eastAsia" w:ascii="黑体" w:hAnsi="黑体" w:eastAsia="黑体" w:cs="Times New Roman"/>
          <w:sz w:val="18"/>
          <w:szCs w:val="20"/>
        </w:rPr>
        <w:t xml:space="preserve">教育文化娱乐           </w:t>
      </w:r>
      <w:r>
        <w:rPr>
          <w:rFonts w:hint="eastAsia" w:eastAsia="黑体" w:cs="Times New Roman"/>
          <w:sz w:val="18"/>
          <w:szCs w:val="20"/>
        </w:rPr>
        <w:t>（g）</w:t>
      </w:r>
      <w:r>
        <w:rPr>
          <w:rFonts w:hint="eastAsia" w:ascii="黑体" w:hAnsi="黑体" w:eastAsia="黑体" w:cs="Times New Roman"/>
          <w:sz w:val="18"/>
          <w:szCs w:val="20"/>
        </w:rPr>
        <w:t xml:space="preserve">医疗保健           </w:t>
      </w:r>
      <w:r>
        <w:rPr>
          <w:rFonts w:hint="eastAsia" w:eastAsia="黑体" w:cs="Times New Roman"/>
          <w:sz w:val="18"/>
          <w:szCs w:val="20"/>
        </w:rPr>
        <w:t>（h）</w:t>
      </w:r>
      <w:r>
        <w:rPr>
          <w:rFonts w:hint="eastAsia" w:ascii="黑体" w:hAnsi="黑体" w:eastAsia="黑体" w:cs="Times New Roman"/>
          <w:sz w:val="18"/>
          <w:szCs w:val="20"/>
        </w:rPr>
        <w:t>其他用品及服务</w:t>
      </w:r>
    </w:p>
    <w:p>
      <w:pPr>
        <w:jc w:val="center"/>
        <w:rPr>
          <w:rFonts w:hint="eastAsia" w:ascii="黑体" w:hAnsi="黑体" w:eastAsia="黑体" w:cs="Times New Roman"/>
          <w:sz w:val="18"/>
          <w:szCs w:val="20"/>
        </w:rPr>
      </w:pPr>
      <w:r>
        <w:rPr>
          <w:rFonts w:hint="eastAsia" w:ascii="黑体" w:hAnsi="黑体" w:eastAsia="黑体" w:cs="Times New Roman"/>
          <w:sz w:val="18"/>
          <w:szCs w:val="20"/>
        </w:rPr>
        <w:t>附图</w:t>
      </w:r>
      <w:r>
        <w:rPr>
          <w:rFonts w:hint="eastAsia" w:eastAsia="黑体" w:cs="Times New Roman"/>
          <w:sz w:val="18"/>
          <w:szCs w:val="20"/>
        </w:rPr>
        <w:t>1</w:t>
      </w:r>
      <w:r>
        <w:rPr>
          <w:rFonts w:hint="eastAsia" w:ascii="黑体" w:hAnsi="黑体" w:eastAsia="黑体" w:cs="Times New Roman"/>
          <w:sz w:val="18"/>
          <w:szCs w:val="20"/>
        </w:rPr>
        <w:t xml:space="preserve">  城乡居民消费支出结构</w:t>
      </w:r>
    </w:p>
    <w:p>
      <w:pPr>
        <w:ind w:firstLine="392" w:firstLineChars="200"/>
      </w:pPr>
      <w:r>
        <w:rPr>
          <w:rFonts w:hint="eastAsia"/>
        </w:rPr>
        <w:t>图中可见，模型对数据有较好的拟合程度，每一类消费品支出份额的估计误差都在10个百分点以内。对比城镇和农村居民的消费支出结构，农村居民的食品烟酒大类消费支出比重高于城镇居民，而衣着、居住、交通通信、医疗保健等大类消费支出比重低于城镇居民。</w:t>
      </w:r>
    </w:p>
    <w:p>
      <w:pPr>
        <w:ind w:firstLine="392" w:firstLineChars="200"/>
        <w:rPr>
          <w:rFonts w:eastAsia="黑体"/>
        </w:rPr>
      </w:pPr>
      <w:r>
        <w:rPr>
          <w:rFonts w:hint="eastAsia" w:eastAsia="黑体"/>
        </w:rPr>
        <w:t>（三）数值模拟结果</w:t>
      </w:r>
    </w:p>
    <w:p>
      <w:pPr>
        <w:ind w:firstLine="392" w:firstLineChars="200"/>
      </w:pPr>
      <w:r>
        <w:rPr>
          <w:rFonts w:hint="eastAsia"/>
        </w:rPr>
        <w:t>这里报告消费支出口径下测算的价格结构性变化产生的城乡居民收入差距。使用消费支出口径数据对城乡居民消费偏好进行估计，以此测算城乡实际收入差距，测算结果如附图2所示。附图2报告了基于国家统计局数据估计消费偏好参数并计算消费价格指数，得到的2000</w:t>
      </w:r>
      <w:r>
        <w:t>－</w:t>
      </w:r>
      <w:r>
        <w:rPr>
          <w:rFonts w:hint="eastAsia"/>
        </w:rPr>
        <w:t>2023年城乡居民实际收入差距和名义收入差距。可以看到，在此期间城镇居民收入相对于农村居民先上升后下降，城乡收入差距先扩大后缩小，无论是名义收入差距还是实际收入差距都呈现这一趋势。2010年后农村居民收入增长较快，城乡名义收入差距缩小明显，城乡居民名义收入之比从2010年的2.99下降至2023年的2.38。与名义收入差距相比，剔除Kon</w:t>
      </w:r>
      <w:r>
        <w:t>ü</w:t>
      </w:r>
      <w:r>
        <w:rPr>
          <w:rFonts w:hint="eastAsia"/>
        </w:rPr>
        <w:t>s生活成本指数增长后的实际收入差距缩小程度较小，2023年城镇居民实际收入相当于农村居民实际收入的2.66倍。实际收入差距不同于名义收入差距，尽管城镇和农村居民生活成本都在增长，进而都会延缓各自实际收入的增长，但城镇和农村居民生活成本的上升程度存在差异。农村居民生活成本上升程度更大，其实际收入相对下降，扩大了城乡收入差距，从而使城乡实际收入差距缩小程度和名义收入差距缩小程度存在差别。这一测算结果与基准模型的测算结果是总体一致的，表明了本文测算方式的稳健性。</w:t>
      </w:r>
    </w:p>
    <w:p>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eastAsia" w:ascii="黑体" w:hAnsi="黑体" w:eastAsia="黑体" w:cs="Times New Roman"/>
          <w:sz w:val="18"/>
          <w:szCs w:val="18"/>
        </w:rPr>
      </w:pPr>
      <w:r>
        <w:rPr>
          <w:rFonts w:cs="Times New Roman"/>
          <w:szCs w:val="21"/>
        </w:rPr>
        <w:drawing>
          <wp:inline distT="0" distB="0" distL="0" distR="0">
            <wp:extent cx="2288540" cy="1644650"/>
            <wp:effectExtent l="0" t="0" r="16510" b="12700"/>
            <wp:docPr id="8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8"/>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a:xfrm>
                      <a:off x="0" y="0"/>
                      <a:ext cx="2288540" cy="1644650"/>
                    </a:xfrm>
                    <a:prstGeom prst="rect">
                      <a:avLst/>
                    </a:prstGeom>
                    <a:noFill/>
                    <a:ln>
                      <a:noFill/>
                    </a:ln>
                  </pic:spPr>
                </pic:pic>
              </a:graphicData>
            </a:graphic>
          </wp:inline>
        </w:drawing>
      </w:r>
      <w:r>
        <w:rPr>
          <w:rFonts w:hint="eastAsia" w:ascii="黑体" w:hAnsi="黑体" w:eastAsia="黑体" w:cs="Times New Roman"/>
          <w:sz w:val="18"/>
          <w:szCs w:val="18"/>
        </w:rPr>
        <w:t xml:space="preserve"> </w:t>
      </w:r>
    </w:p>
    <w:p>
      <w:pPr>
        <w:jc w:val="center"/>
        <w:rPr>
          <w:rFonts w:hint="eastAsia" w:ascii="黑体" w:hAnsi="黑体" w:eastAsia="黑体" w:cs="Times New Roman"/>
          <w:sz w:val="18"/>
          <w:szCs w:val="18"/>
        </w:rPr>
      </w:pPr>
      <w:r>
        <w:rPr>
          <w:rFonts w:hint="eastAsia" w:ascii="黑体" w:hAnsi="黑体" w:eastAsia="黑体" w:cs="Times New Roman"/>
          <w:sz w:val="18"/>
          <w:szCs w:val="18"/>
        </w:rPr>
        <w:t>附图</w:t>
      </w:r>
      <w:r>
        <w:rPr>
          <w:rFonts w:hint="default" w:ascii="Times New Roman" w:hAnsi="Times New Roman" w:eastAsia="黑体" w:cs="Times New Roman"/>
          <w:sz w:val="18"/>
          <w:szCs w:val="18"/>
        </w:rPr>
        <w:t>2</w:t>
      </w:r>
      <w:r>
        <w:rPr>
          <w:rFonts w:hint="eastAsia" w:ascii="黑体" w:hAnsi="黑体" w:eastAsia="黑体" w:cs="Times New Roman"/>
          <w:sz w:val="18"/>
          <w:szCs w:val="18"/>
        </w:rPr>
        <w:t xml:space="preserve">  城乡名义收入差距与实际收入差距</w:t>
      </w:r>
    </w:p>
    <w:p>
      <w:pPr>
        <w:ind w:firstLine="332" w:firstLineChars="200"/>
        <w:rPr>
          <w:rFonts w:cs="Times New Roman"/>
          <w:sz w:val="18"/>
          <w:szCs w:val="18"/>
        </w:rPr>
      </w:pPr>
      <w:r>
        <w:rPr>
          <w:rFonts w:hint="eastAsia" w:ascii="宋体" w:hAnsi="宋体" w:cs="Times New Roman"/>
          <w:sz w:val="18"/>
          <w:szCs w:val="18"/>
        </w:rPr>
        <w:t>注：城乡名义收入根据国家统计局公布的城乡居民人均可支配收入数据进行计算。这一指标既考虑了实物收入，也考虑了家庭自给自足因素。城乡实际收入是在城乡名义收入基础上，根据作者基于估计消费偏好测算的城乡居民生活成本指数平减城乡居民名义收入后得到。</w:t>
      </w:r>
    </w:p>
    <w:p>
      <w:pPr>
        <w:keepNext w:val="0"/>
        <w:keepLines w:val="0"/>
        <w:pageBreakBefore w:val="0"/>
        <w:widowControl/>
        <w:kinsoku/>
        <w:wordWrap/>
        <w:overflowPunct/>
        <w:topLinePunct w:val="0"/>
        <w:autoSpaceDE/>
        <w:autoSpaceDN/>
        <w:bidi w:val="0"/>
        <w:adjustRightInd/>
        <w:snapToGrid/>
        <w:spacing w:line="480" w:lineRule="auto"/>
        <w:jc w:val="center"/>
        <w:textAlignment w:val="auto"/>
        <w:rPr>
          <w:rFonts w:eastAsia="黑体"/>
          <w:b w:val="0"/>
          <w:bCs w:val="0"/>
          <w:sz w:val="24"/>
        </w:rPr>
      </w:pPr>
      <w:r>
        <w:rPr>
          <w:rFonts w:hint="eastAsia" w:eastAsia="黑体"/>
          <w:b w:val="0"/>
          <w:bCs w:val="0"/>
          <w:sz w:val="24"/>
        </w:rPr>
        <w:t>B. 城镇和农村居民人均消费支出结构</w:t>
      </w:r>
    </w:p>
    <w:p>
      <w:pPr>
        <w:ind w:firstLine="332" w:firstLineChars="200"/>
        <w:jc w:val="left"/>
        <w:rPr>
          <w:rFonts w:hint="eastAsia" w:ascii="黑体" w:hAnsi="宋体" w:eastAsia="黑体" w:cs="Times New Roman"/>
          <w:sz w:val="18"/>
          <w:szCs w:val="18"/>
        </w:rPr>
      </w:pPr>
      <w:r>
        <w:rPr>
          <w:rFonts w:hint="eastAsia" w:ascii="黑体" w:hAnsi="黑体" w:eastAsia="黑体" w:cs="Times New Roman"/>
          <w:sz w:val="18"/>
          <w:szCs w:val="18"/>
        </w:rPr>
        <w:t>附表</w:t>
      </w:r>
      <w:r>
        <w:rPr>
          <w:rFonts w:hint="default" w:ascii="Times New Roman" w:hAnsi="Times New Roman" w:eastAsia="黑体" w:cs="Times New Roman"/>
          <w:sz w:val="18"/>
          <w:szCs w:val="18"/>
        </w:rPr>
        <w:t>2</w:t>
      </w:r>
      <w:r>
        <w:rPr>
          <w:rFonts w:hint="eastAsia" w:ascii="黑体" w:hAnsi="宋体" w:eastAsia="黑体" w:cs="Times New Roman"/>
          <w:sz w:val="18"/>
          <w:szCs w:val="18"/>
        </w:rPr>
        <w:t xml:space="preserve">                       </w:t>
      </w:r>
      <w:r>
        <w:rPr>
          <w:rFonts w:eastAsia="黑体" w:cs="Times New Roman"/>
          <w:sz w:val="18"/>
          <w:szCs w:val="18"/>
        </w:rPr>
        <w:t>1998</w:t>
      </w:r>
      <w:r>
        <w:rPr>
          <w:rFonts w:hint="eastAsia" w:ascii="黑体" w:hAnsi="黑体" w:eastAsia="黑体" w:cs="Times New Roman"/>
          <w:sz w:val="18"/>
          <w:szCs w:val="18"/>
        </w:rPr>
        <w:t>年和</w:t>
      </w:r>
      <w:r>
        <w:rPr>
          <w:rFonts w:eastAsia="黑体" w:cs="Times New Roman"/>
          <w:sz w:val="18"/>
          <w:szCs w:val="18"/>
        </w:rPr>
        <w:t>2023</w:t>
      </w:r>
      <w:r>
        <w:rPr>
          <w:rFonts w:hint="eastAsia" w:ascii="黑体" w:hAnsi="黑体" w:eastAsia="黑体" w:cs="Times New Roman"/>
          <w:sz w:val="18"/>
          <w:szCs w:val="18"/>
        </w:rPr>
        <w:t>年城镇和农村居民人均消费支出结构</w:t>
      </w:r>
      <w:r>
        <w:rPr>
          <w:rFonts w:hint="eastAsia" w:ascii="黑体" w:hAnsi="宋体" w:eastAsia="黑体" w:cs="Times New Roman"/>
          <w:sz w:val="18"/>
          <w:szCs w:val="18"/>
        </w:rPr>
        <w:t xml:space="preserve">         </w:t>
      </w:r>
      <w:r>
        <w:rPr>
          <w:rFonts w:hint="eastAsia" w:ascii="黑体" w:hAnsi="宋体" w:eastAsia="黑体" w:cs="Times New Roman"/>
          <w:sz w:val="18"/>
          <w:szCs w:val="18"/>
          <w:lang w:val="en-US" w:eastAsia="zh-CN"/>
        </w:rPr>
        <w:t xml:space="preserve">  </w:t>
      </w:r>
      <w:r>
        <w:rPr>
          <w:rFonts w:hint="eastAsia" w:ascii="黑体" w:hAnsi="宋体" w:eastAsia="黑体" w:cs="Times New Roman"/>
          <w:sz w:val="18"/>
          <w:szCs w:val="18"/>
        </w:rPr>
        <w:t xml:space="preserve">      </w:t>
      </w:r>
      <w:r>
        <w:rPr>
          <w:rFonts w:hint="eastAsia" w:ascii="黑体" w:hAnsi="黑体" w:eastAsia="黑体" w:cs="Times New Roman"/>
          <w:sz w:val="18"/>
          <w:szCs w:val="18"/>
        </w:rPr>
        <w:t>单位：</w:t>
      </w:r>
      <w:r>
        <w:rPr>
          <w:rFonts w:hint="default" w:ascii="Times New Roman" w:hAnsi="Times New Roman" w:eastAsia="黑体" w:cs="Times New Roman"/>
          <w:sz w:val="18"/>
          <w:szCs w:val="18"/>
        </w:rPr>
        <w:t>%</w:t>
      </w:r>
    </w:p>
    <w:tbl>
      <w:tblPr>
        <w:tblStyle w:val="33"/>
        <w:tblW w:w="8578" w:type="dxa"/>
        <w:jc w:val="center"/>
        <w:tblInd w:w="0" w:type="dxa"/>
        <w:tblBorders>
          <w:top w:val="single" w:color="auto" w:sz="12" w:space="0"/>
          <w:left w:val="none" w:color="auto" w:sz="0" w:space="0"/>
          <w:bottom w:val="single" w:color="auto" w:sz="12" w:space="0"/>
          <w:right w:val="none" w:color="auto" w:sz="0" w:space="0"/>
          <w:insideH w:val="outset" w:color="auto" w:sz="6" w:space="0"/>
          <w:insideV w:val="outset" w:color="auto" w:sz="6" w:space="0"/>
        </w:tblBorders>
        <w:tblLayout w:type="fixed"/>
        <w:tblCellMar>
          <w:top w:w="0" w:type="dxa"/>
          <w:left w:w="108" w:type="dxa"/>
          <w:bottom w:w="0" w:type="dxa"/>
          <w:right w:w="108" w:type="dxa"/>
        </w:tblCellMar>
      </w:tblPr>
      <w:tblGrid>
        <w:gridCol w:w="2366"/>
        <w:gridCol w:w="1552"/>
        <w:gridCol w:w="1554"/>
        <w:gridCol w:w="1552"/>
        <w:gridCol w:w="1554"/>
      </w:tblGrid>
      <w:tr>
        <w:tblPrEx>
          <w:tblBorders>
            <w:top w:val="single" w:color="auto" w:sz="12" w:space="0"/>
            <w:left w:val="none" w:color="auto" w:sz="0" w:space="0"/>
            <w:bottom w:val="single" w:color="auto" w:sz="12" w:space="0"/>
            <w:right w:val="none" w:color="auto" w:sz="0" w:space="0"/>
            <w:insideH w:val="outset" w:color="auto" w:sz="6" w:space="0"/>
            <w:insideV w:val="outset" w:color="auto" w:sz="6" w:space="0"/>
          </w:tblBorders>
          <w:tblLayout w:type="fixed"/>
          <w:tblCellMar>
            <w:top w:w="0" w:type="dxa"/>
            <w:left w:w="108" w:type="dxa"/>
            <w:bottom w:w="0" w:type="dxa"/>
            <w:right w:w="108" w:type="dxa"/>
          </w:tblCellMar>
        </w:tblPrEx>
        <w:trPr>
          <w:trHeight w:val="317" w:hRule="atLeast"/>
          <w:jc w:val="center"/>
        </w:trPr>
        <w:tc>
          <w:tcPr>
            <w:tcW w:w="2366" w:type="dxa"/>
            <w:vMerge w:val="restart"/>
            <w:tcBorders>
              <w:top w:val="single" w:color="auto" w:sz="12" w:space="0"/>
              <w:left w:val="nil"/>
              <w:bottom w:val="single" w:color="auto" w:sz="4" w:space="0"/>
              <w:right w:val="single" w:color="auto" w:sz="4" w:space="0"/>
            </w:tcBorders>
            <w:noWrap/>
            <w:vAlign w:val="bottom"/>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宋体" w:hAnsi="宋体" w:eastAsia="Times New Roman" w:cs="Times New Roman"/>
                <w:kern w:val="0"/>
                <w:sz w:val="18"/>
                <w:szCs w:val="18"/>
              </w:rPr>
            </w:pPr>
          </w:p>
        </w:tc>
        <w:tc>
          <w:tcPr>
            <w:tcW w:w="3106" w:type="dxa"/>
            <w:gridSpan w:val="2"/>
            <w:tcBorders>
              <w:top w:val="single" w:color="auto" w:sz="12"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cs="Times New Roman"/>
                <w:kern w:val="0"/>
                <w:sz w:val="18"/>
                <w:szCs w:val="18"/>
              </w:rPr>
            </w:pPr>
            <w:r>
              <w:rPr>
                <w:rFonts w:cs="Times New Roman"/>
                <w:kern w:val="0"/>
                <w:sz w:val="18"/>
                <w:szCs w:val="18"/>
              </w:rPr>
              <w:t>2023</w:t>
            </w:r>
            <w:r>
              <w:rPr>
                <w:rFonts w:hint="eastAsia" w:ascii="宋体" w:hAnsi="宋体" w:cs="Times New Roman"/>
                <w:kern w:val="0"/>
                <w:sz w:val="18"/>
                <w:szCs w:val="18"/>
              </w:rPr>
              <w:t>年人均消费支出结构</w:t>
            </w:r>
          </w:p>
        </w:tc>
        <w:tc>
          <w:tcPr>
            <w:tcW w:w="3106" w:type="dxa"/>
            <w:gridSpan w:val="2"/>
            <w:tcBorders>
              <w:top w:val="single" w:color="auto" w:sz="12" w:space="0"/>
              <w:left w:val="nil"/>
              <w:bottom w:val="single" w:color="auto" w:sz="4" w:space="0"/>
              <w:right w:val="nil"/>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cs="Times New Roman"/>
                <w:kern w:val="0"/>
                <w:sz w:val="18"/>
                <w:szCs w:val="18"/>
              </w:rPr>
            </w:pPr>
            <w:r>
              <w:rPr>
                <w:rFonts w:cs="Times New Roman"/>
                <w:kern w:val="0"/>
                <w:sz w:val="18"/>
                <w:szCs w:val="18"/>
              </w:rPr>
              <w:t>1998</w:t>
            </w:r>
            <w:r>
              <w:rPr>
                <w:rFonts w:hint="eastAsia" w:ascii="宋体" w:hAnsi="宋体" w:cs="Times New Roman"/>
                <w:kern w:val="0"/>
                <w:sz w:val="18"/>
                <w:szCs w:val="18"/>
              </w:rPr>
              <w:t>年人均消费支出结构</w:t>
            </w:r>
          </w:p>
        </w:tc>
      </w:tr>
      <w:tr>
        <w:tblPrEx>
          <w:tblBorders>
            <w:top w:val="single" w:color="auto" w:sz="12" w:space="0"/>
            <w:left w:val="none" w:color="auto" w:sz="0" w:space="0"/>
            <w:bottom w:val="single" w:color="auto" w:sz="12" w:space="0"/>
            <w:right w:val="none" w:color="auto" w:sz="0" w:space="0"/>
            <w:insideH w:val="outset" w:color="auto" w:sz="6" w:space="0"/>
            <w:insideV w:val="outset" w:color="auto" w:sz="6" w:space="0"/>
          </w:tblBorders>
          <w:tblLayout w:type="fixed"/>
          <w:tblCellMar>
            <w:top w:w="0" w:type="dxa"/>
            <w:left w:w="108" w:type="dxa"/>
            <w:bottom w:w="0" w:type="dxa"/>
            <w:right w:w="108" w:type="dxa"/>
          </w:tblCellMar>
        </w:tblPrEx>
        <w:trPr>
          <w:trHeight w:val="317" w:hRule="atLeast"/>
          <w:jc w:val="center"/>
        </w:trPr>
        <w:tc>
          <w:tcPr>
            <w:tcW w:w="2366" w:type="dxa"/>
            <w:vMerge w:val="continue"/>
            <w:tcBorders>
              <w:top w:val="single" w:color="auto" w:sz="12"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宋体" w:hAnsi="宋体" w:eastAsia="Times New Roman" w:cs="Times New Roman"/>
                <w:kern w:val="0"/>
                <w:sz w:val="18"/>
                <w:szCs w:val="18"/>
              </w:rPr>
            </w:pPr>
          </w:p>
        </w:tc>
        <w:tc>
          <w:tcPr>
            <w:tcW w:w="1552" w:type="dxa"/>
            <w:tcBorders>
              <w:top w:val="single" w:color="auto" w:sz="4" w:space="0"/>
              <w:left w:val="nil"/>
              <w:bottom w:val="single" w:color="auto" w:sz="4" w:space="0"/>
              <w:right w:val="nil"/>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cs="Times New Roman"/>
                <w:kern w:val="0"/>
                <w:sz w:val="18"/>
                <w:szCs w:val="18"/>
              </w:rPr>
            </w:pPr>
            <w:r>
              <w:rPr>
                <w:rFonts w:hint="eastAsia" w:ascii="宋体" w:hAnsi="宋体" w:cs="Times New Roman"/>
                <w:kern w:val="0"/>
                <w:sz w:val="18"/>
                <w:szCs w:val="18"/>
              </w:rPr>
              <w:t>城镇居民</w:t>
            </w:r>
          </w:p>
        </w:tc>
        <w:tc>
          <w:tcPr>
            <w:tcW w:w="1554"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cs="Times New Roman"/>
                <w:kern w:val="0"/>
                <w:sz w:val="18"/>
                <w:szCs w:val="18"/>
              </w:rPr>
            </w:pPr>
            <w:r>
              <w:rPr>
                <w:rFonts w:hint="eastAsia" w:ascii="宋体" w:hAnsi="宋体" w:cs="Times New Roman"/>
                <w:kern w:val="0"/>
                <w:sz w:val="18"/>
                <w:szCs w:val="18"/>
              </w:rPr>
              <w:t>农村居民</w:t>
            </w:r>
          </w:p>
        </w:tc>
        <w:tc>
          <w:tcPr>
            <w:tcW w:w="1552" w:type="dxa"/>
            <w:tcBorders>
              <w:top w:val="single" w:color="auto" w:sz="4" w:space="0"/>
              <w:left w:val="nil"/>
              <w:bottom w:val="single" w:color="auto" w:sz="4" w:space="0"/>
              <w:right w:val="nil"/>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cs="Times New Roman"/>
                <w:kern w:val="0"/>
                <w:sz w:val="18"/>
                <w:szCs w:val="18"/>
              </w:rPr>
            </w:pPr>
            <w:r>
              <w:rPr>
                <w:rFonts w:hint="eastAsia" w:ascii="宋体" w:hAnsi="宋体" w:cs="Times New Roman"/>
                <w:kern w:val="0"/>
                <w:sz w:val="18"/>
                <w:szCs w:val="18"/>
              </w:rPr>
              <w:t>城镇居民</w:t>
            </w:r>
          </w:p>
        </w:tc>
        <w:tc>
          <w:tcPr>
            <w:tcW w:w="1554" w:type="dxa"/>
            <w:tcBorders>
              <w:top w:val="single" w:color="auto" w:sz="4" w:space="0"/>
              <w:left w:val="nil"/>
              <w:bottom w:val="single" w:color="auto" w:sz="4" w:space="0"/>
              <w:right w:val="nil"/>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cs="Times New Roman"/>
                <w:kern w:val="0"/>
                <w:sz w:val="18"/>
                <w:szCs w:val="18"/>
              </w:rPr>
            </w:pPr>
            <w:r>
              <w:rPr>
                <w:rFonts w:hint="eastAsia" w:ascii="宋体" w:hAnsi="宋体" w:cs="Times New Roman"/>
                <w:kern w:val="0"/>
                <w:sz w:val="18"/>
                <w:szCs w:val="18"/>
              </w:rPr>
              <w:t>农村居民</w:t>
            </w:r>
          </w:p>
        </w:tc>
      </w:tr>
      <w:tr>
        <w:tblPrEx>
          <w:tblBorders>
            <w:top w:val="single" w:color="auto" w:sz="12" w:space="0"/>
            <w:left w:val="none" w:color="auto" w:sz="0" w:space="0"/>
            <w:bottom w:val="single" w:color="auto" w:sz="12" w:space="0"/>
            <w:right w:val="none" w:color="auto" w:sz="0" w:space="0"/>
            <w:insideH w:val="outset" w:color="auto" w:sz="6" w:space="0"/>
            <w:insideV w:val="outset" w:color="auto" w:sz="6" w:space="0"/>
          </w:tblBorders>
          <w:tblLayout w:type="fixed"/>
          <w:tblCellMar>
            <w:top w:w="0" w:type="dxa"/>
            <w:left w:w="108" w:type="dxa"/>
            <w:bottom w:w="0" w:type="dxa"/>
            <w:right w:w="108" w:type="dxa"/>
          </w:tblCellMar>
        </w:tblPrEx>
        <w:trPr>
          <w:trHeight w:val="317" w:hRule="atLeast"/>
          <w:jc w:val="center"/>
        </w:trPr>
        <w:tc>
          <w:tcPr>
            <w:tcW w:w="2366" w:type="dxa"/>
            <w:tcBorders>
              <w:top w:val="single" w:color="auto" w:sz="4" w:space="0"/>
              <w:left w:val="nil"/>
              <w:bottom w:val="nil"/>
              <w:right w:val="single" w:color="auto" w:sz="4" w:space="0"/>
            </w:tcBorders>
            <w:noWrap/>
            <w:vAlign w:val="bottom"/>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cs="Times New Roman"/>
                <w:kern w:val="0"/>
                <w:sz w:val="18"/>
                <w:szCs w:val="18"/>
              </w:rPr>
            </w:pPr>
            <w:r>
              <w:rPr>
                <w:rFonts w:hint="eastAsia" w:ascii="宋体" w:hAnsi="宋体" w:cs="Times New Roman"/>
                <w:kern w:val="0"/>
                <w:sz w:val="18"/>
                <w:szCs w:val="18"/>
              </w:rPr>
              <w:t>食品烟酒</w:t>
            </w:r>
          </w:p>
        </w:tc>
        <w:tc>
          <w:tcPr>
            <w:tcW w:w="1552" w:type="dxa"/>
            <w:tcBorders>
              <w:top w:val="single" w:color="auto" w:sz="4" w:space="0"/>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cs="Times New Roman"/>
                <w:kern w:val="0"/>
                <w:sz w:val="18"/>
                <w:szCs w:val="18"/>
              </w:rPr>
            </w:pPr>
            <w:r>
              <w:rPr>
                <w:rFonts w:cs="Times New Roman"/>
                <w:kern w:val="0"/>
                <w:sz w:val="18"/>
                <w:szCs w:val="18"/>
              </w:rPr>
              <w:t>28.78</w:t>
            </w:r>
          </w:p>
        </w:tc>
        <w:tc>
          <w:tcPr>
            <w:tcW w:w="1554" w:type="dxa"/>
            <w:tcBorders>
              <w:top w:val="single" w:color="auto" w:sz="4" w:space="0"/>
              <w:left w:val="nil"/>
              <w:bottom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cs="Times New Roman"/>
                <w:kern w:val="0"/>
                <w:sz w:val="18"/>
                <w:szCs w:val="18"/>
              </w:rPr>
            </w:pPr>
            <w:r>
              <w:rPr>
                <w:rFonts w:cs="Times New Roman"/>
                <w:kern w:val="0"/>
                <w:sz w:val="18"/>
                <w:szCs w:val="18"/>
              </w:rPr>
              <w:t>32.35</w:t>
            </w:r>
          </w:p>
        </w:tc>
        <w:tc>
          <w:tcPr>
            <w:tcW w:w="1552" w:type="dxa"/>
            <w:tcBorders>
              <w:top w:val="single" w:color="auto" w:sz="4" w:space="0"/>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cs="Times New Roman"/>
                <w:kern w:val="0"/>
                <w:sz w:val="18"/>
                <w:szCs w:val="18"/>
              </w:rPr>
            </w:pPr>
            <w:r>
              <w:rPr>
                <w:rFonts w:cs="Times New Roman"/>
                <w:kern w:val="0"/>
                <w:sz w:val="18"/>
                <w:szCs w:val="18"/>
              </w:rPr>
              <w:t>44.21</w:t>
            </w:r>
          </w:p>
        </w:tc>
        <w:tc>
          <w:tcPr>
            <w:tcW w:w="1554" w:type="dxa"/>
            <w:tcBorders>
              <w:top w:val="single" w:color="auto" w:sz="4" w:space="0"/>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cs="Times New Roman"/>
                <w:kern w:val="0"/>
                <w:sz w:val="18"/>
                <w:szCs w:val="18"/>
              </w:rPr>
            </w:pPr>
            <w:r>
              <w:rPr>
                <w:rFonts w:cs="Times New Roman"/>
                <w:kern w:val="0"/>
                <w:sz w:val="18"/>
                <w:szCs w:val="18"/>
              </w:rPr>
              <w:t>53.61</w:t>
            </w:r>
          </w:p>
        </w:tc>
      </w:tr>
      <w:tr>
        <w:tblPrEx>
          <w:tblBorders>
            <w:top w:val="single" w:color="auto" w:sz="12" w:space="0"/>
            <w:left w:val="none" w:color="auto" w:sz="0" w:space="0"/>
            <w:bottom w:val="single" w:color="auto" w:sz="12" w:space="0"/>
            <w:right w:val="none" w:color="auto" w:sz="0" w:space="0"/>
            <w:insideH w:val="outset" w:color="auto" w:sz="6" w:space="0"/>
            <w:insideV w:val="outset" w:color="auto" w:sz="6" w:space="0"/>
          </w:tblBorders>
          <w:tblLayout w:type="fixed"/>
          <w:tblCellMar>
            <w:top w:w="0" w:type="dxa"/>
            <w:left w:w="108" w:type="dxa"/>
            <w:bottom w:w="0" w:type="dxa"/>
            <w:right w:w="108" w:type="dxa"/>
          </w:tblCellMar>
        </w:tblPrEx>
        <w:trPr>
          <w:trHeight w:val="317" w:hRule="atLeast"/>
          <w:jc w:val="center"/>
        </w:trPr>
        <w:tc>
          <w:tcPr>
            <w:tcW w:w="2366" w:type="dxa"/>
            <w:tcBorders>
              <w:top w:val="nil"/>
              <w:left w:val="nil"/>
              <w:bottom w:val="nil"/>
              <w:right w:val="single" w:color="auto" w:sz="4" w:space="0"/>
            </w:tcBorders>
            <w:noWrap/>
            <w:vAlign w:val="bottom"/>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cs="Times New Roman"/>
                <w:kern w:val="0"/>
                <w:sz w:val="18"/>
                <w:szCs w:val="18"/>
              </w:rPr>
            </w:pPr>
            <w:r>
              <w:rPr>
                <w:rFonts w:hint="eastAsia" w:ascii="宋体" w:hAnsi="宋体" w:cs="Times New Roman"/>
                <w:kern w:val="0"/>
                <w:sz w:val="18"/>
                <w:szCs w:val="18"/>
              </w:rPr>
              <w:t>衣着</w:t>
            </w:r>
          </w:p>
        </w:tc>
        <w:tc>
          <w:tcPr>
            <w:tcW w:w="1552" w:type="dxa"/>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cs="Times New Roman"/>
                <w:kern w:val="0"/>
                <w:sz w:val="18"/>
                <w:szCs w:val="18"/>
              </w:rPr>
            </w:pPr>
            <w:r>
              <w:rPr>
                <w:rFonts w:cs="Times New Roman"/>
                <w:kern w:val="0"/>
                <w:sz w:val="18"/>
                <w:szCs w:val="18"/>
              </w:rPr>
              <w:t>5.70</w:t>
            </w:r>
          </w:p>
        </w:tc>
        <w:tc>
          <w:tcPr>
            <w:tcW w:w="1554" w:type="dxa"/>
            <w:tcBorders>
              <w:top w:val="nil"/>
              <w:left w:val="nil"/>
              <w:bottom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cs="Times New Roman"/>
                <w:kern w:val="0"/>
                <w:sz w:val="18"/>
                <w:szCs w:val="18"/>
              </w:rPr>
            </w:pPr>
            <w:r>
              <w:rPr>
                <w:rFonts w:cs="Times New Roman"/>
                <w:kern w:val="0"/>
                <w:sz w:val="18"/>
                <w:szCs w:val="18"/>
              </w:rPr>
              <w:t>5.07</w:t>
            </w:r>
          </w:p>
        </w:tc>
        <w:tc>
          <w:tcPr>
            <w:tcW w:w="1552" w:type="dxa"/>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cs="Times New Roman"/>
                <w:kern w:val="0"/>
                <w:sz w:val="18"/>
                <w:szCs w:val="18"/>
              </w:rPr>
            </w:pPr>
            <w:r>
              <w:rPr>
                <w:rFonts w:cs="Times New Roman"/>
                <w:kern w:val="0"/>
                <w:sz w:val="18"/>
                <w:szCs w:val="18"/>
              </w:rPr>
              <w:t>10.99</w:t>
            </w:r>
          </w:p>
        </w:tc>
        <w:tc>
          <w:tcPr>
            <w:tcW w:w="1554" w:type="dxa"/>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cs="Times New Roman"/>
                <w:kern w:val="0"/>
                <w:sz w:val="18"/>
                <w:szCs w:val="18"/>
              </w:rPr>
            </w:pPr>
            <w:r>
              <w:rPr>
                <w:rFonts w:cs="Times New Roman"/>
                <w:kern w:val="0"/>
                <w:sz w:val="18"/>
                <w:szCs w:val="18"/>
              </w:rPr>
              <w:t>6.17</w:t>
            </w:r>
          </w:p>
        </w:tc>
      </w:tr>
      <w:tr>
        <w:tblPrEx>
          <w:tblBorders>
            <w:top w:val="single" w:color="auto" w:sz="12" w:space="0"/>
            <w:left w:val="none" w:color="auto" w:sz="0" w:space="0"/>
            <w:bottom w:val="single" w:color="auto" w:sz="12" w:space="0"/>
            <w:right w:val="none" w:color="auto" w:sz="0" w:space="0"/>
            <w:insideH w:val="outset" w:color="auto" w:sz="6" w:space="0"/>
            <w:insideV w:val="outset" w:color="auto" w:sz="6" w:space="0"/>
          </w:tblBorders>
          <w:tblLayout w:type="fixed"/>
          <w:tblCellMar>
            <w:top w:w="0" w:type="dxa"/>
            <w:left w:w="108" w:type="dxa"/>
            <w:bottom w:w="0" w:type="dxa"/>
            <w:right w:w="108" w:type="dxa"/>
          </w:tblCellMar>
        </w:tblPrEx>
        <w:trPr>
          <w:trHeight w:val="317" w:hRule="atLeast"/>
          <w:jc w:val="center"/>
        </w:trPr>
        <w:tc>
          <w:tcPr>
            <w:tcW w:w="2366" w:type="dxa"/>
            <w:tcBorders>
              <w:top w:val="nil"/>
              <w:left w:val="nil"/>
              <w:bottom w:val="nil"/>
              <w:right w:val="single" w:color="auto" w:sz="4" w:space="0"/>
            </w:tcBorders>
            <w:noWrap/>
            <w:vAlign w:val="bottom"/>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cs="Times New Roman"/>
                <w:kern w:val="0"/>
                <w:sz w:val="18"/>
                <w:szCs w:val="18"/>
              </w:rPr>
            </w:pPr>
            <w:r>
              <w:rPr>
                <w:rFonts w:hint="eastAsia" w:ascii="宋体" w:hAnsi="宋体" w:cs="Times New Roman"/>
                <w:kern w:val="0"/>
                <w:sz w:val="18"/>
                <w:szCs w:val="18"/>
              </w:rPr>
              <w:t>居住</w:t>
            </w:r>
          </w:p>
        </w:tc>
        <w:tc>
          <w:tcPr>
            <w:tcW w:w="1552" w:type="dxa"/>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cs="Times New Roman"/>
                <w:kern w:val="0"/>
                <w:sz w:val="18"/>
                <w:szCs w:val="18"/>
              </w:rPr>
            </w:pPr>
            <w:r>
              <w:rPr>
                <w:rFonts w:cs="Times New Roman"/>
                <w:kern w:val="0"/>
                <w:sz w:val="18"/>
                <w:szCs w:val="18"/>
              </w:rPr>
              <w:t>23.71</w:t>
            </w:r>
          </w:p>
        </w:tc>
        <w:tc>
          <w:tcPr>
            <w:tcW w:w="1554" w:type="dxa"/>
            <w:tcBorders>
              <w:top w:val="nil"/>
              <w:left w:val="nil"/>
              <w:bottom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cs="Times New Roman"/>
                <w:kern w:val="0"/>
                <w:sz w:val="18"/>
                <w:szCs w:val="18"/>
              </w:rPr>
            </w:pPr>
            <w:r>
              <w:rPr>
                <w:rFonts w:cs="Times New Roman"/>
                <w:kern w:val="0"/>
                <w:sz w:val="18"/>
                <w:szCs w:val="18"/>
              </w:rPr>
              <w:t>20.32</w:t>
            </w:r>
          </w:p>
        </w:tc>
        <w:tc>
          <w:tcPr>
            <w:tcW w:w="1552" w:type="dxa"/>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cs="Times New Roman"/>
                <w:kern w:val="0"/>
                <w:sz w:val="18"/>
                <w:szCs w:val="18"/>
              </w:rPr>
            </w:pPr>
            <w:r>
              <w:rPr>
                <w:rFonts w:cs="Times New Roman"/>
                <w:kern w:val="0"/>
                <w:sz w:val="18"/>
                <w:szCs w:val="18"/>
              </w:rPr>
              <w:t>10.00</w:t>
            </w:r>
          </w:p>
        </w:tc>
        <w:tc>
          <w:tcPr>
            <w:tcW w:w="1554" w:type="dxa"/>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cs="Times New Roman"/>
                <w:kern w:val="0"/>
                <w:sz w:val="18"/>
                <w:szCs w:val="18"/>
              </w:rPr>
            </w:pPr>
            <w:r>
              <w:rPr>
                <w:rFonts w:cs="Times New Roman"/>
                <w:kern w:val="0"/>
                <w:sz w:val="18"/>
                <w:szCs w:val="18"/>
              </w:rPr>
              <w:t>15.32</w:t>
            </w:r>
          </w:p>
        </w:tc>
      </w:tr>
      <w:tr>
        <w:tblPrEx>
          <w:tblBorders>
            <w:top w:val="single" w:color="auto" w:sz="12" w:space="0"/>
            <w:left w:val="none" w:color="auto" w:sz="0" w:space="0"/>
            <w:bottom w:val="single" w:color="auto" w:sz="12" w:space="0"/>
            <w:right w:val="none" w:color="auto" w:sz="0" w:space="0"/>
            <w:insideH w:val="outset" w:color="auto" w:sz="6" w:space="0"/>
            <w:insideV w:val="outset" w:color="auto" w:sz="6" w:space="0"/>
          </w:tblBorders>
          <w:tblLayout w:type="fixed"/>
          <w:tblCellMar>
            <w:top w:w="0" w:type="dxa"/>
            <w:left w:w="108" w:type="dxa"/>
            <w:bottom w:w="0" w:type="dxa"/>
            <w:right w:w="108" w:type="dxa"/>
          </w:tblCellMar>
        </w:tblPrEx>
        <w:trPr>
          <w:trHeight w:val="317" w:hRule="atLeast"/>
          <w:jc w:val="center"/>
        </w:trPr>
        <w:tc>
          <w:tcPr>
            <w:tcW w:w="2366" w:type="dxa"/>
            <w:tcBorders>
              <w:top w:val="nil"/>
              <w:left w:val="nil"/>
              <w:bottom w:val="nil"/>
              <w:right w:val="single" w:color="auto" w:sz="4" w:space="0"/>
            </w:tcBorders>
            <w:noWrap/>
            <w:vAlign w:val="bottom"/>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cs="Times New Roman"/>
                <w:kern w:val="0"/>
                <w:sz w:val="18"/>
                <w:szCs w:val="18"/>
              </w:rPr>
            </w:pPr>
            <w:r>
              <w:rPr>
                <w:rFonts w:hint="eastAsia" w:ascii="宋体" w:hAnsi="宋体" w:cs="Times New Roman"/>
                <w:kern w:val="0"/>
                <w:sz w:val="18"/>
                <w:szCs w:val="18"/>
              </w:rPr>
              <w:t>生活用品及服务</w:t>
            </w:r>
          </w:p>
        </w:tc>
        <w:tc>
          <w:tcPr>
            <w:tcW w:w="1552" w:type="dxa"/>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cs="Times New Roman"/>
                <w:kern w:val="0"/>
                <w:sz w:val="18"/>
                <w:szCs w:val="18"/>
              </w:rPr>
            </w:pPr>
            <w:r>
              <w:rPr>
                <w:rFonts w:cs="Times New Roman"/>
                <w:kern w:val="0"/>
                <w:sz w:val="18"/>
                <w:szCs w:val="18"/>
              </w:rPr>
              <w:t>5.79</w:t>
            </w:r>
          </w:p>
        </w:tc>
        <w:tc>
          <w:tcPr>
            <w:tcW w:w="1554" w:type="dxa"/>
            <w:tcBorders>
              <w:top w:val="nil"/>
              <w:left w:val="nil"/>
              <w:bottom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cs="Times New Roman"/>
                <w:kern w:val="0"/>
                <w:sz w:val="18"/>
                <w:szCs w:val="18"/>
              </w:rPr>
            </w:pPr>
            <w:r>
              <w:rPr>
                <w:rFonts w:cs="Times New Roman"/>
                <w:kern w:val="0"/>
                <w:sz w:val="18"/>
                <w:szCs w:val="18"/>
              </w:rPr>
              <w:t>5.46</w:t>
            </w:r>
          </w:p>
        </w:tc>
        <w:tc>
          <w:tcPr>
            <w:tcW w:w="1552" w:type="dxa"/>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cs="Times New Roman"/>
                <w:kern w:val="0"/>
                <w:sz w:val="18"/>
                <w:szCs w:val="18"/>
              </w:rPr>
            </w:pPr>
            <w:r>
              <w:rPr>
                <w:rFonts w:cs="Times New Roman"/>
                <w:kern w:val="0"/>
                <w:sz w:val="18"/>
                <w:szCs w:val="18"/>
              </w:rPr>
              <w:t>8.21</w:t>
            </w:r>
          </w:p>
        </w:tc>
        <w:tc>
          <w:tcPr>
            <w:tcW w:w="1554" w:type="dxa"/>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cs="Times New Roman"/>
                <w:kern w:val="0"/>
                <w:sz w:val="18"/>
                <w:szCs w:val="18"/>
              </w:rPr>
            </w:pPr>
            <w:r>
              <w:rPr>
                <w:rFonts w:cs="Times New Roman"/>
                <w:kern w:val="0"/>
                <w:sz w:val="18"/>
                <w:szCs w:val="18"/>
              </w:rPr>
              <w:t>5.21</w:t>
            </w:r>
          </w:p>
        </w:tc>
      </w:tr>
      <w:tr>
        <w:tblPrEx>
          <w:tblBorders>
            <w:top w:val="single" w:color="auto" w:sz="12" w:space="0"/>
            <w:left w:val="none" w:color="auto" w:sz="0" w:space="0"/>
            <w:bottom w:val="single" w:color="auto" w:sz="12" w:space="0"/>
            <w:right w:val="none" w:color="auto" w:sz="0" w:space="0"/>
            <w:insideH w:val="outset" w:color="auto" w:sz="6" w:space="0"/>
            <w:insideV w:val="outset" w:color="auto" w:sz="6" w:space="0"/>
          </w:tblBorders>
          <w:tblLayout w:type="fixed"/>
          <w:tblCellMar>
            <w:top w:w="0" w:type="dxa"/>
            <w:left w:w="108" w:type="dxa"/>
            <w:bottom w:w="0" w:type="dxa"/>
            <w:right w:w="108" w:type="dxa"/>
          </w:tblCellMar>
        </w:tblPrEx>
        <w:trPr>
          <w:trHeight w:val="317" w:hRule="atLeast"/>
          <w:jc w:val="center"/>
        </w:trPr>
        <w:tc>
          <w:tcPr>
            <w:tcW w:w="2366" w:type="dxa"/>
            <w:tcBorders>
              <w:top w:val="nil"/>
              <w:left w:val="nil"/>
              <w:bottom w:val="nil"/>
              <w:right w:val="single" w:color="auto" w:sz="4" w:space="0"/>
            </w:tcBorders>
            <w:noWrap/>
            <w:vAlign w:val="bottom"/>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cs="Times New Roman"/>
                <w:kern w:val="0"/>
                <w:sz w:val="18"/>
                <w:szCs w:val="18"/>
              </w:rPr>
            </w:pPr>
            <w:r>
              <w:rPr>
                <w:rFonts w:hint="eastAsia" w:ascii="宋体" w:hAnsi="宋体" w:cs="Times New Roman"/>
                <w:kern w:val="0"/>
                <w:sz w:val="18"/>
                <w:szCs w:val="18"/>
              </w:rPr>
              <w:t>交通通信</w:t>
            </w:r>
          </w:p>
        </w:tc>
        <w:tc>
          <w:tcPr>
            <w:tcW w:w="1552" w:type="dxa"/>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cs="Times New Roman"/>
                <w:kern w:val="0"/>
                <w:sz w:val="18"/>
                <w:szCs w:val="18"/>
              </w:rPr>
            </w:pPr>
            <w:r>
              <w:rPr>
                <w:rFonts w:cs="Times New Roman"/>
                <w:kern w:val="0"/>
                <w:sz w:val="18"/>
                <w:szCs w:val="18"/>
              </w:rPr>
              <w:t>13.62</w:t>
            </w:r>
          </w:p>
        </w:tc>
        <w:tc>
          <w:tcPr>
            <w:tcW w:w="1554" w:type="dxa"/>
            <w:tcBorders>
              <w:top w:val="nil"/>
              <w:left w:val="nil"/>
              <w:bottom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cs="Times New Roman"/>
                <w:kern w:val="0"/>
                <w:sz w:val="18"/>
                <w:szCs w:val="18"/>
              </w:rPr>
            </w:pPr>
            <w:r>
              <w:rPr>
                <w:rFonts w:cs="Times New Roman"/>
                <w:kern w:val="0"/>
                <w:sz w:val="18"/>
                <w:szCs w:val="18"/>
              </w:rPr>
              <w:t>13.65</w:t>
            </w:r>
          </w:p>
        </w:tc>
        <w:tc>
          <w:tcPr>
            <w:tcW w:w="1552" w:type="dxa"/>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cs="Times New Roman"/>
                <w:kern w:val="0"/>
                <w:sz w:val="18"/>
                <w:szCs w:val="18"/>
              </w:rPr>
            </w:pPr>
            <w:r>
              <w:rPr>
                <w:rFonts w:cs="Times New Roman"/>
                <w:kern w:val="0"/>
                <w:sz w:val="18"/>
                <w:szCs w:val="18"/>
              </w:rPr>
              <w:t>4.69</w:t>
            </w:r>
          </w:p>
        </w:tc>
        <w:tc>
          <w:tcPr>
            <w:tcW w:w="1554" w:type="dxa"/>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cs="Times New Roman"/>
                <w:kern w:val="0"/>
                <w:sz w:val="18"/>
                <w:szCs w:val="18"/>
              </w:rPr>
            </w:pPr>
            <w:r>
              <w:rPr>
                <w:rFonts w:cs="Times New Roman"/>
                <w:kern w:val="0"/>
                <w:sz w:val="18"/>
                <w:szCs w:val="18"/>
              </w:rPr>
              <w:t>3.82</w:t>
            </w:r>
          </w:p>
        </w:tc>
      </w:tr>
      <w:tr>
        <w:tblPrEx>
          <w:tblBorders>
            <w:top w:val="single" w:color="auto" w:sz="12" w:space="0"/>
            <w:left w:val="none" w:color="auto" w:sz="0" w:space="0"/>
            <w:bottom w:val="single" w:color="auto" w:sz="12" w:space="0"/>
            <w:right w:val="none" w:color="auto" w:sz="0" w:space="0"/>
            <w:insideH w:val="outset" w:color="auto" w:sz="6" w:space="0"/>
            <w:insideV w:val="outset" w:color="auto" w:sz="6" w:space="0"/>
          </w:tblBorders>
          <w:tblLayout w:type="fixed"/>
          <w:tblCellMar>
            <w:top w:w="0" w:type="dxa"/>
            <w:left w:w="108" w:type="dxa"/>
            <w:bottom w:w="0" w:type="dxa"/>
            <w:right w:w="108" w:type="dxa"/>
          </w:tblCellMar>
        </w:tblPrEx>
        <w:trPr>
          <w:trHeight w:val="317" w:hRule="atLeast"/>
          <w:jc w:val="center"/>
        </w:trPr>
        <w:tc>
          <w:tcPr>
            <w:tcW w:w="2366" w:type="dxa"/>
            <w:tcBorders>
              <w:top w:val="nil"/>
              <w:left w:val="nil"/>
              <w:bottom w:val="nil"/>
              <w:right w:val="single" w:color="auto" w:sz="4" w:space="0"/>
            </w:tcBorders>
            <w:noWrap/>
            <w:vAlign w:val="bottom"/>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cs="Times New Roman"/>
                <w:kern w:val="0"/>
                <w:sz w:val="18"/>
                <w:szCs w:val="18"/>
              </w:rPr>
            </w:pPr>
            <w:r>
              <w:rPr>
                <w:rFonts w:hint="eastAsia" w:ascii="宋体" w:hAnsi="宋体" w:cs="Times New Roman"/>
                <w:kern w:val="0"/>
                <w:sz w:val="18"/>
                <w:szCs w:val="18"/>
              </w:rPr>
              <w:t>教育文化娱乐</w:t>
            </w:r>
          </w:p>
        </w:tc>
        <w:tc>
          <w:tcPr>
            <w:tcW w:w="1552" w:type="dxa"/>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cs="Times New Roman"/>
                <w:kern w:val="0"/>
                <w:sz w:val="18"/>
                <w:szCs w:val="18"/>
              </w:rPr>
            </w:pPr>
            <w:r>
              <w:rPr>
                <w:rFonts w:cs="Times New Roman"/>
                <w:kern w:val="0"/>
                <w:sz w:val="18"/>
                <w:szCs w:val="18"/>
              </w:rPr>
              <w:t>10.88</w:t>
            </w:r>
          </w:p>
        </w:tc>
        <w:tc>
          <w:tcPr>
            <w:tcW w:w="1554" w:type="dxa"/>
            <w:tcBorders>
              <w:top w:val="nil"/>
              <w:left w:val="nil"/>
              <w:bottom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cs="Times New Roman"/>
                <w:kern w:val="0"/>
                <w:sz w:val="18"/>
                <w:szCs w:val="18"/>
              </w:rPr>
            </w:pPr>
            <w:r>
              <w:rPr>
                <w:rFonts w:cs="Times New Roman"/>
                <w:kern w:val="0"/>
                <w:sz w:val="18"/>
                <w:szCs w:val="18"/>
              </w:rPr>
              <w:t>10.73</w:t>
            </w:r>
          </w:p>
        </w:tc>
        <w:tc>
          <w:tcPr>
            <w:tcW w:w="1552" w:type="dxa"/>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cs="Times New Roman"/>
                <w:kern w:val="0"/>
                <w:sz w:val="18"/>
                <w:szCs w:val="18"/>
              </w:rPr>
            </w:pPr>
            <w:r>
              <w:rPr>
                <w:rFonts w:cs="Times New Roman"/>
                <w:kern w:val="0"/>
                <w:sz w:val="18"/>
                <w:szCs w:val="18"/>
              </w:rPr>
              <w:t>5.89</w:t>
            </w:r>
          </w:p>
        </w:tc>
        <w:tc>
          <w:tcPr>
            <w:tcW w:w="1554" w:type="dxa"/>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cs="Times New Roman"/>
                <w:kern w:val="0"/>
                <w:sz w:val="18"/>
                <w:szCs w:val="18"/>
              </w:rPr>
            </w:pPr>
            <w:r>
              <w:rPr>
                <w:rFonts w:cs="Times New Roman"/>
                <w:kern w:val="0"/>
                <w:sz w:val="18"/>
                <w:szCs w:val="18"/>
              </w:rPr>
              <w:t>10.32</w:t>
            </w:r>
          </w:p>
        </w:tc>
      </w:tr>
      <w:tr>
        <w:tblPrEx>
          <w:tblBorders>
            <w:top w:val="single" w:color="auto" w:sz="12" w:space="0"/>
            <w:left w:val="none" w:color="auto" w:sz="0" w:space="0"/>
            <w:bottom w:val="single" w:color="auto" w:sz="12" w:space="0"/>
            <w:right w:val="none" w:color="auto" w:sz="0" w:space="0"/>
            <w:insideH w:val="outset" w:color="auto" w:sz="6" w:space="0"/>
            <w:insideV w:val="outset" w:color="auto" w:sz="6" w:space="0"/>
          </w:tblBorders>
          <w:tblLayout w:type="fixed"/>
          <w:tblCellMar>
            <w:top w:w="0" w:type="dxa"/>
            <w:left w:w="108" w:type="dxa"/>
            <w:bottom w:w="0" w:type="dxa"/>
            <w:right w:w="108" w:type="dxa"/>
          </w:tblCellMar>
        </w:tblPrEx>
        <w:trPr>
          <w:trHeight w:val="317" w:hRule="atLeast"/>
          <w:jc w:val="center"/>
        </w:trPr>
        <w:tc>
          <w:tcPr>
            <w:tcW w:w="2366" w:type="dxa"/>
            <w:tcBorders>
              <w:top w:val="nil"/>
              <w:left w:val="nil"/>
              <w:bottom w:val="nil"/>
              <w:right w:val="single" w:color="auto" w:sz="4" w:space="0"/>
            </w:tcBorders>
            <w:noWrap/>
            <w:vAlign w:val="bottom"/>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cs="Times New Roman"/>
                <w:kern w:val="0"/>
                <w:sz w:val="18"/>
                <w:szCs w:val="18"/>
              </w:rPr>
            </w:pPr>
            <w:r>
              <w:rPr>
                <w:rFonts w:hint="eastAsia" w:ascii="宋体" w:hAnsi="宋体" w:cs="Times New Roman"/>
                <w:kern w:val="0"/>
                <w:sz w:val="18"/>
                <w:szCs w:val="18"/>
              </w:rPr>
              <w:t>医疗保健</w:t>
            </w:r>
          </w:p>
        </w:tc>
        <w:tc>
          <w:tcPr>
            <w:tcW w:w="1552" w:type="dxa"/>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cs="Times New Roman"/>
                <w:kern w:val="0"/>
                <w:sz w:val="18"/>
                <w:szCs w:val="18"/>
              </w:rPr>
            </w:pPr>
            <w:r>
              <w:rPr>
                <w:rFonts w:cs="Times New Roman"/>
                <w:kern w:val="0"/>
                <w:sz w:val="18"/>
                <w:szCs w:val="18"/>
              </w:rPr>
              <w:t>8.64</w:t>
            </w:r>
          </w:p>
        </w:tc>
        <w:tc>
          <w:tcPr>
            <w:tcW w:w="1554" w:type="dxa"/>
            <w:tcBorders>
              <w:top w:val="nil"/>
              <w:left w:val="nil"/>
              <w:bottom w:val="nil"/>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cs="Times New Roman"/>
                <w:kern w:val="0"/>
                <w:sz w:val="18"/>
                <w:szCs w:val="18"/>
              </w:rPr>
            </w:pPr>
            <w:r>
              <w:rPr>
                <w:rFonts w:cs="Times New Roman"/>
                <w:kern w:val="0"/>
                <w:sz w:val="18"/>
                <w:szCs w:val="18"/>
              </w:rPr>
              <w:t>10.54</w:t>
            </w:r>
          </w:p>
        </w:tc>
        <w:tc>
          <w:tcPr>
            <w:tcW w:w="1552" w:type="dxa"/>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cs="Times New Roman"/>
                <w:kern w:val="0"/>
                <w:sz w:val="18"/>
                <w:szCs w:val="18"/>
              </w:rPr>
            </w:pPr>
            <w:r>
              <w:rPr>
                <w:rFonts w:cs="Times New Roman"/>
                <w:kern w:val="0"/>
                <w:sz w:val="18"/>
                <w:szCs w:val="18"/>
              </w:rPr>
              <w:t>11.55</w:t>
            </w:r>
          </w:p>
        </w:tc>
        <w:tc>
          <w:tcPr>
            <w:tcW w:w="1554" w:type="dxa"/>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cs="Times New Roman"/>
                <w:kern w:val="0"/>
                <w:sz w:val="18"/>
                <w:szCs w:val="18"/>
              </w:rPr>
            </w:pPr>
            <w:r>
              <w:rPr>
                <w:rFonts w:cs="Times New Roman"/>
                <w:kern w:val="0"/>
                <w:sz w:val="18"/>
                <w:szCs w:val="18"/>
              </w:rPr>
              <w:t>4.28</w:t>
            </w:r>
          </w:p>
        </w:tc>
      </w:tr>
      <w:tr>
        <w:tblPrEx>
          <w:tblBorders>
            <w:top w:val="single" w:color="auto" w:sz="12" w:space="0"/>
            <w:left w:val="none" w:color="auto" w:sz="0" w:space="0"/>
            <w:bottom w:val="single" w:color="auto" w:sz="12" w:space="0"/>
            <w:right w:val="none" w:color="auto" w:sz="0" w:space="0"/>
            <w:insideH w:val="outset" w:color="auto" w:sz="6" w:space="0"/>
            <w:insideV w:val="outset" w:color="auto" w:sz="6" w:space="0"/>
          </w:tblBorders>
          <w:tblLayout w:type="fixed"/>
          <w:tblCellMar>
            <w:top w:w="0" w:type="dxa"/>
            <w:left w:w="108" w:type="dxa"/>
            <w:bottom w:w="0" w:type="dxa"/>
            <w:right w:w="108" w:type="dxa"/>
          </w:tblCellMar>
        </w:tblPrEx>
        <w:trPr>
          <w:trHeight w:val="317" w:hRule="atLeast"/>
          <w:jc w:val="center"/>
        </w:trPr>
        <w:tc>
          <w:tcPr>
            <w:tcW w:w="2366" w:type="dxa"/>
            <w:tcBorders>
              <w:top w:val="nil"/>
              <w:left w:val="nil"/>
              <w:bottom w:val="single" w:color="auto" w:sz="12" w:space="0"/>
              <w:right w:val="single" w:color="auto" w:sz="4" w:space="0"/>
            </w:tcBorders>
            <w:noWrap/>
            <w:vAlign w:val="bottom"/>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cs="Times New Roman"/>
                <w:kern w:val="0"/>
                <w:sz w:val="18"/>
                <w:szCs w:val="18"/>
              </w:rPr>
            </w:pPr>
            <w:r>
              <w:rPr>
                <w:rFonts w:hint="eastAsia" w:ascii="宋体" w:hAnsi="宋体" w:cs="Times New Roman"/>
                <w:kern w:val="0"/>
                <w:sz w:val="18"/>
                <w:szCs w:val="18"/>
              </w:rPr>
              <w:t>其他用品及服务</w:t>
            </w:r>
          </w:p>
        </w:tc>
        <w:tc>
          <w:tcPr>
            <w:tcW w:w="1552" w:type="dxa"/>
            <w:tcBorders>
              <w:top w:val="nil"/>
              <w:left w:val="nil"/>
              <w:bottom w:val="single" w:color="auto" w:sz="12" w:space="0"/>
              <w:right w:val="nil"/>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eastAsia="宋体" w:cs="Times New Roman"/>
                <w:kern w:val="0"/>
                <w:sz w:val="18"/>
                <w:szCs w:val="18"/>
                <w:lang w:val="en-US" w:eastAsia="zh-CN"/>
              </w:rPr>
            </w:pPr>
            <w:r>
              <w:rPr>
                <w:rFonts w:cs="Times New Roman"/>
                <w:kern w:val="0"/>
                <w:sz w:val="18"/>
                <w:szCs w:val="18"/>
              </w:rPr>
              <w:t>2.8</w:t>
            </w:r>
            <w:r>
              <w:rPr>
                <w:rFonts w:hint="eastAsia" w:cs="Times New Roman"/>
                <w:kern w:val="0"/>
                <w:sz w:val="18"/>
                <w:szCs w:val="18"/>
                <w:lang w:val="en-US" w:eastAsia="zh-CN"/>
              </w:rPr>
              <w:t>8</w:t>
            </w:r>
          </w:p>
        </w:tc>
        <w:tc>
          <w:tcPr>
            <w:tcW w:w="1554" w:type="dxa"/>
            <w:tcBorders>
              <w:top w:val="nil"/>
              <w:left w:val="nil"/>
              <w:bottom w:val="single" w:color="auto" w:sz="12"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cs="Times New Roman"/>
                <w:kern w:val="0"/>
                <w:sz w:val="18"/>
                <w:szCs w:val="18"/>
              </w:rPr>
            </w:pPr>
            <w:r>
              <w:rPr>
                <w:rFonts w:cs="Times New Roman"/>
                <w:kern w:val="0"/>
                <w:sz w:val="18"/>
                <w:szCs w:val="18"/>
              </w:rPr>
              <w:t>1.88</w:t>
            </w:r>
          </w:p>
        </w:tc>
        <w:tc>
          <w:tcPr>
            <w:tcW w:w="1552" w:type="dxa"/>
            <w:tcBorders>
              <w:top w:val="nil"/>
              <w:left w:val="nil"/>
              <w:bottom w:val="single" w:color="auto" w:sz="12" w:space="0"/>
              <w:right w:val="nil"/>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cs="Times New Roman"/>
                <w:kern w:val="0"/>
                <w:sz w:val="18"/>
                <w:szCs w:val="18"/>
              </w:rPr>
            </w:pPr>
            <w:r>
              <w:rPr>
                <w:rFonts w:cs="Times New Roman"/>
                <w:kern w:val="0"/>
                <w:sz w:val="18"/>
                <w:szCs w:val="18"/>
              </w:rPr>
              <w:t>4.46</w:t>
            </w:r>
          </w:p>
        </w:tc>
        <w:tc>
          <w:tcPr>
            <w:tcW w:w="1554" w:type="dxa"/>
            <w:tcBorders>
              <w:top w:val="nil"/>
              <w:left w:val="nil"/>
              <w:bottom w:val="single" w:color="auto" w:sz="12" w:space="0"/>
              <w:right w:val="nil"/>
            </w:tcBorders>
            <w:noWrap/>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eastAsia="宋体" w:cs="Times New Roman"/>
                <w:kern w:val="0"/>
                <w:sz w:val="18"/>
                <w:szCs w:val="18"/>
                <w:lang w:val="en-US" w:eastAsia="zh-CN"/>
              </w:rPr>
            </w:pPr>
            <w:r>
              <w:rPr>
                <w:rFonts w:cs="Times New Roman"/>
                <w:kern w:val="0"/>
                <w:sz w:val="18"/>
                <w:szCs w:val="18"/>
              </w:rPr>
              <w:t>1.2</w:t>
            </w:r>
            <w:r>
              <w:rPr>
                <w:rFonts w:hint="eastAsia" w:cs="Times New Roman"/>
                <w:kern w:val="0"/>
                <w:sz w:val="18"/>
                <w:szCs w:val="18"/>
                <w:lang w:val="en-US" w:eastAsia="zh-CN"/>
              </w:rPr>
              <w:t>7</w:t>
            </w:r>
          </w:p>
        </w:tc>
      </w:tr>
    </w:tbl>
    <w:p>
      <w:pPr>
        <w:widowControl/>
        <w:ind w:firstLine="332" w:firstLineChars="200"/>
        <w:rPr>
          <w:b/>
          <w:bCs/>
        </w:rPr>
      </w:pPr>
      <w:r>
        <w:rPr>
          <w:rFonts w:hint="eastAsia" w:ascii="宋体" w:hAnsi="宋体" w:cs="Times New Roman"/>
          <w:sz w:val="18"/>
          <w:szCs w:val="18"/>
        </w:rPr>
        <w:t>注：根据国家统计局公布的城镇和农村居民人均消费性支出数据计算得到。由于四舍五入的因素，存在各品类支出比重之和不等于</w:t>
      </w:r>
      <w:r>
        <w:rPr>
          <w:rFonts w:hint="eastAsia" w:ascii="仿宋" w:hAnsi="仿宋" w:eastAsia="仿宋" w:cs="仿宋"/>
          <w:sz w:val="18"/>
          <w:szCs w:val="18"/>
        </w:rPr>
        <w:t>100</w:t>
      </w:r>
      <w:r>
        <w:rPr>
          <w:rFonts w:hint="eastAsia" w:ascii="宋体" w:hAnsi="宋体" w:cs="Times New Roman"/>
          <w:sz w:val="18"/>
          <w:szCs w:val="18"/>
        </w:rPr>
        <w:t>的情况。</w:t>
      </w:r>
    </w:p>
    <w:p>
      <w:pPr>
        <w:keepNext w:val="0"/>
        <w:keepLines w:val="0"/>
        <w:pageBreakBefore w:val="0"/>
        <w:widowControl/>
        <w:kinsoku/>
        <w:wordWrap/>
        <w:overflowPunct/>
        <w:topLinePunct w:val="0"/>
        <w:autoSpaceDE/>
        <w:autoSpaceDN/>
        <w:bidi w:val="0"/>
        <w:adjustRightInd/>
        <w:snapToGrid/>
        <w:spacing w:line="480" w:lineRule="auto"/>
        <w:jc w:val="center"/>
        <w:textAlignment w:val="auto"/>
        <w:rPr>
          <w:rFonts w:eastAsia="黑体"/>
          <w:b w:val="0"/>
          <w:bCs w:val="0"/>
          <w:sz w:val="24"/>
        </w:rPr>
      </w:pPr>
      <w:r>
        <w:rPr>
          <w:rFonts w:hint="eastAsia" w:eastAsia="黑体"/>
          <w:b w:val="0"/>
          <w:bCs w:val="0"/>
          <w:sz w:val="24"/>
        </w:rPr>
        <w:t>C. 使用更长的投入产出</w:t>
      </w:r>
      <w:bookmarkStart w:id="9" w:name="_GoBack"/>
      <w:bookmarkEnd w:id="9"/>
      <w:r>
        <w:rPr>
          <w:rFonts w:hint="eastAsia" w:eastAsia="黑体"/>
          <w:b w:val="0"/>
          <w:bCs w:val="0"/>
          <w:sz w:val="24"/>
        </w:rPr>
        <w:t>表数据估计城乡居民收入差距的测算结果</w:t>
      </w:r>
    </w:p>
    <w:p>
      <w:pPr>
        <w:ind w:firstLine="420"/>
      </w:pPr>
      <w:r>
        <w:rPr>
          <w:rFonts w:hint="eastAsia"/>
        </w:rPr>
        <w:t>基准部分使用了国家统计局公布的投入产出表数据测算城镇和农村居民三次产业消费增加值结构数据对城乡居民的消费偏好进行了参数估计，并基于估计结果进行了数值模拟。这里使用张红霞等（2021）编制的中国时间序列投入产出表（1981</w:t>
      </w:r>
      <w:r>
        <w:rPr>
          <w:rFonts w:cs="Times New Roman"/>
          <w:szCs w:val="21"/>
        </w:rPr>
        <w:t>－</w:t>
      </w:r>
      <w:r>
        <w:rPr>
          <w:rFonts w:hint="eastAsia"/>
        </w:rPr>
        <w:t>2018）重新对模型进行了参数估计，并根据参数估计结果进行了数值模拟。相比基准部分使用的国家统计局投入产出表（可估计9年），这一投入产出表数据时间跨度更长（可估计18年），但其行业数较少，且产业划分并不完全依据国家统计局的三次产业分类，例如农业部门还包括了农林牧渔服务业等。</w:t>
      </w:r>
    </w:p>
    <w:p>
      <w:pPr>
        <w:ind w:firstLine="422"/>
      </w:pPr>
      <w:bookmarkStart w:id="7" w:name="_Hlk182843387"/>
      <w:r>
        <w:rPr>
          <w:rFonts w:hint="eastAsia"/>
        </w:rPr>
        <w:t>与基准部分一致，得到2001</w:t>
      </w:r>
      <w:r>
        <w:rPr>
          <w:rFonts w:cs="Times New Roman"/>
          <w:szCs w:val="21"/>
        </w:rPr>
        <w:t>－</w:t>
      </w:r>
      <w:r>
        <w:rPr>
          <w:rFonts w:hint="eastAsia"/>
        </w:rPr>
        <w:t>2018年共18年的城乡居民消费三次产业增加值与增加值价格数据后，选定制造业作为基准产业，运用</w:t>
      </w:r>
      <w:r>
        <w:rPr>
          <w:rFonts w:hint="eastAsia"/>
          <w:iCs/>
        </w:rPr>
        <w:t>（13）</w:t>
      </w:r>
      <w:r>
        <w:rPr>
          <w:rFonts w:hint="eastAsia"/>
        </w:rPr>
        <w:t>式进行参数估计，估计结果见附表3。附表3中，（1）列控制了城乡和产业固定效应，（2）列没有控制固定效应。（1）列结果可见，替代弹性参数</w:t>
      </w:r>
      <w:r>
        <w:rPr>
          <w:position w:val="-6"/>
        </w:rPr>
        <w:object>
          <v:shape id="_x0000_i1058" o:spt="75" type="#_x0000_t75" style="height:9.6pt;width:11.4pt;" o:ole="t" filled="f" o:preferrelative="t" stroked="f" coordsize="21600,21600">
            <v:path/>
            <v:fill on="f" focussize="0,0"/>
            <v:stroke on="f" joinstyle="miter"/>
            <v:imagedata r:id="rId50" o:title=""/>
            <o:lock v:ext="edit" aspectratio="t"/>
            <w10:wrap type="none"/>
            <w10:anchorlock/>
          </v:shape>
          <o:OLEObject Type="Embed" ProgID="Equation.DSMT4" ShapeID="_x0000_i1058" DrawAspect="Content" ObjectID="_1468075744" r:id="rId49">
            <o:LockedField>false</o:LockedField>
          </o:OLEObject>
        </w:object>
      </w:r>
      <w:r>
        <w:rPr>
          <w:rFonts w:hint="eastAsia"/>
        </w:rPr>
        <w:t>小于1，但大于基准部分估计结果，可能源自这里使用的投入产出数据中农业部门还包括了农林牧渔服务业，使得不同产业的替代性有所增强。对于不同产业的收入弹性参数</w:t>
      </w:r>
      <w:r>
        <w:rPr>
          <w:position w:val="-12"/>
        </w:rPr>
        <w:object>
          <v:shape id="_x0000_i1059" o:spt="75" type="#_x0000_t75" style="height:15.6pt;width:12pt;" o:ole="t" filled="f" o:preferrelative="t" stroked="f" coordsize="21600,21600">
            <v:path/>
            <v:fill on="f" focussize="0,0"/>
            <v:stroke on="f" joinstyle="miter"/>
            <v:imagedata r:id="rId52" o:title=""/>
            <o:lock v:ext="edit" aspectratio="t"/>
            <w10:wrap type="none"/>
            <w10:anchorlock/>
          </v:shape>
          <o:OLEObject Type="Embed" ProgID="Equation.DSMT4" ShapeID="_x0000_i1059" DrawAspect="Content" ObjectID="_1468075745" r:id="rId51">
            <o:LockedField>false</o:LockedField>
          </o:OLEObject>
        </w:object>
      </w:r>
      <w:r>
        <w:rPr>
          <w:rFonts w:hint="eastAsia"/>
        </w:rPr>
        <w:t>，农业收入弹性参数小于1，服务业收入弹性参数大于1，这些结果都与基准部分得到的估计结果相似。相比（1）列，（2）列的替代弹性参数估计结果偏大且更接近于1，不同产业收入弹性参数差别有所扩大，但其相对大小仍和（1）列保持一致，与基准部分的结果也较为接近，体现了一定的稳健性。后续数值模拟将采用（1）列结果作为基准设定。</w:t>
      </w:r>
    </w:p>
    <w:bookmarkEnd w:id="7"/>
    <w:p>
      <w:pPr>
        <w:ind w:firstLine="332" w:firstLineChars="200"/>
        <w:jc w:val="left"/>
        <w:rPr>
          <w:rFonts w:hint="eastAsia" w:ascii="黑体" w:hAnsi="黑体" w:eastAsia="黑体" w:cs="Times New Roman"/>
          <w:sz w:val="18"/>
          <w:szCs w:val="20"/>
        </w:rPr>
      </w:pPr>
    </w:p>
    <w:p>
      <w:pPr>
        <w:ind w:firstLine="332" w:firstLineChars="200"/>
        <w:jc w:val="left"/>
        <w:rPr>
          <w:rFonts w:hint="eastAsia" w:ascii="黑体" w:hAnsi="黑体" w:eastAsia="黑体" w:cs="Times New Roman"/>
          <w:sz w:val="18"/>
          <w:szCs w:val="20"/>
        </w:rPr>
      </w:pPr>
    </w:p>
    <w:p>
      <w:pPr>
        <w:ind w:firstLine="332" w:firstLineChars="200"/>
        <w:jc w:val="left"/>
        <w:rPr>
          <w:rFonts w:hint="eastAsia" w:ascii="黑体" w:hAnsi="黑体" w:eastAsia="黑体" w:cs="Times New Roman"/>
          <w:sz w:val="18"/>
          <w:szCs w:val="20"/>
        </w:rPr>
      </w:pPr>
    </w:p>
    <w:p>
      <w:pPr>
        <w:ind w:firstLine="332" w:firstLineChars="200"/>
        <w:jc w:val="left"/>
        <w:rPr>
          <w:rFonts w:hint="eastAsia" w:ascii="黑体" w:hAnsi="黑体" w:eastAsia="黑体" w:cs="Times New Roman"/>
          <w:sz w:val="18"/>
          <w:szCs w:val="20"/>
        </w:rPr>
      </w:pPr>
      <w:r>
        <w:rPr>
          <w:rFonts w:hint="eastAsia" w:ascii="黑体" w:hAnsi="黑体" w:eastAsia="黑体" w:cs="Times New Roman"/>
          <w:sz w:val="18"/>
          <w:szCs w:val="20"/>
        </w:rPr>
        <w:t>附表</w:t>
      </w:r>
      <w:r>
        <w:rPr>
          <w:rFonts w:hint="eastAsia" w:eastAsia="黑体" w:cs="Times New Roman"/>
          <w:sz w:val="18"/>
          <w:szCs w:val="20"/>
        </w:rPr>
        <w:t>3</w:t>
      </w:r>
      <w:r>
        <w:rPr>
          <w:rFonts w:hint="eastAsia" w:ascii="黑体" w:hAnsi="黑体" w:eastAsia="黑体" w:cs="Times New Roman"/>
          <w:sz w:val="18"/>
          <w:szCs w:val="20"/>
        </w:rPr>
        <w:t xml:space="preserve">                  消费增加值口径需求参数估计结果（更长的投入产出表数据）</w:t>
      </w:r>
    </w:p>
    <w:tbl>
      <w:tblPr>
        <w:tblStyle w:val="34"/>
        <w:tblW w:w="8590" w:type="dxa"/>
        <w:jc w:val="center"/>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305"/>
        <w:gridCol w:w="1571"/>
        <w:gridCol w:w="1571"/>
        <w:gridCol w:w="1571"/>
        <w:gridCol w:w="1572"/>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2305" w:type="dxa"/>
            <w:vMerge w:val="restart"/>
            <w:tcBorders>
              <w:top w:val="single" w:color="auto" w:sz="12" w:space="0"/>
              <w:left w:val="nil"/>
              <w:bottom w:val="nil"/>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参数</w:t>
            </w:r>
          </w:p>
        </w:tc>
        <w:tc>
          <w:tcPr>
            <w:tcW w:w="3142" w:type="dxa"/>
            <w:gridSpan w:val="2"/>
            <w:tcBorders>
              <w:top w:val="single" w:color="auto" w:sz="12"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（1）</w:t>
            </w:r>
          </w:p>
        </w:tc>
        <w:tc>
          <w:tcPr>
            <w:tcW w:w="3143" w:type="dxa"/>
            <w:gridSpan w:val="2"/>
            <w:tcBorders>
              <w:top w:val="single" w:color="auto" w:sz="12" w:space="0"/>
              <w:left w:val="nil"/>
              <w:bottom w:val="single" w:color="auto" w:sz="4" w:space="0"/>
              <w:right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2305" w:type="dxa"/>
            <w:vMerge w:val="continue"/>
            <w:tcBorders>
              <w:top w:val="single" w:color="auto" w:sz="12" w:space="0"/>
              <w:left w:val="nil"/>
              <w:bottom w:val="nil"/>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sz w:val="18"/>
                <w:szCs w:val="18"/>
              </w:rPr>
            </w:pPr>
          </w:p>
        </w:tc>
        <w:tc>
          <w:tcPr>
            <w:tcW w:w="1571" w:type="dxa"/>
            <w:tcBorders>
              <w:top w:val="nil"/>
              <w:left w:val="nil"/>
              <w:bottom w:val="single" w:color="auto" w:sz="4" w:space="0"/>
              <w:right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系数</w:t>
            </w:r>
          </w:p>
        </w:tc>
        <w:tc>
          <w:tcPr>
            <w:tcW w:w="1571"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标准误</w:t>
            </w:r>
          </w:p>
        </w:tc>
        <w:tc>
          <w:tcPr>
            <w:tcW w:w="1571" w:type="dxa"/>
            <w:tcBorders>
              <w:top w:val="nil"/>
              <w:left w:val="nil"/>
              <w:bottom w:val="single" w:color="auto" w:sz="4" w:space="0"/>
              <w:right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系数</w:t>
            </w:r>
          </w:p>
        </w:tc>
        <w:tc>
          <w:tcPr>
            <w:tcW w:w="1572" w:type="dxa"/>
            <w:tcBorders>
              <w:top w:val="nil"/>
              <w:left w:val="nil"/>
              <w:bottom w:val="single" w:color="auto" w:sz="4" w:space="0"/>
              <w:right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标准误</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2305" w:type="dxa"/>
            <w:tcBorders>
              <w:top w:val="single" w:color="auto" w:sz="4" w:space="0"/>
              <w:left w:val="nil"/>
              <w:bottom w:val="nil"/>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sz w:val="18"/>
                <w:szCs w:val="18"/>
              </w:rPr>
            </w:pPr>
            <w:r>
              <w:rPr>
                <w:position w:val="-6"/>
                <w:sz w:val="18"/>
                <w:szCs w:val="18"/>
              </w:rPr>
              <w:object>
                <v:shape id="_x0000_i1060" o:spt="75" type="#_x0000_t75" style="height:9.6pt;width:11.4pt;" o:ole="t" filled="f" o:preferrelative="t" stroked="f" coordsize="21600,21600">
                  <v:path/>
                  <v:fill on="f" focussize="0,0"/>
                  <v:stroke on="f" joinstyle="miter"/>
                  <v:imagedata r:id="rId18" o:title=""/>
                  <o:lock v:ext="edit" aspectratio="t"/>
                  <w10:wrap type="none"/>
                  <w10:anchorlock/>
                </v:shape>
                <o:OLEObject Type="Embed" ProgID="Equation.DSMT4" ShapeID="_x0000_i1060" DrawAspect="Content" ObjectID="_1468075746" r:id="rId53">
                  <o:LockedField>false</o:LockedField>
                </o:OLEObject>
              </w:object>
            </w:r>
          </w:p>
        </w:tc>
        <w:tc>
          <w:tcPr>
            <w:tcW w:w="1571" w:type="dxa"/>
            <w:tcBorders>
              <w:top w:val="single" w:color="auto" w:sz="4" w:space="0"/>
              <w:left w:val="nil"/>
              <w:bottom w:val="nil"/>
              <w:right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cs="Times New Roman"/>
                <w:sz w:val="18"/>
                <w:szCs w:val="18"/>
              </w:rPr>
              <w:t>0.458</w:t>
            </w:r>
            <w:r>
              <w:rPr>
                <w:rFonts w:cs="Times New Roman"/>
                <w:sz w:val="18"/>
                <w:szCs w:val="18"/>
                <w:vertAlign w:val="superscript"/>
              </w:rPr>
              <w:t>**</w:t>
            </w:r>
            <w:r>
              <w:rPr>
                <w:rFonts w:hint="eastAsia" w:cs="Times New Roman"/>
                <w:sz w:val="18"/>
                <w:szCs w:val="18"/>
                <w:vertAlign w:val="superscript"/>
              </w:rPr>
              <w:t>*</w:t>
            </w:r>
          </w:p>
        </w:tc>
        <w:tc>
          <w:tcPr>
            <w:tcW w:w="1571" w:type="dxa"/>
            <w:tcBorders>
              <w:top w:val="single" w:color="auto" w:sz="4" w:space="0"/>
              <w:left w:val="nil"/>
              <w:bottom w:val="nil"/>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cs="Times New Roman"/>
                <w:sz w:val="18"/>
                <w:szCs w:val="18"/>
              </w:rPr>
              <w:t>0.0</w:t>
            </w:r>
            <w:r>
              <w:rPr>
                <w:rFonts w:hint="eastAsia" w:cs="Times New Roman"/>
                <w:sz w:val="18"/>
                <w:szCs w:val="18"/>
              </w:rPr>
              <w:t>47</w:t>
            </w:r>
          </w:p>
        </w:tc>
        <w:tc>
          <w:tcPr>
            <w:tcW w:w="1571" w:type="dxa"/>
            <w:tcBorders>
              <w:top w:val="single" w:color="auto" w:sz="4" w:space="0"/>
              <w:left w:val="nil"/>
              <w:bottom w:val="nil"/>
              <w:right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cs="Times New Roman"/>
                <w:sz w:val="18"/>
                <w:szCs w:val="18"/>
              </w:rPr>
              <w:t>0.818</w:t>
            </w:r>
            <w:r>
              <w:rPr>
                <w:rFonts w:cs="Times New Roman"/>
                <w:sz w:val="18"/>
                <w:szCs w:val="18"/>
                <w:vertAlign w:val="superscript"/>
              </w:rPr>
              <w:t>***</w:t>
            </w:r>
          </w:p>
        </w:tc>
        <w:tc>
          <w:tcPr>
            <w:tcW w:w="1572" w:type="dxa"/>
            <w:tcBorders>
              <w:top w:val="single" w:color="auto" w:sz="4" w:space="0"/>
              <w:left w:val="nil"/>
              <w:bottom w:val="nil"/>
              <w:right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cs="Times New Roman"/>
                <w:sz w:val="18"/>
                <w:szCs w:val="18"/>
              </w:rPr>
              <w:t>0.0</w:t>
            </w:r>
            <w:r>
              <w:rPr>
                <w:rFonts w:hint="eastAsia" w:cs="Times New Roman"/>
                <w:sz w:val="18"/>
                <w:szCs w:val="18"/>
              </w:rPr>
              <w:t>10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2305" w:type="dxa"/>
            <w:tcBorders>
              <w:top w:val="nil"/>
              <w:left w:val="nil"/>
              <w:bottom w:val="nil"/>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sz w:val="18"/>
                <w:szCs w:val="18"/>
              </w:rPr>
            </w:pPr>
            <w:r>
              <w:rPr>
                <w:position w:val="-6"/>
                <w:sz w:val="18"/>
                <w:szCs w:val="18"/>
              </w:rPr>
              <w:object>
                <v:shape id="_x0000_i1061" o:spt="75" type="#_x0000_t75" style="height:9.6pt;width:9.6pt;" o:ole="t" filled="f" o:preferrelative="t" stroked="f" coordsize="21600,21600">
                  <v:path/>
                  <v:fill on="f" focussize="0,0"/>
                  <v:stroke on="f" joinstyle="miter"/>
                  <v:imagedata r:id="rId21" o:title=""/>
                  <o:lock v:ext="edit" aspectratio="t"/>
                  <w10:wrap type="none"/>
                  <w10:anchorlock/>
                </v:shape>
                <o:OLEObject Type="Embed" ProgID="Equation.DSMT4" ShapeID="_x0000_i1061" DrawAspect="Content" ObjectID="_1468075747" r:id="rId54">
                  <o:LockedField>false</o:LockedField>
                </o:OLEObject>
              </w:object>
            </w:r>
            <w:r>
              <w:rPr>
                <w:rFonts w:hint="eastAsia"/>
                <w:sz w:val="18"/>
                <w:szCs w:val="18"/>
              </w:rPr>
              <w:t>（农业）</w:t>
            </w:r>
          </w:p>
        </w:tc>
        <w:tc>
          <w:tcPr>
            <w:tcW w:w="1571" w:type="dxa"/>
            <w:tcBorders>
              <w:top w:val="nil"/>
              <w:left w:val="nil"/>
              <w:bottom w:val="nil"/>
              <w:right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cs="Times New Roman"/>
                <w:sz w:val="18"/>
                <w:szCs w:val="18"/>
              </w:rPr>
              <w:t>0.</w:t>
            </w:r>
            <w:r>
              <w:rPr>
                <w:rFonts w:hint="eastAsia" w:cs="Times New Roman"/>
                <w:sz w:val="18"/>
                <w:szCs w:val="18"/>
              </w:rPr>
              <w:t>879</w:t>
            </w:r>
            <w:r>
              <w:rPr>
                <w:rFonts w:cs="Times New Roman"/>
                <w:sz w:val="18"/>
                <w:szCs w:val="18"/>
                <w:vertAlign w:val="superscript"/>
              </w:rPr>
              <w:t>***</w:t>
            </w:r>
          </w:p>
        </w:tc>
        <w:tc>
          <w:tcPr>
            <w:tcW w:w="1571" w:type="dxa"/>
            <w:tcBorders>
              <w:top w:val="nil"/>
              <w:left w:val="nil"/>
              <w:bottom w:val="nil"/>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cs="Times New Roman"/>
                <w:sz w:val="18"/>
                <w:szCs w:val="18"/>
              </w:rPr>
              <w:t>0.0</w:t>
            </w:r>
            <w:r>
              <w:rPr>
                <w:rFonts w:hint="eastAsia" w:cs="Times New Roman"/>
                <w:sz w:val="18"/>
                <w:szCs w:val="18"/>
              </w:rPr>
              <w:t>15</w:t>
            </w:r>
          </w:p>
        </w:tc>
        <w:tc>
          <w:tcPr>
            <w:tcW w:w="1571" w:type="dxa"/>
            <w:tcBorders>
              <w:top w:val="nil"/>
              <w:left w:val="nil"/>
              <w:bottom w:val="nil"/>
              <w:right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cs="Times New Roman"/>
                <w:sz w:val="18"/>
                <w:szCs w:val="18"/>
              </w:rPr>
              <w:t>0.</w:t>
            </w:r>
            <w:r>
              <w:rPr>
                <w:rFonts w:hint="eastAsia" w:cs="Times New Roman"/>
                <w:sz w:val="18"/>
                <w:szCs w:val="18"/>
              </w:rPr>
              <w:t>000</w:t>
            </w:r>
          </w:p>
        </w:tc>
        <w:tc>
          <w:tcPr>
            <w:tcW w:w="1572" w:type="dxa"/>
            <w:tcBorders>
              <w:top w:val="nil"/>
              <w:left w:val="nil"/>
              <w:bottom w:val="nil"/>
              <w:right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cs="Times New Roman"/>
                <w:sz w:val="18"/>
                <w:szCs w:val="18"/>
              </w:rPr>
              <w:t>0.0</w:t>
            </w:r>
            <w:r>
              <w:rPr>
                <w:rFonts w:hint="eastAsia" w:cs="Times New Roman"/>
                <w:sz w:val="18"/>
                <w:szCs w:val="18"/>
              </w:rPr>
              <w:t>14</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2305" w:type="dxa"/>
            <w:tcBorders>
              <w:top w:val="nil"/>
              <w:left w:val="nil"/>
              <w:bottom w:val="nil"/>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sz w:val="18"/>
                <w:szCs w:val="18"/>
              </w:rPr>
            </w:pPr>
            <w:r>
              <w:rPr>
                <w:position w:val="-6"/>
                <w:sz w:val="18"/>
                <w:szCs w:val="18"/>
              </w:rPr>
              <w:object>
                <v:shape id="_x0000_i1062" o:spt="75" type="#_x0000_t75" style="height:9.6pt;width:9.6pt;" o:ole="t" filled="f" o:preferrelative="t" stroked="f" coordsize="21600,21600">
                  <v:path/>
                  <v:fill on="f" focussize="0,0"/>
                  <v:stroke on="f" joinstyle="miter"/>
                  <v:imagedata r:id="rId21" o:title=""/>
                  <o:lock v:ext="edit" aspectratio="t"/>
                  <w10:wrap type="none"/>
                  <w10:anchorlock/>
                </v:shape>
                <o:OLEObject Type="Embed" ProgID="Equation.DSMT4" ShapeID="_x0000_i1062" DrawAspect="Content" ObjectID="_1468075748" r:id="rId55">
                  <o:LockedField>false</o:LockedField>
                </o:OLEObject>
              </w:object>
            </w:r>
            <w:r>
              <w:rPr>
                <w:rFonts w:hint="eastAsia"/>
                <w:sz w:val="18"/>
                <w:szCs w:val="18"/>
              </w:rPr>
              <w:t>（服务业）</w:t>
            </w:r>
          </w:p>
        </w:tc>
        <w:tc>
          <w:tcPr>
            <w:tcW w:w="1571" w:type="dxa"/>
            <w:tcBorders>
              <w:top w:val="nil"/>
              <w:left w:val="nil"/>
              <w:bottom w:val="nil"/>
              <w:right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cs="Times New Roman"/>
                <w:sz w:val="18"/>
                <w:szCs w:val="18"/>
              </w:rPr>
              <w:t>1.</w:t>
            </w:r>
            <w:r>
              <w:rPr>
                <w:rFonts w:hint="eastAsia" w:cs="Times New Roman"/>
                <w:sz w:val="18"/>
                <w:szCs w:val="18"/>
              </w:rPr>
              <w:t>058</w:t>
            </w:r>
            <w:r>
              <w:rPr>
                <w:rFonts w:cs="Times New Roman"/>
                <w:sz w:val="18"/>
                <w:szCs w:val="18"/>
                <w:vertAlign w:val="superscript"/>
              </w:rPr>
              <w:t>***</w:t>
            </w:r>
          </w:p>
        </w:tc>
        <w:tc>
          <w:tcPr>
            <w:tcW w:w="1571" w:type="dxa"/>
            <w:tcBorders>
              <w:top w:val="nil"/>
              <w:left w:val="nil"/>
              <w:bottom w:val="nil"/>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cs="Times New Roman"/>
                <w:sz w:val="18"/>
                <w:szCs w:val="18"/>
              </w:rPr>
              <w:t>0.0</w:t>
            </w:r>
            <w:r>
              <w:rPr>
                <w:rFonts w:hint="eastAsia" w:cs="Times New Roman"/>
                <w:sz w:val="18"/>
                <w:szCs w:val="18"/>
              </w:rPr>
              <w:t>13</w:t>
            </w:r>
          </w:p>
        </w:tc>
        <w:tc>
          <w:tcPr>
            <w:tcW w:w="1571" w:type="dxa"/>
            <w:tcBorders>
              <w:top w:val="nil"/>
              <w:left w:val="nil"/>
              <w:bottom w:val="nil"/>
              <w:right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cs="Times New Roman"/>
                <w:sz w:val="18"/>
                <w:szCs w:val="18"/>
              </w:rPr>
              <w:t>1.</w:t>
            </w:r>
            <w:r>
              <w:rPr>
                <w:rFonts w:hint="eastAsia" w:cs="Times New Roman"/>
                <w:sz w:val="18"/>
                <w:szCs w:val="18"/>
              </w:rPr>
              <w:t>454</w:t>
            </w:r>
            <w:r>
              <w:rPr>
                <w:rFonts w:cs="Times New Roman"/>
                <w:sz w:val="18"/>
                <w:szCs w:val="18"/>
                <w:vertAlign w:val="superscript"/>
              </w:rPr>
              <w:t>***</w:t>
            </w:r>
          </w:p>
        </w:tc>
        <w:tc>
          <w:tcPr>
            <w:tcW w:w="1572" w:type="dxa"/>
            <w:tcBorders>
              <w:top w:val="nil"/>
              <w:left w:val="nil"/>
              <w:bottom w:val="nil"/>
              <w:right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cs="Times New Roman"/>
                <w:sz w:val="18"/>
                <w:szCs w:val="18"/>
              </w:rPr>
              <w:t>0.0</w:t>
            </w:r>
            <w:r>
              <w:rPr>
                <w:rFonts w:hint="eastAsia" w:cs="Times New Roman"/>
                <w:sz w:val="18"/>
                <w:szCs w:val="18"/>
              </w:rPr>
              <w:t>68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2305" w:type="dxa"/>
            <w:tcBorders>
              <w:top w:val="single" w:color="auto" w:sz="4" w:space="0"/>
              <w:left w:val="nil"/>
              <w:bottom w:val="nil"/>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sz w:val="18"/>
                <w:szCs w:val="18"/>
              </w:rPr>
            </w:pPr>
            <w:r>
              <w:rPr>
                <w:rFonts w:hint="eastAsia"/>
                <w:sz w:val="18"/>
                <w:szCs w:val="18"/>
              </w:rPr>
              <w:t>城乡和产业固定效应</w:t>
            </w:r>
          </w:p>
        </w:tc>
        <w:tc>
          <w:tcPr>
            <w:tcW w:w="3142" w:type="dxa"/>
            <w:gridSpan w:val="2"/>
            <w:tcBorders>
              <w:top w:val="single" w:color="auto" w:sz="4" w:space="0"/>
              <w:left w:val="nil"/>
              <w:bottom w:val="nil"/>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已控制</w:t>
            </w:r>
          </w:p>
        </w:tc>
        <w:tc>
          <w:tcPr>
            <w:tcW w:w="3143" w:type="dxa"/>
            <w:gridSpan w:val="2"/>
            <w:tcBorders>
              <w:top w:val="single" w:color="auto" w:sz="4" w:space="0"/>
              <w:left w:val="nil"/>
              <w:bottom w:val="nil"/>
              <w:right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sz w:val="18"/>
                <w:szCs w:val="18"/>
              </w:rPr>
              <w:t>不控制</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2305" w:type="dxa"/>
            <w:tcBorders>
              <w:top w:val="nil"/>
              <w:left w:val="nil"/>
              <w:bottom w:val="single" w:color="auto" w:sz="12"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sz w:val="18"/>
                <w:szCs w:val="18"/>
              </w:rPr>
            </w:pPr>
            <w:r>
              <w:rPr>
                <w:rFonts w:hint="eastAsia"/>
                <w:sz w:val="18"/>
                <w:szCs w:val="18"/>
              </w:rPr>
              <w:t>样本数</w:t>
            </w:r>
          </w:p>
        </w:tc>
        <w:tc>
          <w:tcPr>
            <w:tcW w:w="3142" w:type="dxa"/>
            <w:gridSpan w:val="2"/>
            <w:tcBorders>
              <w:top w:val="nil"/>
              <w:left w:val="nil"/>
              <w:bottom w:val="single" w:color="auto" w:sz="12"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cs="Times New Roman"/>
                <w:sz w:val="18"/>
                <w:szCs w:val="18"/>
              </w:rPr>
              <w:t>36</w:t>
            </w:r>
          </w:p>
        </w:tc>
        <w:tc>
          <w:tcPr>
            <w:tcW w:w="3143" w:type="dxa"/>
            <w:gridSpan w:val="2"/>
            <w:tcBorders>
              <w:top w:val="nil"/>
              <w:left w:val="nil"/>
              <w:bottom w:val="single" w:color="auto" w:sz="12" w:space="0"/>
              <w:right w:val="nil"/>
            </w:tcBorders>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 w:val="18"/>
                <w:szCs w:val="18"/>
              </w:rPr>
            </w:pPr>
            <w:r>
              <w:rPr>
                <w:rFonts w:hint="eastAsia" w:cs="Times New Roman"/>
                <w:sz w:val="18"/>
                <w:szCs w:val="18"/>
              </w:rPr>
              <w:t>36</w:t>
            </w:r>
          </w:p>
        </w:tc>
      </w:tr>
    </w:tbl>
    <w:p>
      <w:pPr>
        <w:ind w:firstLine="332" w:firstLineChars="200"/>
        <w:rPr>
          <w:sz w:val="18"/>
          <w:szCs w:val="20"/>
        </w:rPr>
      </w:pPr>
      <w:bookmarkStart w:id="8" w:name="_Hlk182843460"/>
      <w:r>
        <w:rPr>
          <w:rFonts w:cs="Times New Roman"/>
          <w:sz w:val="18"/>
          <w:szCs w:val="18"/>
        </w:rPr>
        <w:t>注：</w:t>
      </w:r>
      <w:r>
        <w:rPr>
          <w:rFonts w:ascii="Cambria Math" w:hAnsi="Cambria Math" w:cs="Cambria Math"/>
          <w:sz w:val="18"/>
          <w:szCs w:val="20"/>
        </w:rPr>
        <w:t>①</w:t>
      </w:r>
      <w:r>
        <w:rPr>
          <w:sz w:val="18"/>
          <w:szCs w:val="20"/>
        </w:rPr>
        <w:t>***表示1%</w:t>
      </w:r>
      <w:r>
        <w:rPr>
          <w:rFonts w:hint="eastAsia"/>
          <w:sz w:val="18"/>
          <w:szCs w:val="20"/>
        </w:rPr>
        <w:t>的显著性</w:t>
      </w:r>
      <w:r>
        <w:rPr>
          <w:sz w:val="18"/>
          <w:szCs w:val="20"/>
        </w:rPr>
        <w:t>水平。</w:t>
      </w:r>
    </w:p>
    <w:p>
      <w:pPr>
        <w:widowControl/>
        <w:overflowPunct/>
        <w:ind w:firstLine="392" w:firstLineChars="200"/>
      </w:pPr>
      <w:r>
        <w:rPr>
          <w:rFonts w:hint="eastAsia"/>
        </w:rPr>
        <w:t>估计好替代弹性和收入弹性参数后，与基准部分一致，使用相同方式对模型参数进行校准，之后就可以对整个一般均衡模型进行数值模拟。模拟结果与基准部分基本保持一致。与正文表3类似，附表4汇报了主要模拟结果。从模型对数据的拟合情况看，模型模拟的城乡名义收入差距、农业就业比重、农业实际产出比重和农业名义生产率差距与数据都非常接近，也与基准部分的模拟结果非常接近。从城乡实际收入差距看，这里测算的城乡实际收入差距缩小程度稍大，可能是由于数据中产业分类原因导致的不同产业产品替代性更强，替代弹性更大、更接近于1，使得消费结构转型过程中的价格效应偏小，由此农村居民福利受到农业价格上升的负向影响有所减小。</w:t>
      </w:r>
    </w:p>
    <w:bookmarkEnd w:id="8"/>
    <w:p>
      <w:pPr>
        <w:ind w:firstLine="332" w:firstLineChars="200"/>
        <w:jc w:val="left"/>
        <w:rPr>
          <w:rFonts w:hint="eastAsia" w:ascii="黑体" w:hAnsi="黑体" w:eastAsia="黑体" w:cs="Times New Roman"/>
          <w:sz w:val="18"/>
          <w:szCs w:val="20"/>
        </w:rPr>
      </w:pPr>
      <w:r>
        <w:rPr>
          <w:rFonts w:hint="eastAsia" w:ascii="黑体" w:hAnsi="黑体" w:eastAsia="黑体" w:cs="Times New Roman"/>
          <w:sz w:val="18"/>
          <w:szCs w:val="20"/>
        </w:rPr>
        <w:t>附表</w:t>
      </w:r>
      <w:r>
        <w:rPr>
          <w:rFonts w:hint="eastAsia" w:eastAsia="黑体" w:cs="Times New Roman"/>
          <w:sz w:val="18"/>
          <w:szCs w:val="20"/>
        </w:rPr>
        <w:t>4</w:t>
      </w:r>
      <w:r>
        <w:rPr>
          <w:rFonts w:hint="eastAsia" w:ascii="黑体" w:hAnsi="黑体" w:eastAsia="黑体" w:cs="Times New Roman"/>
          <w:sz w:val="18"/>
          <w:szCs w:val="20"/>
        </w:rPr>
        <w:t xml:space="preserve">                         一般均衡模型模拟结果（更长的投入产出表数据）</w:t>
      </w:r>
    </w:p>
    <w:tbl>
      <w:tblPr>
        <w:tblStyle w:val="95"/>
        <w:tblW w:w="8645" w:type="dxa"/>
        <w:jc w:val="center"/>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212"/>
        <w:gridCol w:w="1645"/>
        <w:gridCol w:w="1645"/>
        <w:gridCol w:w="1498"/>
        <w:gridCol w:w="1645"/>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2212" w:type="dxa"/>
            <w:vMerge w:val="restart"/>
            <w:tcBorders>
              <w:top w:val="single" w:color="auto" w:sz="12"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eastAsia="Times New Roman" w:cs="Times New Roman"/>
                <w:sz w:val="18"/>
                <w:szCs w:val="18"/>
              </w:rPr>
            </w:pPr>
          </w:p>
        </w:tc>
        <w:tc>
          <w:tcPr>
            <w:tcW w:w="3290" w:type="dxa"/>
            <w:gridSpan w:val="2"/>
            <w:tcBorders>
              <w:top w:val="single" w:color="auto" w:sz="12"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eastAsia="Times New Roman" w:cs="Times New Roman"/>
                <w:sz w:val="18"/>
                <w:szCs w:val="18"/>
              </w:rPr>
            </w:pPr>
            <w:r>
              <w:rPr>
                <w:rFonts w:hint="eastAsia" w:ascii="宋体" w:hAnsi="宋体" w:eastAsia="Times New Roman" w:cs="Times New Roman"/>
                <w:sz w:val="18"/>
                <w:szCs w:val="18"/>
              </w:rPr>
              <w:t>数据</w:t>
            </w:r>
          </w:p>
        </w:tc>
        <w:tc>
          <w:tcPr>
            <w:tcW w:w="3143" w:type="dxa"/>
            <w:gridSpan w:val="2"/>
            <w:tcBorders>
              <w:top w:val="single" w:color="auto" w:sz="12" w:space="0"/>
              <w:left w:val="nil"/>
              <w:bottom w:val="single" w:color="auto" w:sz="4" w:space="0"/>
              <w:right w:val="nil"/>
            </w:tcBorders>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eastAsia="Times New Roman" w:cs="Times New Roman"/>
                <w:sz w:val="18"/>
                <w:szCs w:val="18"/>
              </w:rPr>
            </w:pPr>
            <w:r>
              <w:rPr>
                <w:rFonts w:hint="eastAsia" w:ascii="宋体" w:hAnsi="宋体" w:eastAsia="Times New Roman" w:cs="Times New Roman"/>
                <w:sz w:val="18"/>
                <w:szCs w:val="18"/>
              </w:rPr>
              <w:t>基准模型</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2212" w:type="dxa"/>
            <w:vMerge w:val="continue"/>
            <w:tcBorders>
              <w:top w:val="single" w:color="auto" w:sz="12"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eastAsia="宋体" w:cs="Times New Roman"/>
                <w:sz w:val="18"/>
                <w:szCs w:val="18"/>
              </w:rPr>
            </w:pPr>
          </w:p>
        </w:tc>
        <w:tc>
          <w:tcPr>
            <w:tcW w:w="1645" w:type="dxa"/>
            <w:tcBorders>
              <w:top w:val="single" w:color="auto" w:sz="4" w:space="0"/>
              <w:left w:val="nil"/>
              <w:bottom w:val="single" w:color="auto" w:sz="4" w:space="0"/>
              <w:right w:val="nil"/>
            </w:tcBorders>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eastAsia="Times New Roman" w:cs="Times New Roman"/>
                <w:sz w:val="18"/>
                <w:szCs w:val="18"/>
              </w:rPr>
            </w:pPr>
            <w:r>
              <w:rPr>
                <w:rFonts w:hint="eastAsia" w:eastAsia="Times New Roman" w:cs="Times New Roman"/>
                <w:sz w:val="18"/>
                <w:szCs w:val="18"/>
              </w:rPr>
              <w:t>2001</w:t>
            </w:r>
            <w:r>
              <w:rPr>
                <w:rFonts w:hint="eastAsia" w:ascii="宋体" w:hAnsi="宋体" w:eastAsia="Times New Roman" w:cs="Times New Roman"/>
                <w:sz w:val="18"/>
                <w:szCs w:val="18"/>
              </w:rPr>
              <w:t>年</w:t>
            </w:r>
          </w:p>
        </w:tc>
        <w:tc>
          <w:tcPr>
            <w:tcW w:w="1645"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eastAsia="Times New Roman" w:cs="Times New Roman"/>
                <w:sz w:val="18"/>
                <w:szCs w:val="18"/>
              </w:rPr>
            </w:pPr>
            <w:r>
              <w:rPr>
                <w:rFonts w:hint="eastAsia" w:eastAsia="Times New Roman" w:cs="Times New Roman"/>
                <w:sz w:val="18"/>
                <w:szCs w:val="18"/>
              </w:rPr>
              <w:t>2022</w:t>
            </w:r>
            <w:r>
              <w:rPr>
                <w:rFonts w:hint="eastAsia" w:ascii="宋体" w:hAnsi="宋体" w:eastAsia="Times New Roman" w:cs="Times New Roman"/>
                <w:sz w:val="18"/>
                <w:szCs w:val="18"/>
              </w:rPr>
              <w:t>年</w:t>
            </w:r>
          </w:p>
        </w:tc>
        <w:tc>
          <w:tcPr>
            <w:tcW w:w="1498" w:type="dxa"/>
            <w:tcBorders>
              <w:top w:val="single" w:color="auto" w:sz="4" w:space="0"/>
              <w:left w:val="nil"/>
              <w:bottom w:val="single" w:color="auto" w:sz="4" w:space="0"/>
              <w:right w:val="nil"/>
            </w:tcBorders>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eastAsia="Times New Roman" w:cs="Times New Roman"/>
                <w:sz w:val="18"/>
                <w:szCs w:val="18"/>
              </w:rPr>
            </w:pPr>
            <w:r>
              <w:rPr>
                <w:rFonts w:hint="eastAsia" w:eastAsia="Times New Roman" w:cs="Times New Roman"/>
                <w:sz w:val="18"/>
                <w:szCs w:val="18"/>
              </w:rPr>
              <w:t>2001</w:t>
            </w:r>
            <w:r>
              <w:rPr>
                <w:rFonts w:hint="eastAsia" w:ascii="宋体" w:hAnsi="宋体" w:eastAsia="Times New Roman" w:cs="Times New Roman"/>
                <w:sz w:val="18"/>
                <w:szCs w:val="18"/>
              </w:rPr>
              <w:t>年</w:t>
            </w:r>
          </w:p>
        </w:tc>
        <w:tc>
          <w:tcPr>
            <w:tcW w:w="1645" w:type="dxa"/>
            <w:tcBorders>
              <w:top w:val="single" w:color="auto" w:sz="4" w:space="0"/>
              <w:left w:val="nil"/>
              <w:bottom w:val="single" w:color="auto" w:sz="4" w:space="0"/>
              <w:right w:val="nil"/>
            </w:tcBorders>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eastAsia="Times New Roman" w:cs="Times New Roman"/>
                <w:sz w:val="18"/>
                <w:szCs w:val="18"/>
              </w:rPr>
            </w:pPr>
            <w:r>
              <w:rPr>
                <w:rFonts w:hint="eastAsia" w:eastAsia="Times New Roman" w:cs="Times New Roman"/>
                <w:sz w:val="18"/>
                <w:szCs w:val="18"/>
              </w:rPr>
              <w:t>2022</w:t>
            </w:r>
            <w:r>
              <w:rPr>
                <w:rFonts w:hint="eastAsia" w:ascii="宋体" w:hAnsi="宋体" w:eastAsia="Times New Roman" w:cs="Times New Roman"/>
                <w:sz w:val="18"/>
                <w:szCs w:val="18"/>
              </w:rPr>
              <w:t>年</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2212" w:type="dxa"/>
            <w:tcBorders>
              <w:top w:val="single" w:color="auto" w:sz="4" w:space="0"/>
              <w:left w:val="nil"/>
              <w:bottom w:val="nil"/>
              <w:righ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eastAsia="Times New Roman" w:cs="Times New Roman"/>
                <w:sz w:val="18"/>
                <w:szCs w:val="18"/>
              </w:rPr>
            </w:pPr>
            <w:r>
              <w:rPr>
                <w:rFonts w:hint="eastAsia" w:ascii="宋体" w:hAnsi="宋体" w:eastAsia="Times New Roman" w:cs="Times New Roman"/>
                <w:sz w:val="18"/>
                <w:szCs w:val="18"/>
              </w:rPr>
              <w:t>城乡名义收入之比</w:t>
            </w:r>
          </w:p>
        </w:tc>
        <w:tc>
          <w:tcPr>
            <w:tcW w:w="1645" w:type="dxa"/>
            <w:tcBorders>
              <w:top w:val="single" w:color="auto" w:sz="4" w:space="0"/>
              <w:left w:val="nil"/>
              <w:bottom w:val="nil"/>
              <w:right w:val="nil"/>
            </w:tcBorders>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eastAsia="Times New Roman" w:cs="Times New Roman"/>
                <w:sz w:val="18"/>
                <w:szCs w:val="18"/>
              </w:rPr>
            </w:pPr>
            <w:r>
              <w:rPr>
                <w:rFonts w:hint="eastAsia" w:eastAsia="Times New Roman" w:cs="Times New Roman"/>
                <w:sz w:val="18"/>
                <w:szCs w:val="18"/>
              </w:rPr>
              <w:t>2.835</w:t>
            </w:r>
          </w:p>
        </w:tc>
        <w:tc>
          <w:tcPr>
            <w:tcW w:w="1645" w:type="dxa"/>
            <w:tcBorders>
              <w:top w:val="single" w:color="auto" w:sz="4" w:space="0"/>
              <w:left w:val="nil"/>
              <w:bottom w:val="nil"/>
              <w:righ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eastAsia="Times New Roman" w:cs="Times New Roman"/>
                <w:sz w:val="18"/>
                <w:szCs w:val="18"/>
              </w:rPr>
            </w:pPr>
            <w:r>
              <w:rPr>
                <w:rFonts w:hint="eastAsia" w:eastAsia="Times New Roman" w:cs="Times New Roman"/>
                <w:sz w:val="18"/>
                <w:szCs w:val="18"/>
              </w:rPr>
              <w:t>2.448</w:t>
            </w:r>
          </w:p>
        </w:tc>
        <w:tc>
          <w:tcPr>
            <w:tcW w:w="1498" w:type="dxa"/>
            <w:tcBorders>
              <w:top w:val="single" w:color="auto" w:sz="4" w:space="0"/>
              <w:left w:val="nil"/>
              <w:bottom w:val="nil"/>
              <w:right w:val="nil"/>
            </w:tcBorders>
            <w:vAlign w:val="bottom"/>
          </w:tcPr>
          <w:p>
            <w:pPr>
              <w:keepNext w:val="0"/>
              <w:keepLines w:val="0"/>
              <w:pageBreakBefore w:val="0"/>
              <w:kinsoku/>
              <w:wordWrap/>
              <w:overflowPunct/>
              <w:topLinePunct w:val="0"/>
              <w:autoSpaceDE/>
              <w:autoSpaceDN/>
              <w:bidi w:val="0"/>
              <w:adjustRightInd/>
              <w:snapToGrid/>
              <w:spacing w:line="300" w:lineRule="exact"/>
              <w:jc w:val="center"/>
              <w:textAlignment w:val="auto"/>
              <w:rPr>
                <w:rFonts w:eastAsia="Times New Roman" w:cs="Times New Roman"/>
                <w:sz w:val="18"/>
                <w:szCs w:val="18"/>
              </w:rPr>
            </w:pPr>
            <w:r>
              <w:rPr>
                <w:rFonts w:eastAsia="Times New Roman" w:cs="Times New Roman"/>
                <w:sz w:val="18"/>
                <w:szCs w:val="18"/>
              </w:rPr>
              <w:t xml:space="preserve">2.654 </w:t>
            </w:r>
          </w:p>
        </w:tc>
        <w:tc>
          <w:tcPr>
            <w:tcW w:w="1645" w:type="dxa"/>
            <w:tcBorders>
              <w:top w:val="single" w:color="auto" w:sz="4" w:space="0"/>
              <w:left w:val="nil"/>
              <w:bottom w:val="nil"/>
              <w:right w:val="nil"/>
            </w:tcBorders>
            <w:vAlign w:val="bottom"/>
          </w:tcPr>
          <w:p>
            <w:pPr>
              <w:keepNext w:val="0"/>
              <w:keepLines w:val="0"/>
              <w:pageBreakBefore w:val="0"/>
              <w:kinsoku/>
              <w:wordWrap/>
              <w:overflowPunct/>
              <w:topLinePunct w:val="0"/>
              <w:autoSpaceDE/>
              <w:autoSpaceDN/>
              <w:bidi w:val="0"/>
              <w:adjustRightInd/>
              <w:snapToGrid/>
              <w:spacing w:line="300" w:lineRule="exact"/>
              <w:jc w:val="center"/>
              <w:textAlignment w:val="auto"/>
              <w:rPr>
                <w:rFonts w:eastAsia="Times New Roman" w:cs="Times New Roman"/>
                <w:sz w:val="18"/>
                <w:szCs w:val="18"/>
              </w:rPr>
            </w:pPr>
            <w:r>
              <w:rPr>
                <w:rFonts w:eastAsia="Times New Roman" w:cs="Times New Roman"/>
                <w:sz w:val="18"/>
                <w:szCs w:val="18"/>
              </w:rPr>
              <w:t xml:space="preserve">2.448 </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2212" w:type="dxa"/>
            <w:tcBorders>
              <w:top w:val="nil"/>
              <w:left w:val="nil"/>
              <w:bottom w:val="nil"/>
              <w:righ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eastAsia="Times New Roman" w:cs="Times New Roman"/>
                <w:sz w:val="18"/>
                <w:szCs w:val="18"/>
              </w:rPr>
            </w:pPr>
            <w:r>
              <w:rPr>
                <w:rFonts w:hint="eastAsia" w:ascii="宋体" w:hAnsi="宋体" w:eastAsia="Times New Roman" w:cs="Times New Roman"/>
                <w:sz w:val="18"/>
                <w:szCs w:val="18"/>
              </w:rPr>
              <w:t>城乡实际收入之比</w:t>
            </w:r>
          </w:p>
        </w:tc>
        <w:tc>
          <w:tcPr>
            <w:tcW w:w="1645" w:type="dxa"/>
            <w:tcBorders>
              <w:top w:val="nil"/>
              <w:left w:val="nil"/>
              <w:bottom w:val="nil"/>
              <w:right w:val="nil"/>
            </w:tcBorders>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eastAsia="Times New Roman" w:cs="Times New Roman"/>
                <w:sz w:val="18"/>
                <w:szCs w:val="18"/>
              </w:rPr>
            </w:pPr>
          </w:p>
        </w:tc>
        <w:tc>
          <w:tcPr>
            <w:tcW w:w="1645" w:type="dxa"/>
            <w:tcBorders>
              <w:top w:val="nil"/>
              <w:left w:val="nil"/>
              <w:bottom w:val="nil"/>
              <w:righ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eastAsia="Times New Roman" w:cs="Times New Roman"/>
                <w:sz w:val="18"/>
                <w:szCs w:val="18"/>
              </w:rPr>
            </w:pPr>
          </w:p>
        </w:tc>
        <w:tc>
          <w:tcPr>
            <w:tcW w:w="1498" w:type="dxa"/>
            <w:tcBorders>
              <w:top w:val="nil"/>
              <w:left w:val="nil"/>
              <w:bottom w:val="nil"/>
              <w:right w:val="nil"/>
            </w:tcBorders>
            <w:vAlign w:val="bottom"/>
          </w:tcPr>
          <w:p>
            <w:pPr>
              <w:keepNext w:val="0"/>
              <w:keepLines w:val="0"/>
              <w:pageBreakBefore w:val="0"/>
              <w:kinsoku/>
              <w:wordWrap/>
              <w:overflowPunct/>
              <w:topLinePunct w:val="0"/>
              <w:autoSpaceDE/>
              <w:autoSpaceDN/>
              <w:bidi w:val="0"/>
              <w:adjustRightInd/>
              <w:snapToGrid/>
              <w:spacing w:line="300" w:lineRule="exact"/>
              <w:jc w:val="center"/>
              <w:textAlignment w:val="auto"/>
              <w:rPr>
                <w:rFonts w:eastAsia="Times New Roman" w:cs="Times New Roman"/>
                <w:sz w:val="18"/>
                <w:szCs w:val="18"/>
              </w:rPr>
            </w:pPr>
            <w:r>
              <w:rPr>
                <w:rFonts w:eastAsia="Times New Roman" w:cs="Times New Roman"/>
                <w:sz w:val="18"/>
                <w:szCs w:val="18"/>
              </w:rPr>
              <w:t xml:space="preserve">2.654 </w:t>
            </w:r>
          </w:p>
        </w:tc>
        <w:tc>
          <w:tcPr>
            <w:tcW w:w="1645" w:type="dxa"/>
            <w:tcBorders>
              <w:top w:val="nil"/>
              <w:left w:val="nil"/>
              <w:bottom w:val="nil"/>
              <w:right w:val="nil"/>
            </w:tcBorders>
            <w:vAlign w:val="bottom"/>
          </w:tcPr>
          <w:p>
            <w:pPr>
              <w:keepNext w:val="0"/>
              <w:keepLines w:val="0"/>
              <w:pageBreakBefore w:val="0"/>
              <w:kinsoku/>
              <w:wordWrap/>
              <w:overflowPunct/>
              <w:topLinePunct w:val="0"/>
              <w:autoSpaceDE/>
              <w:autoSpaceDN/>
              <w:bidi w:val="0"/>
              <w:adjustRightInd/>
              <w:snapToGrid/>
              <w:spacing w:line="300" w:lineRule="exact"/>
              <w:jc w:val="center"/>
              <w:textAlignment w:val="auto"/>
              <w:rPr>
                <w:rFonts w:eastAsia="Times New Roman" w:cs="Times New Roman"/>
                <w:sz w:val="18"/>
                <w:szCs w:val="18"/>
              </w:rPr>
            </w:pPr>
            <w:r>
              <w:rPr>
                <w:rFonts w:eastAsia="Times New Roman" w:cs="Times New Roman"/>
                <w:sz w:val="18"/>
                <w:szCs w:val="18"/>
              </w:rPr>
              <w:t xml:space="preserve">2.395 </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2212" w:type="dxa"/>
            <w:tcBorders>
              <w:top w:val="nil"/>
              <w:left w:val="nil"/>
              <w:bottom w:val="nil"/>
              <w:righ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eastAsia="Times New Roman" w:cs="Times New Roman"/>
                <w:sz w:val="18"/>
                <w:szCs w:val="18"/>
              </w:rPr>
            </w:pPr>
            <w:r>
              <w:rPr>
                <w:rFonts w:hint="eastAsia" w:ascii="宋体" w:hAnsi="宋体" w:eastAsia="Times New Roman" w:cs="Times New Roman"/>
                <w:sz w:val="18"/>
                <w:szCs w:val="18"/>
              </w:rPr>
              <w:t>农业就业比重</w:t>
            </w:r>
          </w:p>
        </w:tc>
        <w:tc>
          <w:tcPr>
            <w:tcW w:w="1645" w:type="dxa"/>
            <w:tcBorders>
              <w:top w:val="nil"/>
              <w:left w:val="nil"/>
              <w:bottom w:val="nil"/>
              <w:right w:val="nil"/>
            </w:tcBorders>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eastAsia="Times New Roman" w:cs="Times New Roman"/>
                <w:sz w:val="18"/>
                <w:szCs w:val="18"/>
              </w:rPr>
            </w:pPr>
            <w:r>
              <w:rPr>
                <w:rFonts w:hint="eastAsia" w:eastAsia="Times New Roman" w:cs="Times New Roman"/>
                <w:sz w:val="18"/>
                <w:szCs w:val="18"/>
              </w:rPr>
              <w:t>50.00%</w:t>
            </w:r>
          </w:p>
        </w:tc>
        <w:tc>
          <w:tcPr>
            <w:tcW w:w="1645" w:type="dxa"/>
            <w:tcBorders>
              <w:top w:val="nil"/>
              <w:left w:val="nil"/>
              <w:bottom w:val="nil"/>
              <w:righ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eastAsia="Times New Roman" w:cs="Times New Roman"/>
                <w:sz w:val="18"/>
                <w:szCs w:val="18"/>
              </w:rPr>
            </w:pPr>
            <w:r>
              <w:rPr>
                <w:rFonts w:hint="eastAsia" w:eastAsia="Times New Roman" w:cs="Times New Roman"/>
                <w:sz w:val="18"/>
                <w:szCs w:val="18"/>
              </w:rPr>
              <w:t>24.08%</w:t>
            </w:r>
          </w:p>
        </w:tc>
        <w:tc>
          <w:tcPr>
            <w:tcW w:w="1498" w:type="dxa"/>
            <w:tcBorders>
              <w:top w:val="nil"/>
              <w:left w:val="nil"/>
              <w:bottom w:val="nil"/>
              <w:right w:val="nil"/>
            </w:tcBorders>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eastAsia="Times New Roman" w:cs="Times New Roman"/>
                <w:sz w:val="18"/>
                <w:szCs w:val="18"/>
              </w:rPr>
            </w:pPr>
            <w:r>
              <w:rPr>
                <w:rFonts w:eastAsia="Times New Roman" w:cs="Times New Roman"/>
                <w:sz w:val="18"/>
                <w:szCs w:val="18"/>
              </w:rPr>
              <w:t>46.46%</w:t>
            </w:r>
          </w:p>
        </w:tc>
        <w:tc>
          <w:tcPr>
            <w:tcW w:w="1645" w:type="dxa"/>
            <w:tcBorders>
              <w:top w:val="nil"/>
              <w:left w:val="nil"/>
              <w:bottom w:val="nil"/>
              <w:right w:val="nil"/>
            </w:tcBorders>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eastAsia="Times New Roman" w:cs="Times New Roman"/>
                <w:sz w:val="18"/>
                <w:szCs w:val="18"/>
              </w:rPr>
            </w:pPr>
            <w:r>
              <w:rPr>
                <w:rFonts w:eastAsia="Times New Roman" w:cs="Times New Roman"/>
                <w:sz w:val="18"/>
                <w:szCs w:val="18"/>
              </w:rPr>
              <w:t>23.83%</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2212" w:type="dxa"/>
            <w:tcBorders>
              <w:top w:val="nil"/>
              <w:left w:val="nil"/>
              <w:bottom w:val="nil"/>
              <w:righ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eastAsia="Times New Roman" w:cs="Times New Roman"/>
                <w:sz w:val="18"/>
                <w:szCs w:val="18"/>
              </w:rPr>
            </w:pPr>
            <w:r>
              <w:rPr>
                <w:rFonts w:hint="eastAsia" w:ascii="宋体" w:hAnsi="宋体" w:eastAsia="Times New Roman" w:cs="Times New Roman"/>
                <w:sz w:val="18"/>
                <w:szCs w:val="18"/>
              </w:rPr>
              <w:t>农业实际产出比重</w:t>
            </w:r>
          </w:p>
        </w:tc>
        <w:tc>
          <w:tcPr>
            <w:tcW w:w="1645" w:type="dxa"/>
            <w:tcBorders>
              <w:top w:val="nil"/>
              <w:left w:val="nil"/>
              <w:bottom w:val="nil"/>
              <w:right w:val="nil"/>
            </w:tcBorders>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eastAsia="Times New Roman" w:cs="Times New Roman"/>
                <w:sz w:val="18"/>
                <w:szCs w:val="18"/>
              </w:rPr>
            </w:pPr>
            <w:r>
              <w:rPr>
                <w:rFonts w:hint="eastAsia" w:eastAsia="Times New Roman" w:cs="Times New Roman"/>
                <w:sz w:val="18"/>
                <w:szCs w:val="18"/>
              </w:rPr>
              <w:t>13.98%</w:t>
            </w:r>
          </w:p>
        </w:tc>
        <w:tc>
          <w:tcPr>
            <w:tcW w:w="1645" w:type="dxa"/>
            <w:tcBorders>
              <w:top w:val="nil"/>
              <w:left w:val="nil"/>
              <w:bottom w:val="nil"/>
              <w:righ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eastAsia="Times New Roman" w:cs="Times New Roman"/>
                <w:sz w:val="18"/>
                <w:szCs w:val="18"/>
              </w:rPr>
            </w:pPr>
            <w:r>
              <w:rPr>
                <w:rFonts w:hint="eastAsia" w:eastAsia="Times New Roman" w:cs="Times New Roman"/>
                <w:sz w:val="18"/>
                <w:szCs w:val="18"/>
              </w:rPr>
              <w:t>5.99%</w:t>
            </w:r>
          </w:p>
        </w:tc>
        <w:tc>
          <w:tcPr>
            <w:tcW w:w="1498" w:type="dxa"/>
            <w:tcBorders>
              <w:top w:val="nil"/>
              <w:left w:val="nil"/>
              <w:bottom w:val="nil"/>
              <w:right w:val="nil"/>
            </w:tcBorders>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eastAsia="Times New Roman" w:cs="Times New Roman"/>
                <w:sz w:val="18"/>
                <w:szCs w:val="18"/>
              </w:rPr>
            </w:pPr>
            <w:r>
              <w:rPr>
                <w:rFonts w:eastAsia="Times New Roman" w:cs="Times New Roman"/>
                <w:sz w:val="18"/>
                <w:szCs w:val="18"/>
              </w:rPr>
              <w:t>12.40%</w:t>
            </w:r>
          </w:p>
        </w:tc>
        <w:tc>
          <w:tcPr>
            <w:tcW w:w="1645" w:type="dxa"/>
            <w:tcBorders>
              <w:top w:val="nil"/>
              <w:left w:val="nil"/>
              <w:bottom w:val="nil"/>
              <w:right w:val="nil"/>
            </w:tcBorders>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eastAsia="Times New Roman" w:cs="Times New Roman"/>
                <w:sz w:val="18"/>
                <w:szCs w:val="18"/>
              </w:rPr>
            </w:pPr>
            <w:r>
              <w:rPr>
                <w:rFonts w:eastAsia="Times New Roman" w:cs="Times New Roman"/>
                <w:sz w:val="18"/>
                <w:szCs w:val="18"/>
              </w:rPr>
              <w:t>5.89%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jc w:val="center"/>
        </w:trPr>
        <w:tc>
          <w:tcPr>
            <w:tcW w:w="2212" w:type="dxa"/>
            <w:tcBorders>
              <w:top w:val="nil"/>
              <w:left w:val="nil"/>
              <w:bottom w:val="single" w:color="auto" w:sz="12"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eastAsia="Times New Roman" w:cs="Times New Roman"/>
                <w:sz w:val="18"/>
                <w:szCs w:val="18"/>
              </w:rPr>
            </w:pPr>
            <w:r>
              <w:rPr>
                <w:rFonts w:hint="eastAsia" w:ascii="宋体" w:hAnsi="宋体" w:eastAsia="Times New Roman" w:cs="Times New Roman"/>
                <w:sz w:val="18"/>
                <w:szCs w:val="18"/>
              </w:rPr>
              <w:t>农业名义生产率差距</w:t>
            </w:r>
          </w:p>
        </w:tc>
        <w:tc>
          <w:tcPr>
            <w:tcW w:w="1645" w:type="dxa"/>
            <w:tcBorders>
              <w:top w:val="nil"/>
              <w:left w:val="nil"/>
              <w:bottom w:val="single" w:color="auto" w:sz="12" w:space="0"/>
              <w:right w:val="nil"/>
            </w:tcBorders>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eastAsia="Times New Roman" w:cs="Times New Roman"/>
                <w:sz w:val="18"/>
                <w:szCs w:val="18"/>
              </w:rPr>
            </w:pPr>
            <w:r>
              <w:rPr>
                <w:rFonts w:hint="eastAsia" w:eastAsia="Times New Roman" w:cs="Times New Roman"/>
                <w:sz w:val="18"/>
                <w:szCs w:val="18"/>
              </w:rPr>
              <w:t>6.151</w:t>
            </w:r>
          </w:p>
        </w:tc>
        <w:tc>
          <w:tcPr>
            <w:tcW w:w="1645" w:type="dxa"/>
            <w:tcBorders>
              <w:top w:val="nil"/>
              <w:left w:val="nil"/>
              <w:bottom w:val="single" w:color="auto" w:sz="12"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eastAsia="Times New Roman" w:cs="Times New Roman"/>
                <w:sz w:val="18"/>
                <w:szCs w:val="18"/>
              </w:rPr>
            </w:pPr>
            <w:r>
              <w:rPr>
                <w:rFonts w:hint="eastAsia" w:eastAsia="Times New Roman" w:cs="Times New Roman"/>
                <w:sz w:val="18"/>
                <w:szCs w:val="18"/>
              </w:rPr>
              <w:t>4.015</w:t>
            </w:r>
          </w:p>
        </w:tc>
        <w:tc>
          <w:tcPr>
            <w:tcW w:w="1498" w:type="dxa"/>
            <w:tcBorders>
              <w:top w:val="nil"/>
              <w:left w:val="nil"/>
              <w:bottom w:val="single" w:color="auto" w:sz="12" w:space="0"/>
              <w:right w:val="nil"/>
            </w:tcBorders>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eastAsia="Times New Roman" w:cs="Times New Roman"/>
                <w:sz w:val="18"/>
                <w:szCs w:val="18"/>
              </w:rPr>
            </w:pPr>
            <w:r>
              <w:rPr>
                <w:rFonts w:eastAsia="Times New Roman" w:cs="Times New Roman"/>
                <w:sz w:val="18"/>
                <w:szCs w:val="18"/>
              </w:rPr>
              <w:t>6.130</w:t>
            </w:r>
          </w:p>
        </w:tc>
        <w:tc>
          <w:tcPr>
            <w:tcW w:w="1645" w:type="dxa"/>
            <w:tcBorders>
              <w:top w:val="nil"/>
              <w:left w:val="nil"/>
              <w:bottom w:val="single" w:color="auto" w:sz="12" w:space="0"/>
              <w:right w:val="nil"/>
            </w:tcBorders>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eastAsia="Times New Roman" w:cs="Times New Roman"/>
                <w:sz w:val="18"/>
                <w:szCs w:val="18"/>
              </w:rPr>
            </w:pPr>
            <w:r>
              <w:rPr>
                <w:rFonts w:eastAsia="Times New Roman" w:cs="Times New Roman"/>
                <w:sz w:val="18"/>
                <w:szCs w:val="18"/>
              </w:rPr>
              <w:t>4.018</w:t>
            </w:r>
          </w:p>
        </w:tc>
      </w:tr>
    </w:tbl>
    <w:p>
      <w:pPr>
        <w:widowControl/>
        <w:overflowPunct/>
        <w:spacing w:line="240" w:lineRule="auto"/>
        <w:jc w:val="left"/>
        <w:rPr>
          <w:rFonts w:cs="Times New Roman"/>
          <w:sz w:val="18"/>
          <w:szCs w:val="18"/>
        </w:rPr>
      </w:pPr>
    </w:p>
    <w:p>
      <w:pPr>
        <w:rPr>
          <w:rFonts w:hint="eastAsia"/>
          <w:lang w:val="en-US" w:eastAsia="zh-CN"/>
        </w:rPr>
      </w:pPr>
    </w:p>
    <w:p/>
    <w:p>
      <w:pPr>
        <w:pStyle w:val="96"/>
        <w:ind w:firstLine="166" w:firstLineChars="100"/>
        <w:rPr>
          <w:rFonts w:hint="eastAsia" w:ascii="宋体" w:hAnsi="宋体"/>
          <w:b/>
          <w:bCs/>
          <w:color w:val="000000"/>
          <w:sz w:val="18"/>
          <w:szCs w:val="18"/>
        </w:rPr>
      </w:pPr>
    </w:p>
    <w:p>
      <w:pPr>
        <w:keepNext w:val="0"/>
        <w:keepLines w:val="0"/>
        <w:widowControl/>
        <w:suppressLineNumbers w:val="0"/>
        <w:jc w:val="left"/>
        <w:rPr>
          <w:rFonts w:ascii="Calibri" w:hAnsi="Calibri" w:eastAsia="宋体"/>
        </w:rPr>
      </w:pPr>
      <w:r>
        <w:rPr>
          <w:rFonts w:hint="eastAsia" w:ascii="宋体" w:hAnsi="宋体" w:eastAsia="宋体" w:cs="宋体"/>
          <w:b/>
          <w:bCs/>
          <w:color w:val="FF0000"/>
          <w:kern w:val="0"/>
          <w:sz w:val="21"/>
          <w:szCs w:val="21"/>
          <w:lang w:val="en-US" w:eastAsia="zh-CN" w:bidi="ar"/>
        </w:rPr>
        <w:t>注：该附录是本刊所发表论文的组成部分，同样被视为作者在本刊公开发表的内容。如研究中使用该附录中的内容，请务必在研究成果上注明引文和下载附件出处</w:t>
      </w:r>
      <w:r>
        <w:rPr>
          <w:rFonts w:hint="eastAsia" w:ascii="宋体" w:hAnsi="宋体" w:eastAsia="宋体" w:cs="宋体"/>
          <w:color w:val="3C3C3C"/>
          <w:kern w:val="0"/>
          <w:sz w:val="21"/>
          <w:szCs w:val="21"/>
          <w:lang w:val="en-US" w:eastAsia="zh-CN" w:bidi="ar"/>
        </w:rPr>
        <w:t>。</w:t>
      </w:r>
      <w:r>
        <w:rPr>
          <w:rFonts w:hint="eastAsia" w:ascii="宋体" w:hAnsi="宋体" w:eastAsia="宋体" w:cs="宋体"/>
          <w:b/>
          <w:bCs/>
          <w:color w:val="FF0000"/>
          <w:kern w:val="0"/>
          <w:sz w:val="21"/>
          <w:szCs w:val="21"/>
          <w:lang w:val="en-US" w:eastAsia="zh-CN" w:bidi="ar"/>
        </w:rPr>
        <w:t xml:space="preserve"> </w:t>
      </w:r>
    </w:p>
    <w:p>
      <w:pPr>
        <w:keepNext w:val="0"/>
        <w:keepLines w:val="0"/>
        <w:widowControl/>
        <w:suppressLineNumbers w:val="0"/>
        <w:jc w:val="left"/>
        <w:rPr>
          <w:rFonts w:ascii="Calibri" w:hAnsi="Calibri" w:eastAsia="宋体"/>
        </w:rPr>
      </w:pPr>
      <w:r>
        <w:rPr>
          <w:rFonts w:hint="eastAsia" w:ascii="宋体" w:hAnsi="宋体" w:eastAsia="宋体" w:cs="宋体"/>
          <w:color w:val="3C3C3C"/>
          <w:kern w:val="0"/>
          <w:sz w:val="21"/>
          <w:szCs w:val="21"/>
          <w:lang w:val="en-US" w:eastAsia="zh-CN" w:bidi="ar"/>
        </w:rPr>
        <w:t xml:space="preserve">引用示例： </w:t>
      </w:r>
    </w:p>
    <w:p>
      <w:pPr>
        <w:keepNext w:val="0"/>
        <w:keepLines w:val="0"/>
        <w:widowControl/>
        <w:suppressLineNumbers w:val="0"/>
        <w:jc w:val="left"/>
        <w:rPr>
          <w:rFonts w:ascii="Calibri" w:hAnsi="Calibri" w:eastAsia="宋体"/>
        </w:rPr>
      </w:pPr>
      <w:r>
        <w:rPr>
          <w:rFonts w:ascii="黑体" w:hAnsi="宋体" w:eastAsia="黑体" w:cs="黑体"/>
          <w:color w:val="000000"/>
          <w:kern w:val="0"/>
          <w:sz w:val="21"/>
          <w:szCs w:val="21"/>
          <w:lang w:val="en-US" w:eastAsia="zh-CN" w:bidi="ar"/>
        </w:rPr>
        <w:t>参考文献引用范例</w:t>
      </w:r>
      <w:r>
        <w:rPr>
          <w:rFonts w:hint="eastAsia" w:ascii="Arial" w:hAnsi="Arial" w:eastAsia="宋体" w:cs="Arial"/>
          <w:i w:val="0"/>
          <w:iCs w:val="0"/>
          <w:caps w:val="0"/>
          <w:color w:val="333333"/>
          <w:spacing w:val="0"/>
          <w:sz w:val="21"/>
          <w:szCs w:val="21"/>
          <w:shd w:val="clear" w:fill="FFFFFF"/>
          <w:lang w:val="en-US" w:eastAsia="zh-CN"/>
        </w:rPr>
        <w:t>（具体请根据目标投稿期刊对应调整体例</w:t>
      </w:r>
      <w:r>
        <w:rPr>
          <w:rFonts w:hint="eastAsia" w:ascii="Arial" w:hAnsi="Arial" w:cs="Arial"/>
          <w:i w:val="0"/>
          <w:iCs w:val="0"/>
          <w:caps w:val="0"/>
          <w:color w:val="333333"/>
          <w:spacing w:val="0"/>
          <w:sz w:val="21"/>
          <w:szCs w:val="21"/>
          <w:shd w:val="clear" w:fill="FFFFFF"/>
          <w:lang w:val="en-US" w:eastAsia="zh-CN"/>
        </w:rPr>
        <w:t>）</w:t>
      </w:r>
      <w:r>
        <w:rPr>
          <w:rFonts w:hint="eastAsia" w:ascii="Arial" w:hAnsi="Arial" w:eastAsia="宋体" w:cs="Arial"/>
          <w:i w:val="0"/>
          <w:iCs w:val="0"/>
          <w:caps w:val="0"/>
          <w:color w:val="333333"/>
          <w:spacing w:val="0"/>
          <w:sz w:val="21"/>
          <w:szCs w:val="21"/>
          <w:shd w:val="clear" w:fill="FFFFFF"/>
          <w:lang w:val="en-US" w:eastAsia="zh-CN"/>
        </w:rPr>
        <w:t xml:space="preserve">： </w:t>
      </w:r>
    </w:p>
    <w:p>
      <w:pPr>
        <w:keepNext w:val="0"/>
        <w:keepLines w:val="0"/>
        <w:widowControl/>
        <w:suppressLineNumbers w:val="0"/>
        <w:jc w:val="left"/>
        <w:rPr>
          <w:rFonts w:hint="default" w:ascii="Times New Roman" w:hAnsi="Times New Roman" w:eastAsia="宋体" w:cs="Times New Roman"/>
          <w:color w:val="000000"/>
          <w:spacing w:val="-2"/>
          <w:kern w:val="0"/>
          <w:sz w:val="21"/>
          <w:szCs w:val="21"/>
          <w:lang w:val="en-US" w:eastAsia="zh-CN" w:bidi="ar"/>
        </w:rPr>
      </w:pPr>
      <w:r>
        <w:rPr>
          <w:rFonts w:hint="eastAsia" w:ascii="宋体" w:hAnsi="宋体" w:eastAsia="宋体" w:cs="宋体"/>
          <w:color w:val="000000"/>
          <w:spacing w:val="-2"/>
          <w:kern w:val="0"/>
          <w:sz w:val="21"/>
          <w:szCs w:val="21"/>
          <w:lang w:val="en-US" w:eastAsia="zh-CN" w:bidi="ar"/>
        </w:rPr>
        <w:t>[</w:t>
      </w:r>
      <w:r>
        <w:rPr>
          <w:rFonts w:hint="default" w:ascii="Times New Roman" w:hAnsi="Times New Roman" w:eastAsia="宋体" w:cs="Times New Roman"/>
          <w:color w:val="000000"/>
          <w:spacing w:val="-2"/>
          <w:kern w:val="0"/>
          <w:sz w:val="21"/>
          <w:szCs w:val="21"/>
          <w:lang w:val="en-US" w:eastAsia="zh-CN" w:bidi="ar"/>
        </w:rPr>
        <w:t>1</w:t>
      </w:r>
      <w:r>
        <w:rPr>
          <w:rFonts w:hint="eastAsia" w:ascii="宋体" w:hAnsi="宋体" w:eastAsia="宋体" w:cs="宋体"/>
          <w:color w:val="000000"/>
          <w:spacing w:val="-2"/>
          <w:kern w:val="0"/>
          <w:sz w:val="21"/>
          <w:szCs w:val="21"/>
          <w:lang w:val="en-US" w:eastAsia="zh-CN" w:bidi="ar"/>
        </w:rPr>
        <w:t>]</w:t>
      </w:r>
      <w:r>
        <w:rPr>
          <w:rFonts w:ascii="Arial" w:hAnsi="Arial" w:eastAsia="宋体" w:cs="Arial"/>
          <w:i w:val="0"/>
          <w:iCs w:val="0"/>
          <w:caps w:val="0"/>
          <w:color w:val="333333"/>
          <w:spacing w:val="-2"/>
          <w:sz w:val="21"/>
          <w:szCs w:val="21"/>
          <w:shd w:val="clear" w:fill="FFFFFF"/>
        </w:rPr>
        <w:t>王术坤</w:t>
      </w:r>
      <w:r>
        <w:rPr>
          <w:rFonts w:hint="eastAsia" w:ascii="Arial" w:hAnsi="Arial" w:eastAsia="宋体" w:cs="Arial"/>
          <w:i w:val="0"/>
          <w:iCs w:val="0"/>
          <w:caps w:val="0"/>
          <w:color w:val="333333"/>
          <w:spacing w:val="-2"/>
          <w:sz w:val="21"/>
          <w:szCs w:val="21"/>
          <w:shd w:val="clear" w:fill="FFFFFF"/>
          <w:lang w:eastAsia="zh-CN"/>
        </w:rPr>
        <w:t>、</w:t>
      </w:r>
      <w:r>
        <w:rPr>
          <w:rFonts w:ascii="Arial" w:hAnsi="Arial" w:eastAsia="宋体" w:cs="Arial"/>
          <w:i w:val="0"/>
          <w:iCs w:val="0"/>
          <w:caps w:val="0"/>
          <w:color w:val="333333"/>
          <w:spacing w:val="-2"/>
          <w:sz w:val="21"/>
          <w:szCs w:val="21"/>
          <w:shd w:val="clear" w:fill="FFFFFF"/>
        </w:rPr>
        <w:t>林文声</w:t>
      </w:r>
      <w:r>
        <w:rPr>
          <w:rFonts w:hint="default" w:ascii="Times New Roman" w:hAnsi="Times New Roman" w:eastAsia="宋体" w:cs="Times New Roman"/>
          <w:i w:val="0"/>
          <w:iCs w:val="0"/>
          <w:caps w:val="0"/>
          <w:color w:val="333333"/>
          <w:spacing w:val="-2"/>
          <w:sz w:val="21"/>
          <w:szCs w:val="21"/>
          <w:shd w:val="clear" w:fill="FFFFFF"/>
          <w:lang w:eastAsia="zh-CN"/>
        </w:rPr>
        <w:t>，</w:t>
      </w:r>
      <w:r>
        <w:rPr>
          <w:rFonts w:hint="default" w:ascii="Times New Roman" w:hAnsi="Times New Roman" w:eastAsia="宋体" w:cs="Times New Roman"/>
          <w:i w:val="0"/>
          <w:iCs w:val="0"/>
          <w:caps w:val="0"/>
          <w:color w:val="333333"/>
          <w:spacing w:val="-2"/>
          <w:sz w:val="21"/>
          <w:szCs w:val="21"/>
          <w:shd w:val="clear" w:fill="FFFFFF"/>
          <w:lang w:val="en-US" w:eastAsia="zh-CN"/>
        </w:rPr>
        <w:t>202</w:t>
      </w:r>
      <w:r>
        <w:rPr>
          <w:rFonts w:hint="eastAsia" w:ascii="Times New Roman" w:hAnsi="Times New Roman" w:eastAsia="宋体" w:cs="Times New Roman"/>
          <w:i w:val="0"/>
          <w:iCs w:val="0"/>
          <w:caps w:val="0"/>
          <w:color w:val="333333"/>
          <w:spacing w:val="-2"/>
          <w:sz w:val="21"/>
          <w:szCs w:val="21"/>
          <w:shd w:val="clear" w:fill="FFFFFF"/>
          <w:lang w:val="en-US" w:eastAsia="zh-CN"/>
        </w:rPr>
        <w:t>3</w:t>
      </w:r>
      <w:r>
        <w:rPr>
          <w:rFonts w:hint="default" w:ascii="Times New Roman" w:hAnsi="Times New Roman" w:eastAsia="宋体" w:cs="Times New Roman"/>
          <w:i w:val="0"/>
          <w:iCs w:val="0"/>
          <w:caps w:val="0"/>
          <w:color w:val="333333"/>
          <w:spacing w:val="-2"/>
          <w:sz w:val="21"/>
          <w:szCs w:val="21"/>
          <w:shd w:val="clear" w:fill="FFFFFF"/>
          <w:lang w:val="en-US" w:eastAsia="zh-CN"/>
        </w:rPr>
        <w:t>：《</w:t>
      </w:r>
      <w:r>
        <w:rPr>
          <w:rFonts w:hint="default" w:ascii="Times New Roman" w:hAnsi="Times New Roman" w:eastAsia="宋体" w:cs="Times New Roman"/>
          <w:i w:val="0"/>
          <w:iCs w:val="0"/>
          <w:caps w:val="0"/>
          <w:color w:val="333333"/>
          <w:spacing w:val="-2"/>
          <w:sz w:val="21"/>
          <w:szCs w:val="21"/>
          <w:shd w:val="clear" w:fill="FFFFFF"/>
        </w:rPr>
        <w:t>高标准农田建设的农地流转市场转型效应</w:t>
      </w:r>
      <w:r>
        <w:rPr>
          <w:rFonts w:hint="default" w:ascii="Times New Roman" w:hAnsi="Times New Roman" w:eastAsia="宋体" w:cs="Times New Roman"/>
          <w:i w:val="0"/>
          <w:iCs w:val="0"/>
          <w:caps w:val="0"/>
          <w:color w:val="333333"/>
          <w:spacing w:val="-2"/>
          <w:sz w:val="21"/>
          <w:szCs w:val="21"/>
          <w:shd w:val="clear" w:fill="FFFFFF"/>
          <w:lang w:val="en-US" w:eastAsia="zh-CN"/>
        </w:rPr>
        <w:t>》</w:t>
      </w:r>
      <w:r>
        <w:rPr>
          <w:rFonts w:hint="default" w:ascii="Times New Roman" w:hAnsi="Times New Roman" w:eastAsia="宋体" w:cs="Times New Roman"/>
          <w:i w:val="0"/>
          <w:iCs w:val="0"/>
          <w:caps w:val="0"/>
          <w:color w:val="333333"/>
          <w:spacing w:val="-2"/>
          <w:sz w:val="21"/>
          <w:szCs w:val="21"/>
          <w:shd w:val="clear" w:fill="FFFFFF"/>
          <w:lang w:eastAsia="zh-CN"/>
        </w:rPr>
        <w:t>，《</w:t>
      </w:r>
      <w:r>
        <w:rPr>
          <w:rFonts w:hint="default" w:ascii="Times New Roman" w:hAnsi="Times New Roman" w:eastAsia="宋体" w:cs="Times New Roman"/>
          <w:i w:val="0"/>
          <w:iCs w:val="0"/>
          <w:caps w:val="0"/>
          <w:color w:val="333333"/>
          <w:spacing w:val="-2"/>
          <w:sz w:val="21"/>
          <w:szCs w:val="21"/>
          <w:shd w:val="clear" w:fill="FFFFFF"/>
        </w:rPr>
        <w:t>中国农村经济</w:t>
      </w:r>
      <w:r>
        <w:rPr>
          <w:rFonts w:hint="default" w:ascii="Times New Roman" w:hAnsi="Times New Roman" w:eastAsia="宋体" w:cs="Times New Roman"/>
          <w:i w:val="0"/>
          <w:iCs w:val="0"/>
          <w:caps w:val="0"/>
          <w:color w:val="333333"/>
          <w:spacing w:val="-2"/>
          <w:sz w:val="21"/>
          <w:szCs w:val="21"/>
          <w:shd w:val="clear" w:fill="FFFFFF"/>
          <w:lang w:eastAsia="zh-CN"/>
        </w:rPr>
        <w:t>》</w:t>
      </w:r>
      <w:r>
        <w:rPr>
          <w:rFonts w:hint="default" w:ascii="Times New Roman" w:hAnsi="Times New Roman" w:eastAsia="宋体" w:cs="Times New Roman"/>
          <w:i w:val="0"/>
          <w:iCs w:val="0"/>
          <w:caps w:val="0"/>
          <w:color w:val="333333"/>
          <w:spacing w:val="-2"/>
          <w:sz w:val="21"/>
          <w:szCs w:val="21"/>
          <w:shd w:val="clear" w:fill="FFFFFF"/>
          <w:lang w:val="en-US" w:eastAsia="zh-CN"/>
        </w:rPr>
        <w:t>第1</w:t>
      </w:r>
      <w:r>
        <w:rPr>
          <w:rFonts w:hint="eastAsia" w:ascii="Times New Roman" w:hAnsi="Times New Roman" w:eastAsia="宋体" w:cs="Times New Roman"/>
          <w:i w:val="0"/>
          <w:iCs w:val="0"/>
          <w:caps w:val="0"/>
          <w:color w:val="333333"/>
          <w:spacing w:val="-2"/>
          <w:sz w:val="21"/>
          <w:szCs w:val="21"/>
          <w:shd w:val="clear" w:fill="FFFFFF"/>
          <w:lang w:val="en-US" w:eastAsia="zh-CN"/>
        </w:rPr>
        <w:t>2</w:t>
      </w:r>
      <w:r>
        <w:rPr>
          <w:rFonts w:hint="default" w:ascii="Times New Roman" w:hAnsi="Times New Roman" w:eastAsia="宋体" w:cs="Times New Roman"/>
          <w:i w:val="0"/>
          <w:iCs w:val="0"/>
          <w:caps w:val="0"/>
          <w:color w:val="333333"/>
          <w:spacing w:val="-2"/>
          <w:sz w:val="21"/>
          <w:szCs w:val="21"/>
          <w:shd w:val="clear" w:fill="FFFFFF"/>
          <w:lang w:val="en-US" w:eastAsia="zh-CN"/>
        </w:rPr>
        <w:t>期，第</w:t>
      </w:r>
      <w:r>
        <w:rPr>
          <w:rFonts w:hint="default" w:ascii="Times New Roman" w:hAnsi="Times New Roman" w:eastAsia="宋体" w:cs="Times New Roman"/>
          <w:i w:val="0"/>
          <w:iCs w:val="0"/>
          <w:caps w:val="0"/>
          <w:color w:val="333333"/>
          <w:spacing w:val="-2"/>
          <w:sz w:val="21"/>
          <w:szCs w:val="21"/>
          <w:shd w:val="clear" w:fill="FFFFFF"/>
        </w:rPr>
        <w:t>23-43</w:t>
      </w:r>
      <w:r>
        <w:rPr>
          <w:rFonts w:hint="default" w:ascii="Times New Roman" w:hAnsi="Times New Roman" w:eastAsia="宋体" w:cs="Times New Roman"/>
          <w:i w:val="0"/>
          <w:iCs w:val="0"/>
          <w:caps w:val="0"/>
          <w:color w:val="333333"/>
          <w:spacing w:val="-2"/>
          <w:sz w:val="21"/>
          <w:szCs w:val="21"/>
          <w:shd w:val="clear" w:fill="FFFFFF"/>
          <w:lang w:val="en-US" w:eastAsia="zh-CN"/>
        </w:rPr>
        <w:t>页</w:t>
      </w:r>
      <w:r>
        <w:rPr>
          <w:rFonts w:hint="default" w:ascii="Times New Roman" w:hAnsi="Times New Roman" w:eastAsia="宋体" w:cs="Times New Roman"/>
          <w:i w:val="0"/>
          <w:iCs w:val="0"/>
          <w:caps w:val="0"/>
          <w:color w:val="333333"/>
          <w:spacing w:val="-2"/>
          <w:sz w:val="21"/>
          <w:szCs w:val="21"/>
          <w:shd w:val="clear" w:fill="FFFFFF"/>
          <w:lang w:eastAsia="zh-CN"/>
        </w:rPr>
        <w:t>。</w:t>
      </w:r>
    </w:p>
    <w:p>
      <w:pPr>
        <w:keepNext w:val="0"/>
        <w:keepLines w:val="0"/>
        <w:widowControl/>
        <w:suppressLineNumbers w:val="0"/>
        <w:jc w:val="left"/>
        <w:rPr>
          <w:rFonts w:hint="eastAsia" w:ascii="黑体" w:hAnsi="宋体" w:eastAsia="黑体" w:cs="黑体"/>
          <w:color w:val="000000"/>
          <w:kern w:val="0"/>
          <w:sz w:val="21"/>
          <w:szCs w:val="21"/>
          <w:lang w:val="en-US" w:eastAsia="zh-CN" w:bidi="ar"/>
        </w:rPr>
      </w:pPr>
    </w:p>
    <w:p>
      <w:pPr>
        <w:keepNext w:val="0"/>
        <w:keepLines w:val="0"/>
        <w:widowControl/>
        <w:suppressLineNumbers w:val="0"/>
        <w:jc w:val="left"/>
        <w:rPr>
          <w:rFonts w:ascii="Calibri" w:hAnsi="Calibri" w:eastAsia="宋体"/>
        </w:rPr>
      </w:pPr>
      <w:r>
        <w:rPr>
          <w:rFonts w:hint="eastAsia" w:ascii="黑体" w:hAnsi="宋体" w:eastAsia="黑体" w:cs="黑体"/>
          <w:color w:val="000000"/>
          <w:kern w:val="0"/>
          <w:sz w:val="21"/>
          <w:szCs w:val="21"/>
          <w:lang w:val="en-US" w:eastAsia="zh-CN" w:bidi="ar"/>
        </w:rPr>
        <w:t>如果研究中使用了未在《中国农村经济》纸质版刊发、但在杂志网站上正式公开发表的数字内容（包括数据、程序、附录文件），请务必在研究成果正文中注明：</w:t>
      </w:r>
    </w:p>
    <w:p>
      <w:pPr>
        <w:keepNext w:val="0"/>
        <w:keepLines w:val="0"/>
        <w:pageBreakBefore w:val="0"/>
        <w:widowControl w:val="0"/>
        <w:kinsoku/>
        <w:wordWrap/>
        <w:overflowPunct/>
        <w:topLinePunct w:val="0"/>
        <w:autoSpaceDE/>
        <w:autoSpaceDN/>
        <w:bidi w:val="0"/>
        <w:adjustRightInd/>
        <w:snapToGrid/>
        <w:spacing w:before="157" w:beforeLines="50"/>
        <w:textAlignment w:val="auto"/>
        <w:rPr>
          <w:rFonts w:ascii="Calibri" w:hAnsi="Calibri" w:eastAsia="宋体"/>
          <w:spacing w:val="-1"/>
        </w:rPr>
      </w:pPr>
      <w:r>
        <w:rPr>
          <w:rFonts w:hint="eastAsia" w:ascii="Calibri" w:hAnsi="Calibri" w:eastAsia="宋体"/>
          <w:spacing w:val="-1"/>
        </w:rPr>
        <w:t>某数据（及程序等或其他材料</w:t>
      </w:r>
      <w:r>
        <w:rPr>
          <w:rFonts w:hint="eastAsia" w:ascii="Calibri" w:hAnsi="Calibri"/>
          <w:spacing w:val="-1"/>
          <w:lang w:eastAsia="zh-CN"/>
        </w:rPr>
        <w:t>）</w:t>
      </w:r>
      <w:r>
        <w:rPr>
          <w:rFonts w:hint="eastAsia" w:ascii="Calibri" w:hAnsi="Calibri" w:eastAsia="宋体"/>
          <w:spacing w:val="-1"/>
        </w:rPr>
        <w:t>来自</w:t>
      </w:r>
      <w:r>
        <w:rPr>
          <w:rFonts w:ascii="Arial" w:hAnsi="Arial" w:eastAsia="宋体" w:cs="Arial"/>
          <w:i w:val="0"/>
          <w:iCs w:val="0"/>
          <w:caps w:val="0"/>
          <w:color w:val="333333"/>
          <w:spacing w:val="-1"/>
          <w:sz w:val="21"/>
          <w:szCs w:val="21"/>
          <w:shd w:val="clear" w:fill="FFFFFF"/>
        </w:rPr>
        <w:t>王术坤</w:t>
      </w:r>
      <w:r>
        <w:rPr>
          <w:rFonts w:hint="eastAsia" w:ascii="Arial" w:hAnsi="Arial" w:eastAsia="宋体" w:cs="Arial"/>
          <w:i w:val="0"/>
          <w:iCs w:val="0"/>
          <w:caps w:val="0"/>
          <w:color w:val="333333"/>
          <w:spacing w:val="-1"/>
          <w:sz w:val="21"/>
          <w:szCs w:val="21"/>
          <w:shd w:val="clear" w:fill="FFFFFF"/>
          <w:lang w:eastAsia="zh-CN"/>
        </w:rPr>
        <w:t>、</w:t>
      </w:r>
      <w:r>
        <w:rPr>
          <w:rFonts w:ascii="Arial" w:hAnsi="Arial" w:eastAsia="宋体" w:cs="Arial"/>
          <w:i w:val="0"/>
          <w:iCs w:val="0"/>
          <w:caps w:val="0"/>
          <w:color w:val="333333"/>
          <w:spacing w:val="-1"/>
          <w:sz w:val="21"/>
          <w:szCs w:val="21"/>
          <w:shd w:val="clear" w:fill="FFFFFF"/>
        </w:rPr>
        <w:t>林文声</w:t>
      </w:r>
      <w:r>
        <w:rPr>
          <w:rFonts w:hint="eastAsia" w:ascii="Calibri" w:hAnsi="Calibri" w:eastAsia="宋体"/>
          <w:spacing w:val="-1"/>
        </w:rPr>
        <w:t>（</w:t>
      </w:r>
      <w:r>
        <w:rPr>
          <w:rFonts w:hint="eastAsia" w:ascii="Times New Roman" w:hAnsi="Times New Roman" w:eastAsia="宋体" w:cs="Times New Roman"/>
          <w:i w:val="0"/>
          <w:iCs w:val="0"/>
          <w:caps w:val="0"/>
          <w:color w:val="333333"/>
          <w:spacing w:val="-1"/>
          <w:sz w:val="21"/>
          <w:szCs w:val="21"/>
          <w:shd w:val="clear" w:fill="FFFFFF"/>
          <w:lang w:val="en-US" w:eastAsia="zh-CN"/>
        </w:rPr>
        <w:t>2023</w:t>
      </w:r>
      <w:r>
        <w:rPr>
          <w:rFonts w:hint="eastAsia" w:cs="Times New Roman"/>
          <w:i w:val="0"/>
          <w:iCs w:val="0"/>
          <w:caps w:val="0"/>
          <w:color w:val="333333"/>
          <w:spacing w:val="-1"/>
          <w:sz w:val="21"/>
          <w:szCs w:val="21"/>
          <w:shd w:val="clear" w:fill="FFFFFF"/>
          <w:lang w:val="en-US" w:eastAsia="zh-CN"/>
        </w:rPr>
        <w:t>）</w:t>
      </w:r>
      <w:r>
        <w:rPr>
          <w:rFonts w:hint="eastAsia" w:ascii="Calibri" w:hAnsi="Calibri" w:eastAsia="宋体"/>
          <w:spacing w:val="-1"/>
        </w:rPr>
        <w:t>，详见《中国农村经济》网站（</w:t>
      </w:r>
      <w:r>
        <w:rPr>
          <w:rFonts w:hint="default" w:ascii="Times New Roman" w:hAnsi="Times New Roman" w:eastAsia="宋体" w:cs="Times New Roman"/>
          <w:spacing w:val="-1"/>
        </w:rPr>
        <w:t>zgncjj.ajcass.</w:t>
      </w:r>
      <w:r>
        <w:rPr>
          <w:rFonts w:hint="eastAsia" w:eastAsia="宋体" w:cs="Times New Roman"/>
          <w:spacing w:val="-1"/>
          <w:lang w:val="en-US" w:eastAsia="zh-CN"/>
        </w:rPr>
        <w:t>com</w:t>
      </w:r>
      <w:r>
        <w:rPr>
          <w:rFonts w:hint="eastAsia" w:ascii="Calibri" w:hAnsi="Calibri"/>
          <w:spacing w:val="-1"/>
          <w:lang w:eastAsia="zh-CN"/>
        </w:rPr>
        <w:t>）</w:t>
      </w:r>
      <w:r>
        <w:rPr>
          <w:rFonts w:hint="eastAsia" w:ascii="Calibri" w:hAnsi="Calibri" w:eastAsia="宋体"/>
          <w:spacing w:val="-1"/>
        </w:rPr>
        <w:t>该文的</w:t>
      </w:r>
      <w:r>
        <w:rPr>
          <w:rFonts w:hint="eastAsia" w:ascii="Calibri" w:hAnsi="Calibri" w:eastAsia="宋体"/>
          <w:spacing w:val="-1"/>
          <w:lang w:val="en-US" w:eastAsia="zh-CN"/>
        </w:rPr>
        <w:t>对应</w:t>
      </w:r>
      <w:r>
        <w:rPr>
          <w:rFonts w:hint="eastAsia" w:ascii="Calibri" w:hAnsi="Calibri" w:eastAsia="宋体"/>
          <w:spacing w:val="-1"/>
        </w:rPr>
        <w:t>附件。</w:t>
      </w:r>
    </w:p>
    <w:p>
      <w:pPr>
        <w:keepNext w:val="0"/>
        <w:keepLines w:val="0"/>
        <w:pageBreakBefore w:val="0"/>
        <w:widowControl w:val="0"/>
        <w:kinsoku/>
        <w:wordWrap/>
        <w:overflowPunct/>
        <w:topLinePunct w:val="0"/>
        <w:autoSpaceDE/>
        <w:autoSpaceDN/>
        <w:bidi w:val="0"/>
        <w:adjustRightInd/>
        <w:snapToGrid/>
        <w:spacing w:line="240" w:lineRule="atLeast"/>
        <w:jc w:val="both"/>
        <w:textAlignment w:val="auto"/>
        <w:rPr>
          <w:rFonts w:hint="eastAsia"/>
          <w:lang w:val="en-US" w:eastAsia="zh-CN"/>
        </w:rPr>
      </w:pPr>
    </w:p>
    <w:sectPr>
      <w:headerReference r:id="rId5" w:type="first"/>
      <w:footerReference r:id="rId7" w:type="first"/>
      <w:headerReference r:id="rId4" w:type="default"/>
      <w:footerReference r:id="rId6" w:type="default"/>
      <w:footnotePr>
        <w:numFmt w:val="decimalEnclosedCircleChinese"/>
        <w:numRestart w:val="eachPage"/>
      </w:footnotePr>
      <w:pgSz w:w="11906" w:h="16838"/>
      <w:pgMar w:top="2154" w:right="1644" w:bottom="2268" w:left="1644" w:header="1701" w:footer="1814" w:gutter="0"/>
      <w:pgBorders>
        <w:top w:val="none" w:sz="0" w:space="0"/>
        <w:left w:val="none" w:sz="0" w:space="0"/>
        <w:bottom w:val="none" w:sz="0" w:space="0"/>
        <w:right w:val="none" w:sz="0" w:space="0"/>
      </w:pgBorders>
      <w:pgNumType w:fmt="numberInDash"/>
      <w:cols w:space="0" w:num="1"/>
      <w:titlePg/>
      <w:docGrid w:type="linesAndChars" w:linePitch="365" w:charSpace="-28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Narrow">
    <w:altName w:val="Arial"/>
    <w:panose1 w:val="020B0606020202030204"/>
    <w:charset w:val="00"/>
    <w:family w:val="swiss"/>
    <w:pitch w:val="default"/>
    <w:sig w:usb0="00000000" w:usb1="00000000" w:usb2="00000000" w:usb3="00000000" w:csb0="2000009F" w:csb1="DFD70000"/>
  </w:font>
  <w:font w:name="仿宋_GB2312">
    <w:altName w:val="仿宋"/>
    <w:panose1 w:val="02010609030101010101"/>
    <w:charset w:val="86"/>
    <w:family w:val="modern"/>
    <w:pitch w:val="default"/>
    <w:sig w:usb0="00000000" w:usb1="00000000" w:usb2="00000000" w:usb3="00000000" w:csb0="00000000" w:csb1="00000000"/>
  </w:font>
  <w:font w:name="monospace">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Times New Roman Regular">
    <w:altName w:val="Times New Roman"/>
    <w:panose1 w:val="02020603050405020304"/>
    <w:charset w:val="00"/>
    <w:family w:val="auto"/>
    <w:pitch w:val="default"/>
    <w:sig w:usb0="00000000" w:usb1="00000000" w:usb2="00000009" w:usb3="00000000" w:csb0="400001FF" w:csb1="FFFF0000"/>
  </w:font>
  <w:font w:name="Cambria">
    <w:panose1 w:val="02040503050406030204"/>
    <w:charset w:val="00"/>
    <w:family w:val="roman"/>
    <w:pitch w:val="default"/>
    <w:sig w:usb0="E00006FF" w:usb1="420024FF" w:usb2="02000000" w:usb3="00000000" w:csb0="2000019F" w:csb1="00000000"/>
  </w:font>
  <w:font w:name="Times">
    <w:altName w:val="Times New Roman"/>
    <w:panose1 w:val="00000000000000000000"/>
    <w:charset w:val="00"/>
    <w:family w:val="roman"/>
    <w:pitch w:val="default"/>
    <w:sig w:usb0="00000000" w:usb1="00000000" w:usb2="00000009" w:usb3="00000000" w:csb0="0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等线 Light">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 w:name="微软雅黑 Light">
    <w:panose1 w:val="020B0502040204020203"/>
    <w:charset w:val="86"/>
    <w:family w:val="auto"/>
    <w:pitch w:val="default"/>
    <w:sig w:usb0="80000287" w:usb1="2ACF0010" w:usb2="00000016" w:usb3="00000000" w:csb0="0004001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pPr>
    <w: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06" name="文本框 20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rPr>
                              <w:rFonts w:ascii="Times New Roman" w:hAnsi="Times New Roman" w:cs="Times New Roman"/>
                            </w:rPr>
                            <w:id w:val="198434410"/>
                          </w:sdtPr>
                          <w:sdtEndPr>
                            <w:rPr>
                              <w:rFonts w:ascii="Times New Roman" w:hAnsi="Times New Roman" w:cs="Times New Roman"/>
                            </w:rPr>
                          </w:sdtEndPr>
                          <w:sdtContent>
                            <w:p>
                              <w:pPr>
                                <w:pStyle w:val="14"/>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2</w:t>
                              </w:r>
                              <w:r>
                                <w:rPr>
                                  <w:rFonts w:ascii="Times New Roman" w:hAnsi="Times New Roman" w:cs="Times New Roman"/>
                                </w:rPr>
                                <w:fldChar w:fldCharType="end"/>
                              </w:r>
                            </w:p>
                          </w:sdtContent>
                        </w:sdt>
                        <w:p>
                          <w:pPr>
                            <w:pStyle w:val="10"/>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zSVju0AAAAAUBAAAPAAAAAAAAAAEAIAAAACIA&#10;AABkcnMvZG93bnJldi54bWxQSwECFAAUAAAACACHTuJAfrCbshECAAALBAAADgAAAAAAAAABACAA&#10;AAAfAQAAZHJzL2Uyb0RvYy54bWxQSwUGAAAAAAYABgBZAQAAogUAAAAA&#10;">
              <v:fill on="f" focussize="0,0"/>
              <v:stroke on="f" weight="0.5pt"/>
              <v:imagedata o:title=""/>
              <o:lock v:ext="edit" aspectratio="f"/>
              <v:textbox inset="0mm,0mm,0mm,0mm" style="mso-fit-shape-to-text:t;">
                <w:txbxContent>
                  <w:sdt>
                    <w:sdtPr>
                      <w:rPr>
                        <w:rFonts w:ascii="Times New Roman" w:hAnsi="Times New Roman" w:cs="Times New Roman"/>
                      </w:rPr>
                      <w:id w:val="198434410"/>
                    </w:sdtPr>
                    <w:sdtEndPr>
                      <w:rPr>
                        <w:rFonts w:ascii="Times New Roman" w:hAnsi="Times New Roman" w:cs="Times New Roman"/>
                      </w:rPr>
                    </w:sdtEndPr>
                    <w:sdtContent>
                      <w:p>
                        <w:pPr>
                          <w:pStyle w:val="14"/>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2</w:t>
                        </w:r>
                        <w:r>
                          <w:rPr>
                            <w:rFonts w:ascii="Times New Roman" w:hAnsi="Times New Roman" w:cs="Times New Roman"/>
                          </w:rPr>
                          <w:fldChar w:fldCharType="end"/>
                        </w:r>
                      </w:p>
                    </w:sdtContent>
                  </w:sdt>
                  <w:p>
                    <w:pPr>
                      <w:pStyle w:val="10"/>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mc:AlternateContent>
        <mc:Choice Requires="wps">
          <w:drawing>
            <wp:anchor distT="0" distB="0" distL="114300" distR="114300" simplePos="0" relativeHeight="251666432" behindDoc="0" locked="0" layoutInCell="1" allowOverlap="1">
              <wp:simplePos x="0" y="0"/>
              <wp:positionH relativeFrom="margin">
                <wp:align>outside</wp:align>
              </wp:positionH>
              <wp:positionV relativeFrom="paragraph">
                <wp:posOffset>0</wp:posOffset>
              </wp:positionV>
              <wp:extent cx="1828800" cy="1828800"/>
              <wp:effectExtent l="0" t="0" r="0" b="0"/>
              <wp:wrapNone/>
              <wp:docPr id="205" name="文本框 20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- 1 -</w:t>
                          </w:r>
                          <w:r>
                            <w:rPr>
                              <w:rFonts w:ascii="Times New Roman" w:hAnsi="Times New Roman" w:cs="Times New Roma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xQ71USAgAACwQAAA4AAAAAAAAAAQAg&#10;AAAAHwEAAGRycy9lMm9Eb2MueG1sUEsFBgAAAAAGAAYAWQEAAKMFAAAAAA==&#10;">
              <v:fill on="f" focussize="0,0"/>
              <v:stroke on="f" weight="0.5pt"/>
              <v:imagedata o:title=""/>
              <o:lock v:ext="edit" aspectratio="f"/>
              <v:textbox inset="0mm,0mm,0mm,0mm" style="mso-fit-shape-to-text:t;">
                <w:txbxContent>
                  <w:p>
                    <w:pPr>
                      <w:pStyle w:val="14"/>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- 1 -</w:t>
                    </w:r>
                    <w:r>
                      <w:rPr>
                        <w:rFonts w:ascii="Times New Roman" w:hAnsi="Times New Roman" w:cs="Times New Roma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id="0">
    <w:p>
      <w:pPr>
        <w:keepNext w:val="0"/>
        <w:keepLines w:val="0"/>
        <w:pageBreakBefore w:val="0"/>
        <w:widowControl w:val="0"/>
        <w:kinsoku/>
        <w:wordWrap/>
        <w:overflowPunct/>
        <w:topLinePunct w:val="0"/>
        <w:autoSpaceDE/>
        <w:autoSpaceDN/>
        <w:bidi w:val="0"/>
        <w:adjustRightInd/>
        <w:snapToGrid/>
        <w:spacing w:line="240" w:lineRule="atLeast"/>
        <w:jc w:val="both"/>
        <w:textAlignment w:val="auto"/>
        <w:rPr>
          <w:rFonts w:hint="default" w:ascii="Calibri" w:hAnsi="Calibri" w:eastAsia="宋体" w:cs="Times New Roman"/>
          <w:kern w:val="2"/>
          <w:sz w:val="18"/>
          <w:szCs w:val="24"/>
          <w:lang w:val="en-US" w:eastAsia="zh-CN" w:bidi="ar-SA"/>
        </w:rPr>
      </w:pPr>
      <w:r>
        <w:rPr>
          <w:rFonts w:ascii="Calibri" w:hAnsi="Calibri" w:eastAsia="宋体" w:cs="Times New Roman"/>
          <w:kern w:val="2"/>
          <w:sz w:val="18"/>
          <w:szCs w:val="24"/>
          <w:vertAlign w:val="superscript"/>
          <w:lang w:val="en-US" w:eastAsia="zh-CN" w:bidi="ar-SA"/>
        </w:rPr>
        <w:t>*</w:t>
      </w:r>
      <w:r>
        <w:rPr>
          <w:rFonts w:hint="eastAsia" w:ascii="Times New Roman" w:hAnsi="Times New Roman" w:eastAsia="宋体" w:cs="Times New Roman"/>
          <w:kern w:val="2"/>
          <w:sz w:val="18"/>
          <w:szCs w:val="18"/>
          <w:lang w:val="en-US" w:eastAsia="zh-CN" w:bidi="ar-SA"/>
        </w:rPr>
        <w:t>附录由</w:t>
      </w:r>
      <w:r>
        <w:rPr>
          <w:rFonts w:hint="eastAsia" w:cs="Times New Roman"/>
          <w:kern w:val="2"/>
          <w:sz w:val="18"/>
          <w:szCs w:val="18"/>
          <w:lang w:val="en-US" w:eastAsia="zh-CN" w:bidi="ar-SA"/>
        </w:rPr>
        <w:t>作</w:t>
      </w:r>
      <w:r>
        <w:rPr>
          <w:rFonts w:hint="eastAsia" w:ascii="Times New Roman" w:hAnsi="Times New Roman" w:eastAsia="宋体" w:cs="Times New Roman"/>
          <w:kern w:val="2"/>
          <w:sz w:val="18"/>
          <w:szCs w:val="18"/>
          <w:lang w:val="en-US" w:eastAsia="zh-CN" w:bidi="ar-SA"/>
        </w:rPr>
        <w:t>者提供，文责自负。</w:t>
      </w:r>
      <w:r>
        <w:rPr>
          <w:rFonts w:hint="eastAsia" w:cs="Times New Roman"/>
          <w:kern w:val="2"/>
          <w:sz w:val="18"/>
          <w:szCs w:val="18"/>
          <w:lang w:val="en-US" w:eastAsia="zh-CN" w:bidi="ar-SA"/>
        </w:rPr>
        <w:t>引用该附录中的内容请注明出处，具体要求详见文末。</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rPr>
        <w:rFonts w:hint="eastAsia" w:eastAsia="黑体" w:cs="Times New Roman"/>
        <w:lang w:val="en-US" w:eastAsia="zh-CN"/>
      </w:rPr>
    </w:pPr>
    <w:r>
      <w:rPr>
        <w:rFonts w:hint="eastAsia" w:eastAsia="黑体" w:cs="Times New Roman"/>
        <w:lang w:val="en-US" w:eastAsia="zh-CN"/>
      </w:rPr>
      <w:t>罗章权、郭凯明  劳动力市场化改革、价格结构性变化与城乡收入差距</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rPr>
        <w:rFonts w:hint="default" w:eastAsia="宋体"/>
        <w:lang w:val="en-US" w:eastAsia="zh-CN"/>
      </w:rPr>
    </w:pPr>
    <w:r>
      <w:rPr>
        <w:rFonts w:ascii="Times New Roman" w:hAnsi="Times New Roman" w:cs="Times New Roman"/>
      </w:rPr>
      <w:drawing>
        <wp:inline distT="0" distB="0" distL="0" distR="0">
          <wp:extent cx="1009650" cy="190500"/>
          <wp:effectExtent l="0" t="0" r="0" b="0"/>
          <wp:docPr id="204"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 name="图片 3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009650" cy="190500"/>
                  </a:xfrm>
                  <a:prstGeom prst="rect">
                    <a:avLst/>
                  </a:prstGeom>
                  <a:noFill/>
                  <a:ln>
                    <a:noFill/>
                  </a:ln>
                </pic:spPr>
              </pic:pic>
            </a:graphicData>
          </a:graphic>
        </wp:inline>
      </w:drawing>
    </w:r>
    <w:r>
      <w:rPr>
        <w:rFonts w:hint="eastAsia" w:cs="Times New Roman"/>
        <w:lang w:val="en-US" w:eastAsia="zh-CN"/>
      </w:rPr>
      <w:t xml:space="preserve">                                                       </w:t>
    </w:r>
    <w:r>
      <w:rPr>
        <w:rFonts w:ascii="Times New Roman" w:hAnsi="Times New Roman" w:eastAsia="黑体" w:cs="Times New Roman"/>
      </w:rPr>
      <w:t>202</w:t>
    </w:r>
    <w:r>
      <w:rPr>
        <w:rFonts w:hint="eastAsia" w:eastAsia="黑体" w:cs="Times New Roman"/>
        <w:lang w:val="en-US" w:eastAsia="zh-CN"/>
      </w:rPr>
      <w:t>5年第6期</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hideSpellingErrors/>
  <w:hideGrammaticalErrors/>
  <w:documentProtection w:enforcement="0"/>
  <w:defaultTabStop w:val="420"/>
  <w:drawingGridHorizontalSpacing w:val="98"/>
  <w:drawingGridVerticalSpacing w:val="183"/>
  <w:displayHorizontalDrawingGridEvery w:val="1"/>
  <w:displayVerticalDrawingGridEvery w:val="1"/>
  <w:noPunctuationKerning w:val="1"/>
  <w:characterSpacingControl w:val="compressPunctuation"/>
  <w:footnotePr>
    <w:numFmt w:val="decimalEnclosedCircleChinese"/>
    <w:numRestart w:val="eachPage"/>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MztLAwMDI0MzIwNTNT0lEKTi0uzszPAymwrAUAbZInuSwAAAA="/>
    <w:docVar w:name="commondata" w:val="eyJoZGlkIjoiNjgxY2UyODNjNTRlYjdkYzAzOGM2MzZmMGZhZDU2NDEifQ=="/>
  </w:docVars>
  <w:rsids>
    <w:rsidRoot w:val="00172A27"/>
    <w:rsid w:val="000014CF"/>
    <w:rsid w:val="0000201D"/>
    <w:rsid w:val="000042CD"/>
    <w:rsid w:val="00005170"/>
    <w:rsid w:val="000061F8"/>
    <w:rsid w:val="000071B4"/>
    <w:rsid w:val="000072DB"/>
    <w:rsid w:val="000078FC"/>
    <w:rsid w:val="00010060"/>
    <w:rsid w:val="000106B5"/>
    <w:rsid w:val="00010D0D"/>
    <w:rsid w:val="00010F5A"/>
    <w:rsid w:val="000116E9"/>
    <w:rsid w:val="000119B8"/>
    <w:rsid w:val="000119BA"/>
    <w:rsid w:val="00012275"/>
    <w:rsid w:val="000127E4"/>
    <w:rsid w:val="00013676"/>
    <w:rsid w:val="00013993"/>
    <w:rsid w:val="00013D6C"/>
    <w:rsid w:val="00014B33"/>
    <w:rsid w:val="00014D60"/>
    <w:rsid w:val="00015208"/>
    <w:rsid w:val="000162AA"/>
    <w:rsid w:val="000163C5"/>
    <w:rsid w:val="00016BD2"/>
    <w:rsid w:val="00016C82"/>
    <w:rsid w:val="000170B5"/>
    <w:rsid w:val="00017951"/>
    <w:rsid w:val="00017EC8"/>
    <w:rsid w:val="000202C8"/>
    <w:rsid w:val="000215DD"/>
    <w:rsid w:val="00021DC9"/>
    <w:rsid w:val="000225B4"/>
    <w:rsid w:val="00022853"/>
    <w:rsid w:val="00022D24"/>
    <w:rsid w:val="0002309A"/>
    <w:rsid w:val="000243FF"/>
    <w:rsid w:val="00025A4A"/>
    <w:rsid w:val="00025D38"/>
    <w:rsid w:val="00026378"/>
    <w:rsid w:val="000274AE"/>
    <w:rsid w:val="0003155E"/>
    <w:rsid w:val="00031A18"/>
    <w:rsid w:val="00032159"/>
    <w:rsid w:val="000325AC"/>
    <w:rsid w:val="00032A7A"/>
    <w:rsid w:val="00032E7A"/>
    <w:rsid w:val="00033258"/>
    <w:rsid w:val="0003408C"/>
    <w:rsid w:val="000340B5"/>
    <w:rsid w:val="00034223"/>
    <w:rsid w:val="0003425D"/>
    <w:rsid w:val="000344E9"/>
    <w:rsid w:val="00034A50"/>
    <w:rsid w:val="00036609"/>
    <w:rsid w:val="00036ADD"/>
    <w:rsid w:val="00036E48"/>
    <w:rsid w:val="000374EA"/>
    <w:rsid w:val="000378AD"/>
    <w:rsid w:val="00037E30"/>
    <w:rsid w:val="00040D90"/>
    <w:rsid w:val="00040DD5"/>
    <w:rsid w:val="00043E7A"/>
    <w:rsid w:val="00046585"/>
    <w:rsid w:val="00046E49"/>
    <w:rsid w:val="00046E56"/>
    <w:rsid w:val="00047931"/>
    <w:rsid w:val="00050A33"/>
    <w:rsid w:val="000513BB"/>
    <w:rsid w:val="0005195C"/>
    <w:rsid w:val="00051DCD"/>
    <w:rsid w:val="000542D3"/>
    <w:rsid w:val="000549C8"/>
    <w:rsid w:val="000556C0"/>
    <w:rsid w:val="00056091"/>
    <w:rsid w:val="00056813"/>
    <w:rsid w:val="00056F45"/>
    <w:rsid w:val="00057875"/>
    <w:rsid w:val="00060A1F"/>
    <w:rsid w:val="00060D28"/>
    <w:rsid w:val="00061674"/>
    <w:rsid w:val="0006197E"/>
    <w:rsid w:val="00061F52"/>
    <w:rsid w:val="00062AC1"/>
    <w:rsid w:val="00062C26"/>
    <w:rsid w:val="00062E70"/>
    <w:rsid w:val="00063079"/>
    <w:rsid w:val="00063D1C"/>
    <w:rsid w:val="00064224"/>
    <w:rsid w:val="000642E8"/>
    <w:rsid w:val="0006453A"/>
    <w:rsid w:val="0006453F"/>
    <w:rsid w:val="00064B71"/>
    <w:rsid w:val="00064C1E"/>
    <w:rsid w:val="00065256"/>
    <w:rsid w:val="000677C0"/>
    <w:rsid w:val="00070144"/>
    <w:rsid w:val="000707AA"/>
    <w:rsid w:val="00072EA0"/>
    <w:rsid w:val="000731AE"/>
    <w:rsid w:val="00073A3A"/>
    <w:rsid w:val="0007499B"/>
    <w:rsid w:val="000749FF"/>
    <w:rsid w:val="00074C5D"/>
    <w:rsid w:val="00075C42"/>
    <w:rsid w:val="0008062B"/>
    <w:rsid w:val="00080F00"/>
    <w:rsid w:val="000812D1"/>
    <w:rsid w:val="00081546"/>
    <w:rsid w:val="00081E7C"/>
    <w:rsid w:val="000827D2"/>
    <w:rsid w:val="00082A0C"/>
    <w:rsid w:val="0008301B"/>
    <w:rsid w:val="0008406F"/>
    <w:rsid w:val="000848F1"/>
    <w:rsid w:val="00084D70"/>
    <w:rsid w:val="00084DA3"/>
    <w:rsid w:val="00084F8D"/>
    <w:rsid w:val="00085D84"/>
    <w:rsid w:val="000862BE"/>
    <w:rsid w:val="00086E55"/>
    <w:rsid w:val="00087519"/>
    <w:rsid w:val="00087691"/>
    <w:rsid w:val="00087742"/>
    <w:rsid w:val="00087A2E"/>
    <w:rsid w:val="00087E5A"/>
    <w:rsid w:val="00090398"/>
    <w:rsid w:val="00091B73"/>
    <w:rsid w:val="000922E3"/>
    <w:rsid w:val="0009300E"/>
    <w:rsid w:val="0009370D"/>
    <w:rsid w:val="00094922"/>
    <w:rsid w:val="0009527A"/>
    <w:rsid w:val="000959B5"/>
    <w:rsid w:val="00095FFA"/>
    <w:rsid w:val="00097EAE"/>
    <w:rsid w:val="000A067E"/>
    <w:rsid w:val="000A1B13"/>
    <w:rsid w:val="000A25A9"/>
    <w:rsid w:val="000A2E84"/>
    <w:rsid w:val="000A5CD3"/>
    <w:rsid w:val="000A5E13"/>
    <w:rsid w:val="000A5E63"/>
    <w:rsid w:val="000A5F0B"/>
    <w:rsid w:val="000A61BF"/>
    <w:rsid w:val="000A6215"/>
    <w:rsid w:val="000B007C"/>
    <w:rsid w:val="000B036D"/>
    <w:rsid w:val="000B0A5A"/>
    <w:rsid w:val="000B1C82"/>
    <w:rsid w:val="000B28D6"/>
    <w:rsid w:val="000B2E3A"/>
    <w:rsid w:val="000B40E6"/>
    <w:rsid w:val="000B41E0"/>
    <w:rsid w:val="000B7161"/>
    <w:rsid w:val="000B7281"/>
    <w:rsid w:val="000B79CE"/>
    <w:rsid w:val="000C0DC0"/>
    <w:rsid w:val="000C1187"/>
    <w:rsid w:val="000C1243"/>
    <w:rsid w:val="000C1BC9"/>
    <w:rsid w:val="000C1FAF"/>
    <w:rsid w:val="000C2783"/>
    <w:rsid w:val="000C3B79"/>
    <w:rsid w:val="000C40DF"/>
    <w:rsid w:val="000C505B"/>
    <w:rsid w:val="000C506D"/>
    <w:rsid w:val="000C52A8"/>
    <w:rsid w:val="000C54E0"/>
    <w:rsid w:val="000C5E2B"/>
    <w:rsid w:val="000C78DC"/>
    <w:rsid w:val="000C7987"/>
    <w:rsid w:val="000C7D60"/>
    <w:rsid w:val="000D0695"/>
    <w:rsid w:val="000D0868"/>
    <w:rsid w:val="000D0C56"/>
    <w:rsid w:val="000D13EB"/>
    <w:rsid w:val="000D1723"/>
    <w:rsid w:val="000D1935"/>
    <w:rsid w:val="000D200A"/>
    <w:rsid w:val="000D29F7"/>
    <w:rsid w:val="000D359E"/>
    <w:rsid w:val="000D3986"/>
    <w:rsid w:val="000D444C"/>
    <w:rsid w:val="000D44F0"/>
    <w:rsid w:val="000D485A"/>
    <w:rsid w:val="000D5191"/>
    <w:rsid w:val="000D5434"/>
    <w:rsid w:val="000D5C36"/>
    <w:rsid w:val="000D7A32"/>
    <w:rsid w:val="000D7A39"/>
    <w:rsid w:val="000E0A25"/>
    <w:rsid w:val="000E0DC6"/>
    <w:rsid w:val="000E0E7C"/>
    <w:rsid w:val="000E110E"/>
    <w:rsid w:val="000E11E8"/>
    <w:rsid w:val="000E1884"/>
    <w:rsid w:val="000E22B5"/>
    <w:rsid w:val="000E26A0"/>
    <w:rsid w:val="000E344B"/>
    <w:rsid w:val="000E3E23"/>
    <w:rsid w:val="000E4076"/>
    <w:rsid w:val="000E49E1"/>
    <w:rsid w:val="000E53C6"/>
    <w:rsid w:val="000E62F2"/>
    <w:rsid w:val="000E7477"/>
    <w:rsid w:val="000E7588"/>
    <w:rsid w:val="000E7B6E"/>
    <w:rsid w:val="000E7E7A"/>
    <w:rsid w:val="000F1540"/>
    <w:rsid w:val="000F1553"/>
    <w:rsid w:val="000F1A7B"/>
    <w:rsid w:val="000F273D"/>
    <w:rsid w:val="000F31C8"/>
    <w:rsid w:val="000F4253"/>
    <w:rsid w:val="000F4F36"/>
    <w:rsid w:val="000F6127"/>
    <w:rsid w:val="000F657B"/>
    <w:rsid w:val="000F7C1C"/>
    <w:rsid w:val="00100561"/>
    <w:rsid w:val="00101835"/>
    <w:rsid w:val="0010193F"/>
    <w:rsid w:val="00101A2C"/>
    <w:rsid w:val="00102484"/>
    <w:rsid w:val="00102F77"/>
    <w:rsid w:val="0010433A"/>
    <w:rsid w:val="00104773"/>
    <w:rsid w:val="00104A3E"/>
    <w:rsid w:val="00104B20"/>
    <w:rsid w:val="00105178"/>
    <w:rsid w:val="00106385"/>
    <w:rsid w:val="0010689C"/>
    <w:rsid w:val="00106F72"/>
    <w:rsid w:val="00107388"/>
    <w:rsid w:val="0010783D"/>
    <w:rsid w:val="00107C73"/>
    <w:rsid w:val="00107DE9"/>
    <w:rsid w:val="00110767"/>
    <w:rsid w:val="00110912"/>
    <w:rsid w:val="00111614"/>
    <w:rsid w:val="0011327E"/>
    <w:rsid w:val="00113DEC"/>
    <w:rsid w:val="00114BD6"/>
    <w:rsid w:val="0011507D"/>
    <w:rsid w:val="001151C6"/>
    <w:rsid w:val="0011540E"/>
    <w:rsid w:val="0011571F"/>
    <w:rsid w:val="00117E40"/>
    <w:rsid w:val="00120222"/>
    <w:rsid w:val="00120B2D"/>
    <w:rsid w:val="0012186F"/>
    <w:rsid w:val="001236CA"/>
    <w:rsid w:val="00123FEE"/>
    <w:rsid w:val="001240DD"/>
    <w:rsid w:val="001251A7"/>
    <w:rsid w:val="001258D0"/>
    <w:rsid w:val="001276AD"/>
    <w:rsid w:val="001300B8"/>
    <w:rsid w:val="00130133"/>
    <w:rsid w:val="0013034E"/>
    <w:rsid w:val="00130566"/>
    <w:rsid w:val="001305BD"/>
    <w:rsid w:val="001307BF"/>
    <w:rsid w:val="001319C1"/>
    <w:rsid w:val="00131F55"/>
    <w:rsid w:val="001320EF"/>
    <w:rsid w:val="00134944"/>
    <w:rsid w:val="00134BB4"/>
    <w:rsid w:val="00134EDF"/>
    <w:rsid w:val="00134F27"/>
    <w:rsid w:val="00135368"/>
    <w:rsid w:val="0013537E"/>
    <w:rsid w:val="0013555B"/>
    <w:rsid w:val="0013749C"/>
    <w:rsid w:val="0013776F"/>
    <w:rsid w:val="00137B36"/>
    <w:rsid w:val="00140AE4"/>
    <w:rsid w:val="0014104D"/>
    <w:rsid w:val="0014137E"/>
    <w:rsid w:val="0014286A"/>
    <w:rsid w:val="001429AE"/>
    <w:rsid w:val="00143DFA"/>
    <w:rsid w:val="001444C1"/>
    <w:rsid w:val="00144B76"/>
    <w:rsid w:val="0014581C"/>
    <w:rsid w:val="00146A30"/>
    <w:rsid w:val="00150261"/>
    <w:rsid w:val="00150A8F"/>
    <w:rsid w:val="00150D18"/>
    <w:rsid w:val="00150E4C"/>
    <w:rsid w:val="0015108A"/>
    <w:rsid w:val="0015151A"/>
    <w:rsid w:val="00151E9E"/>
    <w:rsid w:val="001526E2"/>
    <w:rsid w:val="00152E15"/>
    <w:rsid w:val="00152EE2"/>
    <w:rsid w:val="0015391E"/>
    <w:rsid w:val="00153F78"/>
    <w:rsid w:val="001542EC"/>
    <w:rsid w:val="00154843"/>
    <w:rsid w:val="00154AB2"/>
    <w:rsid w:val="00154E6E"/>
    <w:rsid w:val="001550D1"/>
    <w:rsid w:val="00155F77"/>
    <w:rsid w:val="00156739"/>
    <w:rsid w:val="00156A73"/>
    <w:rsid w:val="00156CEC"/>
    <w:rsid w:val="00157721"/>
    <w:rsid w:val="00157C0F"/>
    <w:rsid w:val="00160901"/>
    <w:rsid w:val="00161B98"/>
    <w:rsid w:val="00161E36"/>
    <w:rsid w:val="00162964"/>
    <w:rsid w:val="00162991"/>
    <w:rsid w:val="00162BB5"/>
    <w:rsid w:val="00162C06"/>
    <w:rsid w:val="00163075"/>
    <w:rsid w:val="0016348F"/>
    <w:rsid w:val="00163C1A"/>
    <w:rsid w:val="00164046"/>
    <w:rsid w:val="001645F0"/>
    <w:rsid w:val="001646D6"/>
    <w:rsid w:val="0016575C"/>
    <w:rsid w:val="001664F7"/>
    <w:rsid w:val="00166FB7"/>
    <w:rsid w:val="001675C0"/>
    <w:rsid w:val="0016769C"/>
    <w:rsid w:val="00170ABA"/>
    <w:rsid w:val="00171D88"/>
    <w:rsid w:val="00172474"/>
    <w:rsid w:val="00172A27"/>
    <w:rsid w:val="00173934"/>
    <w:rsid w:val="001739EE"/>
    <w:rsid w:val="00174EF4"/>
    <w:rsid w:val="00175711"/>
    <w:rsid w:val="00176045"/>
    <w:rsid w:val="0017621A"/>
    <w:rsid w:val="00176ED1"/>
    <w:rsid w:val="0017717E"/>
    <w:rsid w:val="00177A0D"/>
    <w:rsid w:val="00177F62"/>
    <w:rsid w:val="00180439"/>
    <w:rsid w:val="00180789"/>
    <w:rsid w:val="00180892"/>
    <w:rsid w:val="00180BB9"/>
    <w:rsid w:val="00181183"/>
    <w:rsid w:val="001823B2"/>
    <w:rsid w:val="001823C9"/>
    <w:rsid w:val="00182740"/>
    <w:rsid w:val="00182866"/>
    <w:rsid w:val="00183C97"/>
    <w:rsid w:val="00184E87"/>
    <w:rsid w:val="00186B01"/>
    <w:rsid w:val="00186D72"/>
    <w:rsid w:val="00187084"/>
    <w:rsid w:val="001871AF"/>
    <w:rsid w:val="00187627"/>
    <w:rsid w:val="001878B2"/>
    <w:rsid w:val="001909EF"/>
    <w:rsid w:val="001921D0"/>
    <w:rsid w:val="0019233B"/>
    <w:rsid w:val="00192FDB"/>
    <w:rsid w:val="00193A12"/>
    <w:rsid w:val="00193F92"/>
    <w:rsid w:val="001960D1"/>
    <w:rsid w:val="00196559"/>
    <w:rsid w:val="0019711D"/>
    <w:rsid w:val="00197452"/>
    <w:rsid w:val="00197C59"/>
    <w:rsid w:val="00197EC7"/>
    <w:rsid w:val="001A1FC1"/>
    <w:rsid w:val="001A23A7"/>
    <w:rsid w:val="001A2899"/>
    <w:rsid w:val="001A2938"/>
    <w:rsid w:val="001A29FD"/>
    <w:rsid w:val="001A2F8F"/>
    <w:rsid w:val="001A34C0"/>
    <w:rsid w:val="001A415C"/>
    <w:rsid w:val="001A4A9C"/>
    <w:rsid w:val="001A5014"/>
    <w:rsid w:val="001A510B"/>
    <w:rsid w:val="001A5AFF"/>
    <w:rsid w:val="001A5E1B"/>
    <w:rsid w:val="001A603D"/>
    <w:rsid w:val="001A7050"/>
    <w:rsid w:val="001B0565"/>
    <w:rsid w:val="001B0DBA"/>
    <w:rsid w:val="001B130B"/>
    <w:rsid w:val="001B2D1E"/>
    <w:rsid w:val="001B4056"/>
    <w:rsid w:val="001B4844"/>
    <w:rsid w:val="001B48D9"/>
    <w:rsid w:val="001B4CF5"/>
    <w:rsid w:val="001B4FE2"/>
    <w:rsid w:val="001B534E"/>
    <w:rsid w:val="001B682B"/>
    <w:rsid w:val="001B7040"/>
    <w:rsid w:val="001B77F0"/>
    <w:rsid w:val="001C0D59"/>
    <w:rsid w:val="001C1C0F"/>
    <w:rsid w:val="001C1F78"/>
    <w:rsid w:val="001C2411"/>
    <w:rsid w:val="001C251D"/>
    <w:rsid w:val="001C2F9E"/>
    <w:rsid w:val="001C30DC"/>
    <w:rsid w:val="001C4C78"/>
    <w:rsid w:val="001C56D0"/>
    <w:rsid w:val="001C57AE"/>
    <w:rsid w:val="001C595A"/>
    <w:rsid w:val="001C5E3B"/>
    <w:rsid w:val="001C6290"/>
    <w:rsid w:val="001C693A"/>
    <w:rsid w:val="001C69CA"/>
    <w:rsid w:val="001C6C17"/>
    <w:rsid w:val="001C6CA1"/>
    <w:rsid w:val="001C7231"/>
    <w:rsid w:val="001C7B01"/>
    <w:rsid w:val="001D03E9"/>
    <w:rsid w:val="001D0651"/>
    <w:rsid w:val="001D11CE"/>
    <w:rsid w:val="001D15C1"/>
    <w:rsid w:val="001D18D1"/>
    <w:rsid w:val="001D22B3"/>
    <w:rsid w:val="001D305F"/>
    <w:rsid w:val="001D3261"/>
    <w:rsid w:val="001D4F50"/>
    <w:rsid w:val="001D5868"/>
    <w:rsid w:val="001D5A13"/>
    <w:rsid w:val="001D6E9E"/>
    <w:rsid w:val="001D71CA"/>
    <w:rsid w:val="001D7645"/>
    <w:rsid w:val="001E076F"/>
    <w:rsid w:val="001E09DB"/>
    <w:rsid w:val="001E249B"/>
    <w:rsid w:val="001E2AA0"/>
    <w:rsid w:val="001E2C7A"/>
    <w:rsid w:val="001E5E4B"/>
    <w:rsid w:val="001E6E6B"/>
    <w:rsid w:val="001E774D"/>
    <w:rsid w:val="001E7D14"/>
    <w:rsid w:val="001F0A51"/>
    <w:rsid w:val="001F0BC8"/>
    <w:rsid w:val="001F2711"/>
    <w:rsid w:val="001F2BCA"/>
    <w:rsid w:val="001F39E0"/>
    <w:rsid w:val="001F430D"/>
    <w:rsid w:val="001F43DB"/>
    <w:rsid w:val="001F5729"/>
    <w:rsid w:val="001F660D"/>
    <w:rsid w:val="00200C30"/>
    <w:rsid w:val="00202C86"/>
    <w:rsid w:val="00203344"/>
    <w:rsid w:val="00204950"/>
    <w:rsid w:val="0020501E"/>
    <w:rsid w:val="002061EA"/>
    <w:rsid w:val="002061EB"/>
    <w:rsid w:val="00206CE4"/>
    <w:rsid w:val="002075A1"/>
    <w:rsid w:val="00207A0D"/>
    <w:rsid w:val="00207E96"/>
    <w:rsid w:val="00210F79"/>
    <w:rsid w:val="002110E6"/>
    <w:rsid w:val="00211985"/>
    <w:rsid w:val="002126DE"/>
    <w:rsid w:val="00212F20"/>
    <w:rsid w:val="00213BDD"/>
    <w:rsid w:val="00214291"/>
    <w:rsid w:val="00214626"/>
    <w:rsid w:val="00214FDC"/>
    <w:rsid w:val="00215E76"/>
    <w:rsid w:val="00215F2D"/>
    <w:rsid w:val="00216697"/>
    <w:rsid w:val="00216BB3"/>
    <w:rsid w:val="00217E17"/>
    <w:rsid w:val="00220441"/>
    <w:rsid w:val="00222F3A"/>
    <w:rsid w:val="00223512"/>
    <w:rsid w:val="00224166"/>
    <w:rsid w:val="002257F0"/>
    <w:rsid w:val="002274E6"/>
    <w:rsid w:val="00230295"/>
    <w:rsid w:val="002308E6"/>
    <w:rsid w:val="00232378"/>
    <w:rsid w:val="00232B06"/>
    <w:rsid w:val="00234D28"/>
    <w:rsid w:val="0023501D"/>
    <w:rsid w:val="00235518"/>
    <w:rsid w:val="00236550"/>
    <w:rsid w:val="002404FF"/>
    <w:rsid w:val="00240DFC"/>
    <w:rsid w:val="0024180F"/>
    <w:rsid w:val="002425CD"/>
    <w:rsid w:val="00242A24"/>
    <w:rsid w:val="00243819"/>
    <w:rsid w:val="00243B08"/>
    <w:rsid w:val="0024423B"/>
    <w:rsid w:val="00244361"/>
    <w:rsid w:val="00245E49"/>
    <w:rsid w:val="00246793"/>
    <w:rsid w:val="002467FB"/>
    <w:rsid w:val="00246E6C"/>
    <w:rsid w:val="00247F08"/>
    <w:rsid w:val="002506F1"/>
    <w:rsid w:val="0025117D"/>
    <w:rsid w:val="00251235"/>
    <w:rsid w:val="00252960"/>
    <w:rsid w:val="00253521"/>
    <w:rsid w:val="00253ECE"/>
    <w:rsid w:val="00254607"/>
    <w:rsid w:val="002555CE"/>
    <w:rsid w:val="0025584F"/>
    <w:rsid w:val="002562C2"/>
    <w:rsid w:val="00256820"/>
    <w:rsid w:val="00256E34"/>
    <w:rsid w:val="00257725"/>
    <w:rsid w:val="002578C8"/>
    <w:rsid w:val="00257CE1"/>
    <w:rsid w:val="00260A49"/>
    <w:rsid w:val="00260AAD"/>
    <w:rsid w:val="00260CBC"/>
    <w:rsid w:val="0026182C"/>
    <w:rsid w:val="00261894"/>
    <w:rsid w:val="00261BB6"/>
    <w:rsid w:val="00262832"/>
    <w:rsid w:val="00263746"/>
    <w:rsid w:val="002658EF"/>
    <w:rsid w:val="00265C32"/>
    <w:rsid w:val="00265DFA"/>
    <w:rsid w:val="00266343"/>
    <w:rsid w:val="00266811"/>
    <w:rsid w:val="00266EE7"/>
    <w:rsid w:val="002671B8"/>
    <w:rsid w:val="00270B5B"/>
    <w:rsid w:val="00271B5F"/>
    <w:rsid w:val="00272E19"/>
    <w:rsid w:val="00274478"/>
    <w:rsid w:val="00274A20"/>
    <w:rsid w:val="00274D1A"/>
    <w:rsid w:val="00274DB6"/>
    <w:rsid w:val="00274E4F"/>
    <w:rsid w:val="002751FC"/>
    <w:rsid w:val="0027592C"/>
    <w:rsid w:val="00275991"/>
    <w:rsid w:val="002767C5"/>
    <w:rsid w:val="0027719D"/>
    <w:rsid w:val="0027798C"/>
    <w:rsid w:val="00277DD9"/>
    <w:rsid w:val="00280358"/>
    <w:rsid w:val="00284CDB"/>
    <w:rsid w:val="00284F11"/>
    <w:rsid w:val="00285120"/>
    <w:rsid w:val="00285B98"/>
    <w:rsid w:val="0028618E"/>
    <w:rsid w:val="00286196"/>
    <w:rsid w:val="00286B0C"/>
    <w:rsid w:val="00287325"/>
    <w:rsid w:val="00290BA8"/>
    <w:rsid w:val="00291068"/>
    <w:rsid w:val="00291B76"/>
    <w:rsid w:val="00292D43"/>
    <w:rsid w:val="00292E00"/>
    <w:rsid w:val="00292E30"/>
    <w:rsid w:val="00293159"/>
    <w:rsid w:val="00293D04"/>
    <w:rsid w:val="00294675"/>
    <w:rsid w:val="00294A17"/>
    <w:rsid w:val="00294FA0"/>
    <w:rsid w:val="00295091"/>
    <w:rsid w:val="00295C8E"/>
    <w:rsid w:val="00295FB2"/>
    <w:rsid w:val="00296BAD"/>
    <w:rsid w:val="00297FA6"/>
    <w:rsid w:val="002A022B"/>
    <w:rsid w:val="002A0A7C"/>
    <w:rsid w:val="002A2812"/>
    <w:rsid w:val="002A3F41"/>
    <w:rsid w:val="002A42F5"/>
    <w:rsid w:val="002A6D66"/>
    <w:rsid w:val="002A6DF3"/>
    <w:rsid w:val="002A6F7F"/>
    <w:rsid w:val="002A782B"/>
    <w:rsid w:val="002B0A18"/>
    <w:rsid w:val="002B0F98"/>
    <w:rsid w:val="002B158D"/>
    <w:rsid w:val="002B28F9"/>
    <w:rsid w:val="002B2BD1"/>
    <w:rsid w:val="002B39D8"/>
    <w:rsid w:val="002B7C5A"/>
    <w:rsid w:val="002B7E48"/>
    <w:rsid w:val="002C0EE2"/>
    <w:rsid w:val="002C202E"/>
    <w:rsid w:val="002C2316"/>
    <w:rsid w:val="002C252B"/>
    <w:rsid w:val="002C2834"/>
    <w:rsid w:val="002C2AB4"/>
    <w:rsid w:val="002C4757"/>
    <w:rsid w:val="002C4AC7"/>
    <w:rsid w:val="002C4EFE"/>
    <w:rsid w:val="002C6AE8"/>
    <w:rsid w:val="002C7114"/>
    <w:rsid w:val="002C756E"/>
    <w:rsid w:val="002C7BAC"/>
    <w:rsid w:val="002C7FCE"/>
    <w:rsid w:val="002D0192"/>
    <w:rsid w:val="002D0655"/>
    <w:rsid w:val="002D17CC"/>
    <w:rsid w:val="002D2F0D"/>
    <w:rsid w:val="002D2F92"/>
    <w:rsid w:val="002D366C"/>
    <w:rsid w:val="002D3F48"/>
    <w:rsid w:val="002D4952"/>
    <w:rsid w:val="002D5119"/>
    <w:rsid w:val="002D555B"/>
    <w:rsid w:val="002D55AF"/>
    <w:rsid w:val="002D5C54"/>
    <w:rsid w:val="002D6B05"/>
    <w:rsid w:val="002D6B0D"/>
    <w:rsid w:val="002D6B18"/>
    <w:rsid w:val="002D7652"/>
    <w:rsid w:val="002D77C3"/>
    <w:rsid w:val="002D77F0"/>
    <w:rsid w:val="002D7BEF"/>
    <w:rsid w:val="002E062E"/>
    <w:rsid w:val="002E07F1"/>
    <w:rsid w:val="002E241B"/>
    <w:rsid w:val="002E2FC0"/>
    <w:rsid w:val="002E3793"/>
    <w:rsid w:val="002E58E9"/>
    <w:rsid w:val="002E5B68"/>
    <w:rsid w:val="002E6662"/>
    <w:rsid w:val="002E7507"/>
    <w:rsid w:val="002E7AB7"/>
    <w:rsid w:val="002E7D05"/>
    <w:rsid w:val="002F0257"/>
    <w:rsid w:val="002F0C3B"/>
    <w:rsid w:val="002F177B"/>
    <w:rsid w:val="002F1CD5"/>
    <w:rsid w:val="002F1F4D"/>
    <w:rsid w:val="002F2057"/>
    <w:rsid w:val="002F28BF"/>
    <w:rsid w:val="002F2945"/>
    <w:rsid w:val="002F2ADA"/>
    <w:rsid w:val="002F2D20"/>
    <w:rsid w:val="002F3075"/>
    <w:rsid w:val="002F35D2"/>
    <w:rsid w:val="002F413D"/>
    <w:rsid w:val="002F4658"/>
    <w:rsid w:val="002F579D"/>
    <w:rsid w:val="002F5AF4"/>
    <w:rsid w:val="002F5F7B"/>
    <w:rsid w:val="003008EF"/>
    <w:rsid w:val="00301B63"/>
    <w:rsid w:val="00302054"/>
    <w:rsid w:val="0030231B"/>
    <w:rsid w:val="00303BA9"/>
    <w:rsid w:val="00304508"/>
    <w:rsid w:val="00304BE0"/>
    <w:rsid w:val="00306060"/>
    <w:rsid w:val="003060E3"/>
    <w:rsid w:val="0030613D"/>
    <w:rsid w:val="00306DBA"/>
    <w:rsid w:val="003075F0"/>
    <w:rsid w:val="003077B6"/>
    <w:rsid w:val="00307F3D"/>
    <w:rsid w:val="00311E81"/>
    <w:rsid w:val="003122B7"/>
    <w:rsid w:val="003126A9"/>
    <w:rsid w:val="00313B5C"/>
    <w:rsid w:val="003143C7"/>
    <w:rsid w:val="00314AD9"/>
    <w:rsid w:val="003164D5"/>
    <w:rsid w:val="003173F7"/>
    <w:rsid w:val="00317677"/>
    <w:rsid w:val="003205EB"/>
    <w:rsid w:val="0032161A"/>
    <w:rsid w:val="00321649"/>
    <w:rsid w:val="0032182D"/>
    <w:rsid w:val="00321E5C"/>
    <w:rsid w:val="0032253F"/>
    <w:rsid w:val="003226D3"/>
    <w:rsid w:val="00322C7A"/>
    <w:rsid w:val="00324017"/>
    <w:rsid w:val="003241D9"/>
    <w:rsid w:val="00324380"/>
    <w:rsid w:val="00324A9B"/>
    <w:rsid w:val="0032507B"/>
    <w:rsid w:val="00325E59"/>
    <w:rsid w:val="00327D3A"/>
    <w:rsid w:val="00330443"/>
    <w:rsid w:val="00330573"/>
    <w:rsid w:val="0033129D"/>
    <w:rsid w:val="003315B1"/>
    <w:rsid w:val="0033164B"/>
    <w:rsid w:val="00331743"/>
    <w:rsid w:val="00331AFA"/>
    <w:rsid w:val="0033241A"/>
    <w:rsid w:val="003327A8"/>
    <w:rsid w:val="00333511"/>
    <w:rsid w:val="003349BA"/>
    <w:rsid w:val="00334E38"/>
    <w:rsid w:val="003350C9"/>
    <w:rsid w:val="00335846"/>
    <w:rsid w:val="00335951"/>
    <w:rsid w:val="00336590"/>
    <w:rsid w:val="0033667A"/>
    <w:rsid w:val="003368D2"/>
    <w:rsid w:val="0033705A"/>
    <w:rsid w:val="0034162D"/>
    <w:rsid w:val="00341EB6"/>
    <w:rsid w:val="003427D0"/>
    <w:rsid w:val="00342A86"/>
    <w:rsid w:val="00342DD7"/>
    <w:rsid w:val="003437D5"/>
    <w:rsid w:val="00343DAD"/>
    <w:rsid w:val="003440B5"/>
    <w:rsid w:val="003443D1"/>
    <w:rsid w:val="00344B87"/>
    <w:rsid w:val="003452A0"/>
    <w:rsid w:val="0034530D"/>
    <w:rsid w:val="00346A57"/>
    <w:rsid w:val="00350142"/>
    <w:rsid w:val="00351232"/>
    <w:rsid w:val="003515D2"/>
    <w:rsid w:val="00351B96"/>
    <w:rsid w:val="00352187"/>
    <w:rsid w:val="0035353E"/>
    <w:rsid w:val="00354ECB"/>
    <w:rsid w:val="003552B5"/>
    <w:rsid w:val="003552B8"/>
    <w:rsid w:val="003559C0"/>
    <w:rsid w:val="00355BE9"/>
    <w:rsid w:val="00356811"/>
    <w:rsid w:val="00356F35"/>
    <w:rsid w:val="00357F59"/>
    <w:rsid w:val="00360F96"/>
    <w:rsid w:val="00361B28"/>
    <w:rsid w:val="00361C8E"/>
    <w:rsid w:val="0036267F"/>
    <w:rsid w:val="00362920"/>
    <w:rsid w:val="00362A8F"/>
    <w:rsid w:val="00362CF3"/>
    <w:rsid w:val="0036365B"/>
    <w:rsid w:val="003638E9"/>
    <w:rsid w:val="00364122"/>
    <w:rsid w:val="00364384"/>
    <w:rsid w:val="0036467A"/>
    <w:rsid w:val="00364D81"/>
    <w:rsid w:val="00367EE7"/>
    <w:rsid w:val="00370613"/>
    <w:rsid w:val="00370BF4"/>
    <w:rsid w:val="003710B4"/>
    <w:rsid w:val="003712EB"/>
    <w:rsid w:val="00371783"/>
    <w:rsid w:val="00372E35"/>
    <w:rsid w:val="00372E81"/>
    <w:rsid w:val="0037379E"/>
    <w:rsid w:val="00373AC2"/>
    <w:rsid w:val="00374B3D"/>
    <w:rsid w:val="00375645"/>
    <w:rsid w:val="0037600B"/>
    <w:rsid w:val="003761C9"/>
    <w:rsid w:val="00376543"/>
    <w:rsid w:val="003774CB"/>
    <w:rsid w:val="0038297F"/>
    <w:rsid w:val="00382A11"/>
    <w:rsid w:val="00383557"/>
    <w:rsid w:val="003840F9"/>
    <w:rsid w:val="00384105"/>
    <w:rsid w:val="00384DD6"/>
    <w:rsid w:val="00385100"/>
    <w:rsid w:val="0038567A"/>
    <w:rsid w:val="00385B3C"/>
    <w:rsid w:val="003864AE"/>
    <w:rsid w:val="00386D92"/>
    <w:rsid w:val="00386F24"/>
    <w:rsid w:val="003870EA"/>
    <w:rsid w:val="003911C1"/>
    <w:rsid w:val="003917EA"/>
    <w:rsid w:val="003917F5"/>
    <w:rsid w:val="00391E2D"/>
    <w:rsid w:val="00392146"/>
    <w:rsid w:val="00393384"/>
    <w:rsid w:val="00393F5E"/>
    <w:rsid w:val="00394457"/>
    <w:rsid w:val="003949AC"/>
    <w:rsid w:val="00396104"/>
    <w:rsid w:val="00396BA7"/>
    <w:rsid w:val="00397816"/>
    <w:rsid w:val="003978B0"/>
    <w:rsid w:val="00397AA0"/>
    <w:rsid w:val="00397BD3"/>
    <w:rsid w:val="003A0988"/>
    <w:rsid w:val="003A0CA0"/>
    <w:rsid w:val="003A0E17"/>
    <w:rsid w:val="003A0F5C"/>
    <w:rsid w:val="003A161E"/>
    <w:rsid w:val="003A16B7"/>
    <w:rsid w:val="003A1D1D"/>
    <w:rsid w:val="003A243C"/>
    <w:rsid w:val="003A26E7"/>
    <w:rsid w:val="003A29D7"/>
    <w:rsid w:val="003A2C0B"/>
    <w:rsid w:val="003A3354"/>
    <w:rsid w:val="003A3536"/>
    <w:rsid w:val="003A3CF8"/>
    <w:rsid w:val="003A3F4E"/>
    <w:rsid w:val="003A418E"/>
    <w:rsid w:val="003A49A2"/>
    <w:rsid w:val="003A6165"/>
    <w:rsid w:val="003A6D10"/>
    <w:rsid w:val="003A75E4"/>
    <w:rsid w:val="003B0619"/>
    <w:rsid w:val="003B07CA"/>
    <w:rsid w:val="003B1783"/>
    <w:rsid w:val="003B23C0"/>
    <w:rsid w:val="003B2E22"/>
    <w:rsid w:val="003B2F13"/>
    <w:rsid w:val="003B39BB"/>
    <w:rsid w:val="003B3D5B"/>
    <w:rsid w:val="003B50F1"/>
    <w:rsid w:val="003B5AC4"/>
    <w:rsid w:val="003B5BC1"/>
    <w:rsid w:val="003B6644"/>
    <w:rsid w:val="003B6C2C"/>
    <w:rsid w:val="003B763F"/>
    <w:rsid w:val="003B7EE7"/>
    <w:rsid w:val="003C0033"/>
    <w:rsid w:val="003C0101"/>
    <w:rsid w:val="003C013A"/>
    <w:rsid w:val="003C0746"/>
    <w:rsid w:val="003C0F0B"/>
    <w:rsid w:val="003C167F"/>
    <w:rsid w:val="003C18AF"/>
    <w:rsid w:val="003C2780"/>
    <w:rsid w:val="003C29B8"/>
    <w:rsid w:val="003C3E8A"/>
    <w:rsid w:val="003C4BF3"/>
    <w:rsid w:val="003C4DC8"/>
    <w:rsid w:val="003C56FA"/>
    <w:rsid w:val="003C5E34"/>
    <w:rsid w:val="003C64A6"/>
    <w:rsid w:val="003C7878"/>
    <w:rsid w:val="003C7A72"/>
    <w:rsid w:val="003D1D8F"/>
    <w:rsid w:val="003D23B2"/>
    <w:rsid w:val="003D2B38"/>
    <w:rsid w:val="003D2CAE"/>
    <w:rsid w:val="003D2D78"/>
    <w:rsid w:val="003D427C"/>
    <w:rsid w:val="003D4324"/>
    <w:rsid w:val="003D4588"/>
    <w:rsid w:val="003D4BE0"/>
    <w:rsid w:val="003D52EF"/>
    <w:rsid w:val="003D5562"/>
    <w:rsid w:val="003D55D9"/>
    <w:rsid w:val="003D594E"/>
    <w:rsid w:val="003D6729"/>
    <w:rsid w:val="003D7D33"/>
    <w:rsid w:val="003E283B"/>
    <w:rsid w:val="003E396B"/>
    <w:rsid w:val="003E3E52"/>
    <w:rsid w:val="003E4F1F"/>
    <w:rsid w:val="003E4F38"/>
    <w:rsid w:val="003E5430"/>
    <w:rsid w:val="003E66CD"/>
    <w:rsid w:val="003E794E"/>
    <w:rsid w:val="003F065A"/>
    <w:rsid w:val="003F0DAF"/>
    <w:rsid w:val="003F1EC5"/>
    <w:rsid w:val="003F2381"/>
    <w:rsid w:val="003F2389"/>
    <w:rsid w:val="003F2EF2"/>
    <w:rsid w:val="003F4339"/>
    <w:rsid w:val="003F45F5"/>
    <w:rsid w:val="003F4690"/>
    <w:rsid w:val="003F6306"/>
    <w:rsid w:val="003F657B"/>
    <w:rsid w:val="003F6E75"/>
    <w:rsid w:val="003F7E4D"/>
    <w:rsid w:val="0040113F"/>
    <w:rsid w:val="00401E2A"/>
    <w:rsid w:val="00401F78"/>
    <w:rsid w:val="00402403"/>
    <w:rsid w:val="0040261E"/>
    <w:rsid w:val="00402938"/>
    <w:rsid w:val="00403768"/>
    <w:rsid w:val="0040408F"/>
    <w:rsid w:val="0040416A"/>
    <w:rsid w:val="0040443C"/>
    <w:rsid w:val="00404CDF"/>
    <w:rsid w:val="00406EBE"/>
    <w:rsid w:val="00407470"/>
    <w:rsid w:val="00407495"/>
    <w:rsid w:val="0041045D"/>
    <w:rsid w:val="004113DA"/>
    <w:rsid w:val="00412564"/>
    <w:rsid w:val="004138EA"/>
    <w:rsid w:val="004139F7"/>
    <w:rsid w:val="004147C5"/>
    <w:rsid w:val="00414AA0"/>
    <w:rsid w:val="0041510C"/>
    <w:rsid w:val="004152F1"/>
    <w:rsid w:val="004160E4"/>
    <w:rsid w:val="004164F4"/>
    <w:rsid w:val="004168E2"/>
    <w:rsid w:val="00417AE0"/>
    <w:rsid w:val="00417F46"/>
    <w:rsid w:val="00421A6D"/>
    <w:rsid w:val="00422F10"/>
    <w:rsid w:val="0042371B"/>
    <w:rsid w:val="004238BA"/>
    <w:rsid w:val="00423DB2"/>
    <w:rsid w:val="00423DC4"/>
    <w:rsid w:val="00423FFA"/>
    <w:rsid w:val="0042470F"/>
    <w:rsid w:val="00425326"/>
    <w:rsid w:val="00425577"/>
    <w:rsid w:val="004261FD"/>
    <w:rsid w:val="00426B51"/>
    <w:rsid w:val="00426F65"/>
    <w:rsid w:val="0042728D"/>
    <w:rsid w:val="00430051"/>
    <w:rsid w:val="00431037"/>
    <w:rsid w:val="00431409"/>
    <w:rsid w:val="004314DC"/>
    <w:rsid w:val="004314F8"/>
    <w:rsid w:val="00431702"/>
    <w:rsid w:val="004323E2"/>
    <w:rsid w:val="00432FAF"/>
    <w:rsid w:val="004336DC"/>
    <w:rsid w:val="00434722"/>
    <w:rsid w:val="00435487"/>
    <w:rsid w:val="00436D3F"/>
    <w:rsid w:val="00437F09"/>
    <w:rsid w:val="00440666"/>
    <w:rsid w:val="00441466"/>
    <w:rsid w:val="004421B3"/>
    <w:rsid w:val="00442D99"/>
    <w:rsid w:val="004431F3"/>
    <w:rsid w:val="00443C59"/>
    <w:rsid w:val="00444772"/>
    <w:rsid w:val="004449E5"/>
    <w:rsid w:val="00445131"/>
    <w:rsid w:val="00445436"/>
    <w:rsid w:val="004464FD"/>
    <w:rsid w:val="0044781E"/>
    <w:rsid w:val="00450126"/>
    <w:rsid w:val="0045146D"/>
    <w:rsid w:val="004531B0"/>
    <w:rsid w:val="0045581F"/>
    <w:rsid w:val="00456354"/>
    <w:rsid w:val="0045640F"/>
    <w:rsid w:val="00456547"/>
    <w:rsid w:val="00457168"/>
    <w:rsid w:val="00457652"/>
    <w:rsid w:val="00457AA9"/>
    <w:rsid w:val="00460124"/>
    <w:rsid w:val="00460B52"/>
    <w:rsid w:val="00460E5C"/>
    <w:rsid w:val="00460EDE"/>
    <w:rsid w:val="00461D00"/>
    <w:rsid w:val="00461F63"/>
    <w:rsid w:val="004627F9"/>
    <w:rsid w:val="00462858"/>
    <w:rsid w:val="004629B2"/>
    <w:rsid w:val="00462AAB"/>
    <w:rsid w:val="0046347D"/>
    <w:rsid w:val="00463778"/>
    <w:rsid w:val="00463F98"/>
    <w:rsid w:val="00464219"/>
    <w:rsid w:val="00464DD0"/>
    <w:rsid w:val="004656E6"/>
    <w:rsid w:val="00465860"/>
    <w:rsid w:val="004662E2"/>
    <w:rsid w:val="00467644"/>
    <w:rsid w:val="00470034"/>
    <w:rsid w:val="004709CD"/>
    <w:rsid w:val="00474AB2"/>
    <w:rsid w:val="00474DEC"/>
    <w:rsid w:val="00475093"/>
    <w:rsid w:val="00476A0F"/>
    <w:rsid w:val="004773C4"/>
    <w:rsid w:val="0047791F"/>
    <w:rsid w:val="00480C3E"/>
    <w:rsid w:val="00480FB8"/>
    <w:rsid w:val="004814FE"/>
    <w:rsid w:val="004818FA"/>
    <w:rsid w:val="00481AD3"/>
    <w:rsid w:val="00481C04"/>
    <w:rsid w:val="00482F2B"/>
    <w:rsid w:val="004833CD"/>
    <w:rsid w:val="00483B8D"/>
    <w:rsid w:val="00483F9E"/>
    <w:rsid w:val="00484F18"/>
    <w:rsid w:val="00485F20"/>
    <w:rsid w:val="0048621D"/>
    <w:rsid w:val="004863B4"/>
    <w:rsid w:val="00486D7A"/>
    <w:rsid w:val="004871F7"/>
    <w:rsid w:val="0048780C"/>
    <w:rsid w:val="004879D2"/>
    <w:rsid w:val="004907F4"/>
    <w:rsid w:val="00490805"/>
    <w:rsid w:val="00490A2A"/>
    <w:rsid w:val="00490AC3"/>
    <w:rsid w:val="00490C46"/>
    <w:rsid w:val="00490DCF"/>
    <w:rsid w:val="00491C7F"/>
    <w:rsid w:val="0049260B"/>
    <w:rsid w:val="00493987"/>
    <w:rsid w:val="00493E7B"/>
    <w:rsid w:val="00493FF8"/>
    <w:rsid w:val="0049466D"/>
    <w:rsid w:val="0049565F"/>
    <w:rsid w:val="004961E7"/>
    <w:rsid w:val="00496733"/>
    <w:rsid w:val="00496B9F"/>
    <w:rsid w:val="0049769B"/>
    <w:rsid w:val="00497C26"/>
    <w:rsid w:val="00497F94"/>
    <w:rsid w:val="004A2124"/>
    <w:rsid w:val="004A4B7A"/>
    <w:rsid w:val="004A54D6"/>
    <w:rsid w:val="004A61E8"/>
    <w:rsid w:val="004A6EEC"/>
    <w:rsid w:val="004A7050"/>
    <w:rsid w:val="004A7F88"/>
    <w:rsid w:val="004B0807"/>
    <w:rsid w:val="004B0AF1"/>
    <w:rsid w:val="004B0DDF"/>
    <w:rsid w:val="004B0EEE"/>
    <w:rsid w:val="004B1725"/>
    <w:rsid w:val="004B2CC1"/>
    <w:rsid w:val="004B2DF8"/>
    <w:rsid w:val="004B3281"/>
    <w:rsid w:val="004B3ADB"/>
    <w:rsid w:val="004B3AEB"/>
    <w:rsid w:val="004B3E17"/>
    <w:rsid w:val="004B3FBA"/>
    <w:rsid w:val="004B41C1"/>
    <w:rsid w:val="004B46C2"/>
    <w:rsid w:val="004B4AED"/>
    <w:rsid w:val="004B4C61"/>
    <w:rsid w:val="004B62B9"/>
    <w:rsid w:val="004B72E5"/>
    <w:rsid w:val="004C0428"/>
    <w:rsid w:val="004C0652"/>
    <w:rsid w:val="004C1449"/>
    <w:rsid w:val="004C2166"/>
    <w:rsid w:val="004C330D"/>
    <w:rsid w:val="004C333C"/>
    <w:rsid w:val="004C3774"/>
    <w:rsid w:val="004C38B7"/>
    <w:rsid w:val="004C3D15"/>
    <w:rsid w:val="004C475B"/>
    <w:rsid w:val="004C5911"/>
    <w:rsid w:val="004C5B1B"/>
    <w:rsid w:val="004C5CFD"/>
    <w:rsid w:val="004C6D58"/>
    <w:rsid w:val="004C7764"/>
    <w:rsid w:val="004C77D1"/>
    <w:rsid w:val="004C7A23"/>
    <w:rsid w:val="004D01FA"/>
    <w:rsid w:val="004D1027"/>
    <w:rsid w:val="004D13B5"/>
    <w:rsid w:val="004D4B63"/>
    <w:rsid w:val="004D4B90"/>
    <w:rsid w:val="004D58CC"/>
    <w:rsid w:val="004D5CFF"/>
    <w:rsid w:val="004D5F22"/>
    <w:rsid w:val="004D6F55"/>
    <w:rsid w:val="004E0578"/>
    <w:rsid w:val="004E0C37"/>
    <w:rsid w:val="004E0D51"/>
    <w:rsid w:val="004E0D97"/>
    <w:rsid w:val="004E14FA"/>
    <w:rsid w:val="004E1751"/>
    <w:rsid w:val="004E2265"/>
    <w:rsid w:val="004E34D7"/>
    <w:rsid w:val="004E3ACA"/>
    <w:rsid w:val="004E4A68"/>
    <w:rsid w:val="004E573F"/>
    <w:rsid w:val="004E5C6E"/>
    <w:rsid w:val="004E6D9B"/>
    <w:rsid w:val="004F02DB"/>
    <w:rsid w:val="004F043D"/>
    <w:rsid w:val="004F057B"/>
    <w:rsid w:val="004F08DE"/>
    <w:rsid w:val="004F0FB4"/>
    <w:rsid w:val="004F1384"/>
    <w:rsid w:val="004F1398"/>
    <w:rsid w:val="004F1796"/>
    <w:rsid w:val="004F19FB"/>
    <w:rsid w:val="004F1A6A"/>
    <w:rsid w:val="004F1CDE"/>
    <w:rsid w:val="004F36E8"/>
    <w:rsid w:val="004F48B7"/>
    <w:rsid w:val="004F4B07"/>
    <w:rsid w:val="004F59A1"/>
    <w:rsid w:val="004F59DE"/>
    <w:rsid w:val="004F5C2E"/>
    <w:rsid w:val="004F5ED6"/>
    <w:rsid w:val="004F61B4"/>
    <w:rsid w:val="004F7304"/>
    <w:rsid w:val="004F7963"/>
    <w:rsid w:val="004F7ED4"/>
    <w:rsid w:val="00500F84"/>
    <w:rsid w:val="005042EE"/>
    <w:rsid w:val="00504FCC"/>
    <w:rsid w:val="005063F2"/>
    <w:rsid w:val="0050698F"/>
    <w:rsid w:val="00507440"/>
    <w:rsid w:val="005075E2"/>
    <w:rsid w:val="0051044E"/>
    <w:rsid w:val="00510AB9"/>
    <w:rsid w:val="00513467"/>
    <w:rsid w:val="005145D4"/>
    <w:rsid w:val="00515AF3"/>
    <w:rsid w:val="00517C95"/>
    <w:rsid w:val="00520275"/>
    <w:rsid w:val="00520581"/>
    <w:rsid w:val="005214B2"/>
    <w:rsid w:val="00521A93"/>
    <w:rsid w:val="00521AE0"/>
    <w:rsid w:val="00522235"/>
    <w:rsid w:val="00522C14"/>
    <w:rsid w:val="00522E99"/>
    <w:rsid w:val="00523042"/>
    <w:rsid w:val="0052323F"/>
    <w:rsid w:val="005242D2"/>
    <w:rsid w:val="005259CC"/>
    <w:rsid w:val="00526185"/>
    <w:rsid w:val="00526598"/>
    <w:rsid w:val="00526BF4"/>
    <w:rsid w:val="005271AC"/>
    <w:rsid w:val="005272A3"/>
    <w:rsid w:val="00527650"/>
    <w:rsid w:val="00527E32"/>
    <w:rsid w:val="0053188E"/>
    <w:rsid w:val="005323C1"/>
    <w:rsid w:val="00532FC2"/>
    <w:rsid w:val="00533820"/>
    <w:rsid w:val="00533F32"/>
    <w:rsid w:val="00534F9F"/>
    <w:rsid w:val="0053551C"/>
    <w:rsid w:val="005357E3"/>
    <w:rsid w:val="00535A4F"/>
    <w:rsid w:val="00535BE2"/>
    <w:rsid w:val="00535BEF"/>
    <w:rsid w:val="00535CAB"/>
    <w:rsid w:val="00536861"/>
    <w:rsid w:val="00536BAB"/>
    <w:rsid w:val="00537F74"/>
    <w:rsid w:val="005405AA"/>
    <w:rsid w:val="00540842"/>
    <w:rsid w:val="005413A0"/>
    <w:rsid w:val="00541DA8"/>
    <w:rsid w:val="00542396"/>
    <w:rsid w:val="00542B49"/>
    <w:rsid w:val="00543322"/>
    <w:rsid w:val="00543C18"/>
    <w:rsid w:val="00543C98"/>
    <w:rsid w:val="005446BD"/>
    <w:rsid w:val="00545B6F"/>
    <w:rsid w:val="0054632B"/>
    <w:rsid w:val="005464BD"/>
    <w:rsid w:val="00546691"/>
    <w:rsid w:val="00546931"/>
    <w:rsid w:val="005476B0"/>
    <w:rsid w:val="00547701"/>
    <w:rsid w:val="0055010B"/>
    <w:rsid w:val="0055139B"/>
    <w:rsid w:val="00551D4F"/>
    <w:rsid w:val="00551DF6"/>
    <w:rsid w:val="005523F0"/>
    <w:rsid w:val="00552C5D"/>
    <w:rsid w:val="00552DF7"/>
    <w:rsid w:val="00553663"/>
    <w:rsid w:val="005546C6"/>
    <w:rsid w:val="00554D6E"/>
    <w:rsid w:val="005550C6"/>
    <w:rsid w:val="00555E9C"/>
    <w:rsid w:val="005571AF"/>
    <w:rsid w:val="00557724"/>
    <w:rsid w:val="005608E5"/>
    <w:rsid w:val="005615A0"/>
    <w:rsid w:val="00561C4E"/>
    <w:rsid w:val="00563CC0"/>
    <w:rsid w:val="00563CFC"/>
    <w:rsid w:val="0056420A"/>
    <w:rsid w:val="005654F7"/>
    <w:rsid w:val="00565B68"/>
    <w:rsid w:val="00565EC5"/>
    <w:rsid w:val="00566041"/>
    <w:rsid w:val="00566C48"/>
    <w:rsid w:val="00566FA4"/>
    <w:rsid w:val="00566FF2"/>
    <w:rsid w:val="00567758"/>
    <w:rsid w:val="0057007C"/>
    <w:rsid w:val="0057021E"/>
    <w:rsid w:val="00570D32"/>
    <w:rsid w:val="00572669"/>
    <w:rsid w:val="00572ED3"/>
    <w:rsid w:val="00574EE7"/>
    <w:rsid w:val="00575B21"/>
    <w:rsid w:val="005767FA"/>
    <w:rsid w:val="0058038B"/>
    <w:rsid w:val="0058062F"/>
    <w:rsid w:val="0058088E"/>
    <w:rsid w:val="00580DC0"/>
    <w:rsid w:val="00582F39"/>
    <w:rsid w:val="005834F6"/>
    <w:rsid w:val="00584A49"/>
    <w:rsid w:val="005873AC"/>
    <w:rsid w:val="00590146"/>
    <w:rsid w:val="00590756"/>
    <w:rsid w:val="00590A56"/>
    <w:rsid w:val="00591738"/>
    <w:rsid w:val="005920B7"/>
    <w:rsid w:val="00593310"/>
    <w:rsid w:val="00593C87"/>
    <w:rsid w:val="0059454A"/>
    <w:rsid w:val="0059674B"/>
    <w:rsid w:val="00596D05"/>
    <w:rsid w:val="00596DBD"/>
    <w:rsid w:val="00597A08"/>
    <w:rsid w:val="00597FE8"/>
    <w:rsid w:val="005A02E3"/>
    <w:rsid w:val="005A093F"/>
    <w:rsid w:val="005A22B6"/>
    <w:rsid w:val="005A2590"/>
    <w:rsid w:val="005A2B83"/>
    <w:rsid w:val="005A2CEC"/>
    <w:rsid w:val="005A36B5"/>
    <w:rsid w:val="005A3E26"/>
    <w:rsid w:val="005A3F00"/>
    <w:rsid w:val="005A49D6"/>
    <w:rsid w:val="005A4F42"/>
    <w:rsid w:val="005A4FC8"/>
    <w:rsid w:val="005A69CB"/>
    <w:rsid w:val="005A7224"/>
    <w:rsid w:val="005B06CA"/>
    <w:rsid w:val="005B0A67"/>
    <w:rsid w:val="005B1455"/>
    <w:rsid w:val="005B1887"/>
    <w:rsid w:val="005B2E91"/>
    <w:rsid w:val="005B30FB"/>
    <w:rsid w:val="005B3DB3"/>
    <w:rsid w:val="005B4905"/>
    <w:rsid w:val="005B61A4"/>
    <w:rsid w:val="005B6D1D"/>
    <w:rsid w:val="005B707D"/>
    <w:rsid w:val="005B765E"/>
    <w:rsid w:val="005B7C78"/>
    <w:rsid w:val="005B7F02"/>
    <w:rsid w:val="005C0EDC"/>
    <w:rsid w:val="005C1070"/>
    <w:rsid w:val="005C2B49"/>
    <w:rsid w:val="005C304B"/>
    <w:rsid w:val="005C3948"/>
    <w:rsid w:val="005C3B19"/>
    <w:rsid w:val="005C3DE2"/>
    <w:rsid w:val="005C406A"/>
    <w:rsid w:val="005C4093"/>
    <w:rsid w:val="005C47F3"/>
    <w:rsid w:val="005C67DA"/>
    <w:rsid w:val="005D0E52"/>
    <w:rsid w:val="005D143E"/>
    <w:rsid w:val="005D18BD"/>
    <w:rsid w:val="005D4092"/>
    <w:rsid w:val="005D4D40"/>
    <w:rsid w:val="005D55E8"/>
    <w:rsid w:val="005D5C3D"/>
    <w:rsid w:val="005D6FB9"/>
    <w:rsid w:val="005D7428"/>
    <w:rsid w:val="005D7DDA"/>
    <w:rsid w:val="005E14CD"/>
    <w:rsid w:val="005E17B5"/>
    <w:rsid w:val="005E1F31"/>
    <w:rsid w:val="005E3068"/>
    <w:rsid w:val="005E3CE5"/>
    <w:rsid w:val="005E5167"/>
    <w:rsid w:val="005E5794"/>
    <w:rsid w:val="005E58A2"/>
    <w:rsid w:val="005E6381"/>
    <w:rsid w:val="005E674C"/>
    <w:rsid w:val="005E6F9C"/>
    <w:rsid w:val="005E7FC7"/>
    <w:rsid w:val="005F03D5"/>
    <w:rsid w:val="005F0C3C"/>
    <w:rsid w:val="005F0D79"/>
    <w:rsid w:val="005F1884"/>
    <w:rsid w:val="005F1E40"/>
    <w:rsid w:val="005F2303"/>
    <w:rsid w:val="005F2831"/>
    <w:rsid w:val="005F311A"/>
    <w:rsid w:val="005F36E6"/>
    <w:rsid w:val="005F386B"/>
    <w:rsid w:val="005F4366"/>
    <w:rsid w:val="005F5100"/>
    <w:rsid w:val="005F5CA0"/>
    <w:rsid w:val="005F659D"/>
    <w:rsid w:val="005F6968"/>
    <w:rsid w:val="005F75B6"/>
    <w:rsid w:val="006008CA"/>
    <w:rsid w:val="00601431"/>
    <w:rsid w:val="006023F6"/>
    <w:rsid w:val="00602A20"/>
    <w:rsid w:val="00603820"/>
    <w:rsid w:val="00603BBC"/>
    <w:rsid w:val="006058DF"/>
    <w:rsid w:val="00605E2C"/>
    <w:rsid w:val="00606CD5"/>
    <w:rsid w:val="00607B98"/>
    <w:rsid w:val="00610166"/>
    <w:rsid w:val="006105CB"/>
    <w:rsid w:val="00610B65"/>
    <w:rsid w:val="00610CFF"/>
    <w:rsid w:val="00610D6F"/>
    <w:rsid w:val="00611296"/>
    <w:rsid w:val="0061170B"/>
    <w:rsid w:val="0061186E"/>
    <w:rsid w:val="00611C5D"/>
    <w:rsid w:val="00612F26"/>
    <w:rsid w:val="00613A4C"/>
    <w:rsid w:val="006146D6"/>
    <w:rsid w:val="00615CC5"/>
    <w:rsid w:val="006160E6"/>
    <w:rsid w:val="0061717A"/>
    <w:rsid w:val="00617DE6"/>
    <w:rsid w:val="00621C83"/>
    <w:rsid w:val="00622DE5"/>
    <w:rsid w:val="006237B9"/>
    <w:rsid w:val="00624E1C"/>
    <w:rsid w:val="00624FA5"/>
    <w:rsid w:val="0062624F"/>
    <w:rsid w:val="006265E7"/>
    <w:rsid w:val="006273D1"/>
    <w:rsid w:val="006278A1"/>
    <w:rsid w:val="00630759"/>
    <w:rsid w:val="006309D1"/>
    <w:rsid w:val="00630B3F"/>
    <w:rsid w:val="00631430"/>
    <w:rsid w:val="0063168B"/>
    <w:rsid w:val="00632FEB"/>
    <w:rsid w:val="0063361E"/>
    <w:rsid w:val="006337D8"/>
    <w:rsid w:val="00634161"/>
    <w:rsid w:val="0063418B"/>
    <w:rsid w:val="00634904"/>
    <w:rsid w:val="006355C0"/>
    <w:rsid w:val="00635F94"/>
    <w:rsid w:val="006363C3"/>
    <w:rsid w:val="006369C9"/>
    <w:rsid w:val="0063765F"/>
    <w:rsid w:val="00637801"/>
    <w:rsid w:val="00641709"/>
    <w:rsid w:val="00641BFD"/>
    <w:rsid w:val="00641D5D"/>
    <w:rsid w:val="00642A1C"/>
    <w:rsid w:val="00643361"/>
    <w:rsid w:val="00643940"/>
    <w:rsid w:val="00644A6D"/>
    <w:rsid w:val="00645F5B"/>
    <w:rsid w:val="006467A5"/>
    <w:rsid w:val="006467CA"/>
    <w:rsid w:val="00646EB8"/>
    <w:rsid w:val="0064776B"/>
    <w:rsid w:val="006500E3"/>
    <w:rsid w:val="0065126D"/>
    <w:rsid w:val="00651857"/>
    <w:rsid w:val="00651965"/>
    <w:rsid w:val="00653E6F"/>
    <w:rsid w:val="0065584A"/>
    <w:rsid w:val="00655B37"/>
    <w:rsid w:val="006565B5"/>
    <w:rsid w:val="00656CF5"/>
    <w:rsid w:val="00656EEF"/>
    <w:rsid w:val="00657093"/>
    <w:rsid w:val="00657BCD"/>
    <w:rsid w:val="00660783"/>
    <w:rsid w:val="0066109C"/>
    <w:rsid w:val="00661BB2"/>
    <w:rsid w:val="00663681"/>
    <w:rsid w:val="00663AAC"/>
    <w:rsid w:val="00664B99"/>
    <w:rsid w:val="00664C9B"/>
    <w:rsid w:val="00664DD1"/>
    <w:rsid w:val="00665E27"/>
    <w:rsid w:val="00666557"/>
    <w:rsid w:val="00666E08"/>
    <w:rsid w:val="0066718B"/>
    <w:rsid w:val="0066737B"/>
    <w:rsid w:val="00670A36"/>
    <w:rsid w:val="00670CA2"/>
    <w:rsid w:val="00670D82"/>
    <w:rsid w:val="0067463E"/>
    <w:rsid w:val="006750A3"/>
    <w:rsid w:val="006762B3"/>
    <w:rsid w:val="00677816"/>
    <w:rsid w:val="00677913"/>
    <w:rsid w:val="00677ABD"/>
    <w:rsid w:val="0068039A"/>
    <w:rsid w:val="0068088C"/>
    <w:rsid w:val="00680D8A"/>
    <w:rsid w:val="00680FE7"/>
    <w:rsid w:val="00681E5C"/>
    <w:rsid w:val="00683007"/>
    <w:rsid w:val="0068337D"/>
    <w:rsid w:val="0068339E"/>
    <w:rsid w:val="006839E1"/>
    <w:rsid w:val="0068409C"/>
    <w:rsid w:val="006845A6"/>
    <w:rsid w:val="0068492F"/>
    <w:rsid w:val="00684E30"/>
    <w:rsid w:val="0068514A"/>
    <w:rsid w:val="00686791"/>
    <w:rsid w:val="00687675"/>
    <w:rsid w:val="00687CD9"/>
    <w:rsid w:val="00687F42"/>
    <w:rsid w:val="006913C2"/>
    <w:rsid w:val="00691642"/>
    <w:rsid w:val="00691876"/>
    <w:rsid w:val="00691FED"/>
    <w:rsid w:val="00692004"/>
    <w:rsid w:val="006920CD"/>
    <w:rsid w:val="00692965"/>
    <w:rsid w:val="00692CF8"/>
    <w:rsid w:val="00692F20"/>
    <w:rsid w:val="006933B4"/>
    <w:rsid w:val="00693F8E"/>
    <w:rsid w:val="006948F4"/>
    <w:rsid w:val="00694BC0"/>
    <w:rsid w:val="00695713"/>
    <w:rsid w:val="00695719"/>
    <w:rsid w:val="00695902"/>
    <w:rsid w:val="00695FD1"/>
    <w:rsid w:val="0069602F"/>
    <w:rsid w:val="006967ED"/>
    <w:rsid w:val="00696B48"/>
    <w:rsid w:val="006A075A"/>
    <w:rsid w:val="006A1905"/>
    <w:rsid w:val="006A2946"/>
    <w:rsid w:val="006A3EDA"/>
    <w:rsid w:val="006A5131"/>
    <w:rsid w:val="006A69F2"/>
    <w:rsid w:val="006B0B58"/>
    <w:rsid w:val="006B220A"/>
    <w:rsid w:val="006B3C36"/>
    <w:rsid w:val="006B467D"/>
    <w:rsid w:val="006B4817"/>
    <w:rsid w:val="006B5532"/>
    <w:rsid w:val="006B72C0"/>
    <w:rsid w:val="006C04AF"/>
    <w:rsid w:val="006C0E7A"/>
    <w:rsid w:val="006C1137"/>
    <w:rsid w:val="006C11DF"/>
    <w:rsid w:val="006C1DA5"/>
    <w:rsid w:val="006C29E5"/>
    <w:rsid w:val="006C2A28"/>
    <w:rsid w:val="006C2D16"/>
    <w:rsid w:val="006C3338"/>
    <w:rsid w:val="006C3F08"/>
    <w:rsid w:val="006C414D"/>
    <w:rsid w:val="006C42B3"/>
    <w:rsid w:val="006C4592"/>
    <w:rsid w:val="006C57FF"/>
    <w:rsid w:val="006C5FAF"/>
    <w:rsid w:val="006C6C05"/>
    <w:rsid w:val="006C6CDF"/>
    <w:rsid w:val="006C766B"/>
    <w:rsid w:val="006C783D"/>
    <w:rsid w:val="006C7876"/>
    <w:rsid w:val="006D05F2"/>
    <w:rsid w:val="006D0CEE"/>
    <w:rsid w:val="006D0D13"/>
    <w:rsid w:val="006D1C2A"/>
    <w:rsid w:val="006D1EEF"/>
    <w:rsid w:val="006D1F22"/>
    <w:rsid w:val="006D21AD"/>
    <w:rsid w:val="006D229A"/>
    <w:rsid w:val="006D270A"/>
    <w:rsid w:val="006D2D5A"/>
    <w:rsid w:val="006D3234"/>
    <w:rsid w:val="006D3AC7"/>
    <w:rsid w:val="006D4530"/>
    <w:rsid w:val="006D4CFF"/>
    <w:rsid w:val="006D4E79"/>
    <w:rsid w:val="006D56C0"/>
    <w:rsid w:val="006D5A9C"/>
    <w:rsid w:val="006D5E25"/>
    <w:rsid w:val="006D6BC7"/>
    <w:rsid w:val="006D73E5"/>
    <w:rsid w:val="006E07E6"/>
    <w:rsid w:val="006E15F6"/>
    <w:rsid w:val="006E23A0"/>
    <w:rsid w:val="006E293D"/>
    <w:rsid w:val="006E46B9"/>
    <w:rsid w:val="006E49C1"/>
    <w:rsid w:val="006E4C6A"/>
    <w:rsid w:val="006E53AA"/>
    <w:rsid w:val="006E59FC"/>
    <w:rsid w:val="006E7043"/>
    <w:rsid w:val="006E70C0"/>
    <w:rsid w:val="006E7698"/>
    <w:rsid w:val="006E78B2"/>
    <w:rsid w:val="006E7C74"/>
    <w:rsid w:val="006F109E"/>
    <w:rsid w:val="006F12E4"/>
    <w:rsid w:val="006F3533"/>
    <w:rsid w:val="006F510D"/>
    <w:rsid w:val="006F513F"/>
    <w:rsid w:val="006F53DF"/>
    <w:rsid w:val="006F5E7D"/>
    <w:rsid w:val="006F6596"/>
    <w:rsid w:val="006F689C"/>
    <w:rsid w:val="006F6B90"/>
    <w:rsid w:val="006F7CA1"/>
    <w:rsid w:val="006F7F51"/>
    <w:rsid w:val="00701221"/>
    <w:rsid w:val="0070129D"/>
    <w:rsid w:val="007012A3"/>
    <w:rsid w:val="0070167C"/>
    <w:rsid w:val="00701CDA"/>
    <w:rsid w:val="00701E79"/>
    <w:rsid w:val="007021D3"/>
    <w:rsid w:val="00703AF5"/>
    <w:rsid w:val="00703D95"/>
    <w:rsid w:val="007045A8"/>
    <w:rsid w:val="007046F7"/>
    <w:rsid w:val="007048B2"/>
    <w:rsid w:val="00704A45"/>
    <w:rsid w:val="00705180"/>
    <w:rsid w:val="00705276"/>
    <w:rsid w:val="0070555C"/>
    <w:rsid w:val="00706C8F"/>
    <w:rsid w:val="00707A40"/>
    <w:rsid w:val="007108D1"/>
    <w:rsid w:val="00710EC9"/>
    <w:rsid w:val="007111EB"/>
    <w:rsid w:val="007121D0"/>
    <w:rsid w:val="00712CB4"/>
    <w:rsid w:val="00713B34"/>
    <w:rsid w:val="00716D79"/>
    <w:rsid w:val="00716F4F"/>
    <w:rsid w:val="0071751E"/>
    <w:rsid w:val="007176CC"/>
    <w:rsid w:val="0072080C"/>
    <w:rsid w:val="00720DEB"/>
    <w:rsid w:val="007215EE"/>
    <w:rsid w:val="00723D44"/>
    <w:rsid w:val="007244CF"/>
    <w:rsid w:val="007245D7"/>
    <w:rsid w:val="00724A7E"/>
    <w:rsid w:val="00724C43"/>
    <w:rsid w:val="00725818"/>
    <w:rsid w:val="007264BB"/>
    <w:rsid w:val="0072654A"/>
    <w:rsid w:val="00726683"/>
    <w:rsid w:val="00726CE7"/>
    <w:rsid w:val="00726DE4"/>
    <w:rsid w:val="00727309"/>
    <w:rsid w:val="00727BD9"/>
    <w:rsid w:val="007301EA"/>
    <w:rsid w:val="007301FD"/>
    <w:rsid w:val="00730A84"/>
    <w:rsid w:val="00732602"/>
    <w:rsid w:val="00732A3E"/>
    <w:rsid w:val="00732D2D"/>
    <w:rsid w:val="0073307B"/>
    <w:rsid w:val="00733369"/>
    <w:rsid w:val="00734AFE"/>
    <w:rsid w:val="007352C3"/>
    <w:rsid w:val="0073588E"/>
    <w:rsid w:val="0073599C"/>
    <w:rsid w:val="00736D45"/>
    <w:rsid w:val="00737485"/>
    <w:rsid w:val="00740259"/>
    <w:rsid w:val="00741012"/>
    <w:rsid w:val="00741AE2"/>
    <w:rsid w:val="00741B05"/>
    <w:rsid w:val="0074234F"/>
    <w:rsid w:val="007427EF"/>
    <w:rsid w:val="00742B3B"/>
    <w:rsid w:val="00742B45"/>
    <w:rsid w:val="007438EB"/>
    <w:rsid w:val="0074421C"/>
    <w:rsid w:val="007446D1"/>
    <w:rsid w:val="00744AD2"/>
    <w:rsid w:val="00745BAA"/>
    <w:rsid w:val="00746F71"/>
    <w:rsid w:val="007505AC"/>
    <w:rsid w:val="00750BFD"/>
    <w:rsid w:val="00751CDE"/>
    <w:rsid w:val="00751D5E"/>
    <w:rsid w:val="00752069"/>
    <w:rsid w:val="00752BD1"/>
    <w:rsid w:val="007534DB"/>
    <w:rsid w:val="00756C79"/>
    <w:rsid w:val="00756E90"/>
    <w:rsid w:val="007573FB"/>
    <w:rsid w:val="00760B8B"/>
    <w:rsid w:val="00760FEA"/>
    <w:rsid w:val="007613B7"/>
    <w:rsid w:val="00761B96"/>
    <w:rsid w:val="0076241B"/>
    <w:rsid w:val="00762AB4"/>
    <w:rsid w:val="00763C79"/>
    <w:rsid w:val="00763D7E"/>
    <w:rsid w:val="007640C0"/>
    <w:rsid w:val="007643BB"/>
    <w:rsid w:val="007649AF"/>
    <w:rsid w:val="00764B23"/>
    <w:rsid w:val="00764C5F"/>
    <w:rsid w:val="0076533B"/>
    <w:rsid w:val="00765AD9"/>
    <w:rsid w:val="007671CA"/>
    <w:rsid w:val="00767245"/>
    <w:rsid w:val="007674ED"/>
    <w:rsid w:val="007679F6"/>
    <w:rsid w:val="00771340"/>
    <w:rsid w:val="00773B4E"/>
    <w:rsid w:val="00773B95"/>
    <w:rsid w:val="00774A83"/>
    <w:rsid w:val="00775540"/>
    <w:rsid w:val="00775C6E"/>
    <w:rsid w:val="00775CB2"/>
    <w:rsid w:val="00775F22"/>
    <w:rsid w:val="007762C6"/>
    <w:rsid w:val="00776403"/>
    <w:rsid w:val="00780A8F"/>
    <w:rsid w:val="00780AB8"/>
    <w:rsid w:val="00780E26"/>
    <w:rsid w:val="0078189B"/>
    <w:rsid w:val="00783B03"/>
    <w:rsid w:val="00783ED7"/>
    <w:rsid w:val="00784C5A"/>
    <w:rsid w:val="00784CAD"/>
    <w:rsid w:val="00784E66"/>
    <w:rsid w:val="007859E3"/>
    <w:rsid w:val="00785A70"/>
    <w:rsid w:val="00786100"/>
    <w:rsid w:val="007862CB"/>
    <w:rsid w:val="007873D5"/>
    <w:rsid w:val="00787D0F"/>
    <w:rsid w:val="007900DE"/>
    <w:rsid w:val="007906F8"/>
    <w:rsid w:val="00790862"/>
    <w:rsid w:val="00790B5D"/>
    <w:rsid w:val="00791056"/>
    <w:rsid w:val="0079129D"/>
    <w:rsid w:val="0079139C"/>
    <w:rsid w:val="007914D5"/>
    <w:rsid w:val="007917ED"/>
    <w:rsid w:val="007928F8"/>
    <w:rsid w:val="00792945"/>
    <w:rsid w:val="0079438A"/>
    <w:rsid w:val="007944B3"/>
    <w:rsid w:val="00795162"/>
    <w:rsid w:val="00795D16"/>
    <w:rsid w:val="007962EF"/>
    <w:rsid w:val="0079715B"/>
    <w:rsid w:val="007A2E70"/>
    <w:rsid w:val="007A3074"/>
    <w:rsid w:val="007A30E7"/>
    <w:rsid w:val="007A3137"/>
    <w:rsid w:val="007A328B"/>
    <w:rsid w:val="007A4361"/>
    <w:rsid w:val="007A60CC"/>
    <w:rsid w:val="007A6B45"/>
    <w:rsid w:val="007A7399"/>
    <w:rsid w:val="007A749F"/>
    <w:rsid w:val="007A7735"/>
    <w:rsid w:val="007A7916"/>
    <w:rsid w:val="007B1216"/>
    <w:rsid w:val="007B1303"/>
    <w:rsid w:val="007B15B3"/>
    <w:rsid w:val="007B1C3D"/>
    <w:rsid w:val="007B3229"/>
    <w:rsid w:val="007B3E31"/>
    <w:rsid w:val="007B5873"/>
    <w:rsid w:val="007C1094"/>
    <w:rsid w:val="007C11A3"/>
    <w:rsid w:val="007C1B6E"/>
    <w:rsid w:val="007C2A04"/>
    <w:rsid w:val="007C3315"/>
    <w:rsid w:val="007C34CD"/>
    <w:rsid w:val="007C4423"/>
    <w:rsid w:val="007C44FA"/>
    <w:rsid w:val="007C4764"/>
    <w:rsid w:val="007C4F43"/>
    <w:rsid w:val="007C690C"/>
    <w:rsid w:val="007C6FC2"/>
    <w:rsid w:val="007C7788"/>
    <w:rsid w:val="007D0785"/>
    <w:rsid w:val="007D1FD6"/>
    <w:rsid w:val="007D24C5"/>
    <w:rsid w:val="007D256D"/>
    <w:rsid w:val="007D2998"/>
    <w:rsid w:val="007D3E8E"/>
    <w:rsid w:val="007D4150"/>
    <w:rsid w:val="007D601D"/>
    <w:rsid w:val="007D7092"/>
    <w:rsid w:val="007E084A"/>
    <w:rsid w:val="007E0920"/>
    <w:rsid w:val="007E1680"/>
    <w:rsid w:val="007E1ADB"/>
    <w:rsid w:val="007E20C6"/>
    <w:rsid w:val="007E250E"/>
    <w:rsid w:val="007E36A1"/>
    <w:rsid w:val="007E443B"/>
    <w:rsid w:val="007E452E"/>
    <w:rsid w:val="007E491A"/>
    <w:rsid w:val="007E4C17"/>
    <w:rsid w:val="007E4C9F"/>
    <w:rsid w:val="007E5231"/>
    <w:rsid w:val="007E54D0"/>
    <w:rsid w:val="007E5922"/>
    <w:rsid w:val="007E5FFE"/>
    <w:rsid w:val="007E61F2"/>
    <w:rsid w:val="007E62EC"/>
    <w:rsid w:val="007E67A6"/>
    <w:rsid w:val="007E67F3"/>
    <w:rsid w:val="007E6ACC"/>
    <w:rsid w:val="007F08B8"/>
    <w:rsid w:val="007F0A2A"/>
    <w:rsid w:val="007F1116"/>
    <w:rsid w:val="007F1FD4"/>
    <w:rsid w:val="007F27E4"/>
    <w:rsid w:val="007F37F6"/>
    <w:rsid w:val="007F3F40"/>
    <w:rsid w:val="007F4258"/>
    <w:rsid w:val="007F4A23"/>
    <w:rsid w:val="007F4E0B"/>
    <w:rsid w:val="007F52EF"/>
    <w:rsid w:val="007F5E87"/>
    <w:rsid w:val="007F70C5"/>
    <w:rsid w:val="007F76AF"/>
    <w:rsid w:val="00800008"/>
    <w:rsid w:val="008003ED"/>
    <w:rsid w:val="00800B19"/>
    <w:rsid w:val="00800B93"/>
    <w:rsid w:val="00801343"/>
    <w:rsid w:val="008017A4"/>
    <w:rsid w:val="008017ED"/>
    <w:rsid w:val="00804AA1"/>
    <w:rsid w:val="008060D5"/>
    <w:rsid w:val="00806677"/>
    <w:rsid w:val="00807C10"/>
    <w:rsid w:val="0081032B"/>
    <w:rsid w:val="008105FE"/>
    <w:rsid w:val="00811275"/>
    <w:rsid w:val="00811A51"/>
    <w:rsid w:val="00811F2E"/>
    <w:rsid w:val="00813075"/>
    <w:rsid w:val="008136DD"/>
    <w:rsid w:val="008141A8"/>
    <w:rsid w:val="00814801"/>
    <w:rsid w:val="0081485B"/>
    <w:rsid w:val="00814D9A"/>
    <w:rsid w:val="00815259"/>
    <w:rsid w:val="00815CFC"/>
    <w:rsid w:val="00816C6B"/>
    <w:rsid w:val="0082021C"/>
    <w:rsid w:val="008213D3"/>
    <w:rsid w:val="008222A3"/>
    <w:rsid w:val="008230CC"/>
    <w:rsid w:val="0082341A"/>
    <w:rsid w:val="008234B8"/>
    <w:rsid w:val="0082379F"/>
    <w:rsid w:val="00823828"/>
    <w:rsid w:val="0082472D"/>
    <w:rsid w:val="008254C3"/>
    <w:rsid w:val="00825534"/>
    <w:rsid w:val="0082603A"/>
    <w:rsid w:val="008269E5"/>
    <w:rsid w:val="0083091B"/>
    <w:rsid w:val="00830D2F"/>
    <w:rsid w:val="008315FB"/>
    <w:rsid w:val="00831AAE"/>
    <w:rsid w:val="00831DA3"/>
    <w:rsid w:val="008329ED"/>
    <w:rsid w:val="00835A35"/>
    <w:rsid w:val="008371AF"/>
    <w:rsid w:val="00837C13"/>
    <w:rsid w:val="00837EBA"/>
    <w:rsid w:val="00843E71"/>
    <w:rsid w:val="00844104"/>
    <w:rsid w:val="00844392"/>
    <w:rsid w:val="00844742"/>
    <w:rsid w:val="00844974"/>
    <w:rsid w:val="008460AE"/>
    <w:rsid w:val="008475EF"/>
    <w:rsid w:val="008476B7"/>
    <w:rsid w:val="00847A59"/>
    <w:rsid w:val="00851445"/>
    <w:rsid w:val="00851748"/>
    <w:rsid w:val="00852F71"/>
    <w:rsid w:val="008548BC"/>
    <w:rsid w:val="008548D1"/>
    <w:rsid w:val="00854DEA"/>
    <w:rsid w:val="00855354"/>
    <w:rsid w:val="008563DD"/>
    <w:rsid w:val="00856A4B"/>
    <w:rsid w:val="00856FCF"/>
    <w:rsid w:val="008573C7"/>
    <w:rsid w:val="00857A34"/>
    <w:rsid w:val="00860170"/>
    <w:rsid w:val="0086072B"/>
    <w:rsid w:val="00860CE7"/>
    <w:rsid w:val="00861DBB"/>
    <w:rsid w:val="00862D81"/>
    <w:rsid w:val="008639D9"/>
    <w:rsid w:val="00865AD2"/>
    <w:rsid w:val="00866D03"/>
    <w:rsid w:val="008673F1"/>
    <w:rsid w:val="00867477"/>
    <w:rsid w:val="00870966"/>
    <w:rsid w:val="00871285"/>
    <w:rsid w:val="00871CA6"/>
    <w:rsid w:val="008720BD"/>
    <w:rsid w:val="008726C0"/>
    <w:rsid w:val="00872A15"/>
    <w:rsid w:val="008732B5"/>
    <w:rsid w:val="008733D1"/>
    <w:rsid w:val="00873DC6"/>
    <w:rsid w:val="00875EEC"/>
    <w:rsid w:val="00876745"/>
    <w:rsid w:val="008779B4"/>
    <w:rsid w:val="00880D99"/>
    <w:rsid w:val="008816DF"/>
    <w:rsid w:val="00884EFE"/>
    <w:rsid w:val="00885D28"/>
    <w:rsid w:val="00886C15"/>
    <w:rsid w:val="00886FBA"/>
    <w:rsid w:val="00887115"/>
    <w:rsid w:val="008904BA"/>
    <w:rsid w:val="00890862"/>
    <w:rsid w:val="008908BF"/>
    <w:rsid w:val="00890B3F"/>
    <w:rsid w:val="00891207"/>
    <w:rsid w:val="00891610"/>
    <w:rsid w:val="00892606"/>
    <w:rsid w:val="00892E51"/>
    <w:rsid w:val="0089335A"/>
    <w:rsid w:val="008938C9"/>
    <w:rsid w:val="008941BD"/>
    <w:rsid w:val="008949D6"/>
    <w:rsid w:val="008949F3"/>
    <w:rsid w:val="00895132"/>
    <w:rsid w:val="0089541C"/>
    <w:rsid w:val="008957A4"/>
    <w:rsid w:val="00895A52"/>
    <w:rsid w:val="0089649D"/>
    <w:rsid w:val="008964C4"/>
    <w:rsid w:val="00897644"/>
    <w:rsid w:val="00897AD6"/>
    <w:rsid w:val="008A02A5"/>
    <w:rsid w:val="008A12F5"/>
    <w:rsid w:val="008A15C4"/>
    <w:rsid w:val="008A1721"/>
    <w:rsid w:val="008A300E"/>
    <w:rsid w:val="008A39AC"/>
    <w:rsid w:val="008A39F9"/>
    <w:rsid w:val="008A62D0"/>
    <w:rsid w:val="008A64C9"/>
    <w:rsid w:val="008A69BE"/>
    <w:rsid w:val="008B065F"/>
    <w:rsid w:val="008B107D"/>
    <w:rsid w:val="008B12B7"/>
    <w:rsid w:val="008B168A"/>
    <w:rsid w:val="008B1B37"/>
    <w:rsid w:val="008B1BED"/>
    <w:rsid w:val="008B2A92"/>
    <w:rsid w:val="008B310B"/>
    <w:rsid w:val="008B3497"/>
    <w:rsid w:val="008B4044"/>
    <w:rsid w:val="008B414C"/>
    <w:rsid w:val="008B5162"/>
    <w:rsid w:val="008B5CF0"/>
    <w:rsid w:val="008B659E"/>
    <w:rsid w:val="008B769A"/>
    <w:rsid w:val="008B782A"/>
    <w:rsid w:val="008C077F"/>
    <w:rsid w:val="008C0B90"/>
    <w:rsid w:val="008C12B9"/>
    <w:rsid w:val="008C14DF"/>
    <w:rsid w:val="008C1C2E"/>
    <w:rsid w:val="008C3106"/>
    <w:rsid w:val="008C46E1"/>
    <w:rsid w:val="008C46F2"/>
    <w:rsid w:val="008C5062"/>
    <w:rsid w:val="008C58D7"/>
    <w:rsid w:val="008C7F92"/>
    <w:rsid w:val="008D11A8"/>
    <w:rsid w:val="008D1D4E"/>
    <w:rsid w:val="008D315C"/>
    <w:rsid w:val="008D33B9"/>
    <w:rsid w:val="008D3479"/>
    <w:rsid w:val="008D3C03"/>
    <w:rsid w:val="008D49C9"/>
    <w:rsid w:val="008D4B6E"/>
    <w:rsid w:val="008D4E0E"/>
    <w:rsid w:val="008D6673"/>
    <w:rsid w:val="008D6FB5"/>
    <w:rsid w:val="008D7DAF"/>
    <w:rsid w:val="008E28FD"/>
    <w:rsid w:val="008E2BA7"/>
    <w:rsid w:val="008E472F"/>
    <w:rsid w:val="008E4C3F"/>
    <w:rsid w:val="008E5038"/>
    <w:rsid w:val="008E51EB"/>
    <w:rsid w:val="008E52D6"/>
    <w:rsid w:val="008E5542"/>
    <w:rsid w:val="008E5A08"/>
    <w:rsid w:val="008E5C42"/>
    <w:rsid w:val="008E632D"/>
    <w:rsid w:val="008E77EE"/>
    <w:rsid w:val="008E7FAE"/>
    <w:rsid w:val="008F1299"/>
    <w:rsid w:val="008F1462"/>
    <w:rsid w:val="008F2207"/>
    <w:rsid w:val="008F2C95"/>
    <w:rsid w:val="008F2F11"/>
    <w:rsid w:val="008F3613"/>
    <w:rsid w:val="008F4305"/>
    <w:rsid w:val="008F52DE"/>
    <w:rsid w:val="008F5A61"/>
    <w:rsid w:val="008F5BF0"/>
    <w:rsid w:val="008F749F"/>
    <w:rsid w:val="009003FB"/>
    <w:rsid w:val="00901A87"/>
    <w:rsid w:val="0090475F"/>
    <w:rsid w:val="00905F3D"/>
    <w:rsid w:val="00907599"/>
    <w:rsid w:val="00910118"/>
    <w:rsid w:val="009102D5"/>
    <w:rsid w:val="00910CD6"/>
    <w:rsid w:val="00911B05"/>
    <w:rsid w:val="0091452E"/>
    <w:rsid w:val="00914A4F"/>
    <w:rsid w:val="00914E8D"/>
    <w:rsid w:val="00914ED8"/>
    <w:rsid w:val="00915313"/>
    <w:rsid w:val="00915CFE"/>
    <w:rsid w:val="0092037C"/>
    <w:rsid w:val="00920530"/>
    <w:rsid w:val="00922000"/>
    <w:rsid w:val="00922E05"/>
    <w:rsid w:val="00923B2B"/>
    <w:rsid w:val="00923BB9"/>
    <w:rsid w:val="00923CF1"/>
    <w:rsid w:val="0092557C"/>
    <w:rsid w:val="00925741"/>
    <w:rsid w:val="00925E6E"/>
    <w:rsid w:val="009264DC"/>
    <w:rsid w:val="00926DCC"/>
    <w:rsid w:val="00927933"/>
    <w:rsid w:val="0093037F"/>
    <w:rsid w:val="00930DB1"/>
    <w:rsid w:val="00931B40"/>
    <w:rsid w:val="0093201D"/>
    <w:rsid w:val="0093303C"/>
    <w:rsid w:val="00933E7F"/>
    <w:rsid w:val="00934A6A"/>
    <w:rsid w:val="0093619C"/>
    <w:rsid w:val="009362CC"/>
    <w:rsid w:val="009364B1"/>
    <w:rsid w:val="00936BEC"/>
    <w:rsid w:val="00940567"/>
    <w:rsid w:val="009408E8"/>
    <w:rsid w:val="00941551"/>
    <w:rsid w:val="00943467"/>
    <w:rsid w:val="0094450B"/>
    <w:rsid w:val="00950309"/>
    <w:rsid w:val="00950641"/>
    <w:rsid w:val="00950717"/>
    <w:rsid w:val="0095088A"/>
    <w:rsid w:val="00950D2B"/>
    <w:rsid w:val="00952C1F"/>
    <w:rsid w:val="00955194"/>
    <w:rsid w:val="00955D34"/>
    <w:rsid w:val="009569E3"/>
    <w:rsid w:val="00956CFC"/>
    <w:rsid w:val="009572E8"/>
    <w:rsid w:val="009609DE"/>
    <w:rsid w:val="009615AB"/>
    <w:rsid w:val="00962078"/>
    <w:rsid w:val="00962FB1"/>
    <w:rsid w:val="00962FBD"/>
    <w:rsid w:val="009630E6"/>
    <w:rsid w:val="00963539"/>
    <w:rsid w:val="009639A6"/>
    <w:rsid w:val="009645D9"/>
    <w:rsid w:val="00965320"/>
    <w:rsid w:val="00965813"/>
    <w:rsid w:val="009677FC"/>
    <w:rsid w:val="0097089F"/>
    <w:rsid w:val="009710BF"/>
    <w:rsid w:val="00971478"/>
    <w:rsid w:val="0097184A"/>
    <w:rsid w:val="009719F5"/>
    <w:rsid w:val="0097203B"/>
    <w:rsid w:val="0097309D"/>
    <w:rsid w:val="009738AD"/>
    <w:rsid w:val="00974CBC"/>
    <w:rsid w:val="00975D45"/>
    <w:rsid w:val="00977453"/>
    <w:rsid w:val="009776A8"/>
    <w:rsid w:val="00980424"/>
    <w:rsid w:val="009814A4"/>
    <w:rsid w:val="009818AD"/>
    <w:rsid w:val="00982145"/>
    <w:rsid w:val="0098247D"/>
    <w:rsid w:val="009834B8"/>
    <w:rsid w:val="009841E6"/>
    <w:rsid w:val="00984244"/>
    <w:rsid w:val="009847D3"/>
    <w:rsid w:val="0098610C"/>
    <w:rsid w:val="00986597"/>
    <w:rsid w:val="00986EEB"/>
    <w:rsid w:val="00987206"/>
    <w:rsid w:val="009872CA"/>
    <w:rsid w:val="00990373"/>
    <w:rsid w:val="0099167F"/>
    <w:rsid w:val="0099195E"/>
    <w:rsid w:val="009927EE"/>
    <w:rsid w:val="00992C21"/>
    <w:rsid w:val="00993414"/>
    <w:rsid w:val="00994F18"/>
    <w:rsid w:val="0099594B"/>
    <w:rsid w:val="00995C71"/>
    <w:rsid w:val="00995E04"/>
    <w:rsid w:val="00996833"/>
    <w:rsid w:val="00996FA7"/>
    <w:rsid w:val="00997AD0"/>
    <w:rsid w:val="009A01A9"/>
    <w:rsid w:val="009A1B85"/>
    <w:rsid w:val="009A2633"/>
    <w:rsid w:val="009A26CB"/>
    <w:rsid w:val="009A2BBF"/>
    <w:rsid w:val="009A30F9"/>
    <w:rsid w:val="009A30FE"/>
    <w:rsid w:val="009A36DA"/>
    <w:rsid w:val="009A3926"/>
    <w:rsid w:val="009A464D"/>
    <w:rsid w:val="009A5854"/>
    <w:rsid w:val="009A68AC"/>
    <w:rsid w:val="009A6973"/>
    <w:rsid w:val="009A6A11"/>
    <w:rsid w:val="009A738C"/>
    <w:rsid w:val="009A7893"/>
    <w:rsid w:val="009A7A3F"/>
    <w:rsid w:val="009B0165"/>
    <w:rsid w:val="009B0C17"/>
    <w:rsid w:val="009B1693"/>
    <w:rsid w:val="009B21F9"/>
    <w:rsid w:val="009B29B5"/>
    <w:rsid w:val="009B3CDC"/>
    <w:rsid w:val="009B4F56"/>
    <w:rsid w:val="009B5056"/>
    <w:rsid w:val="009B5707"/>
    <w:rsid w:val="009B62F6"/>
    <w:rsid w:val="009B69FF"/>
    <w:rsid w:val="009B7069"/>
    <w:rsid w:val="009B732C"/>
    <w:rsid w:val="009C07E1"/>
    <w:rsid w:val="009C29A2"/>
    <w:rsid w:val="009C485A"/>
    <w:rsid w:val="009C4A4C"/>
    <w:rsid w:val="009C4E3C"/>
    <w:rsid w:val="009C4EFD"/>
    <w:rsid w:val="009C51CA"/>
    <w:rsid w:val="009C5857"/>
    <w:rsid w:val="009C5B2C"/>
    <w:rsid w:val="009C5EAB"/>
    <w:rsid w:val="009C6087"/>
    <w:rsid w:val="009C6372"/>
    <w:rsid w:val="009C67AF"/>
    <w:rsid w:val="009C73AA"/>
    <w:rsid w:val="009C7F73"/>
    <w:rsid w:val="009D083F"/>
    <w:rsid w:val="009D0A59"/>
    <w:rsid w:val="009D16CE"/>
    <w:rsid w:val="009D21C8"/>
    <w:rsid w:val="009D365A"/>
    <w:rsid w:val="009D4A00"/>
    <w:rsid w:val="009D4BB2"/>
    <w:rsid w:val="009D4DC9"/>
    <w:rsid w:val="009D54F7"/>
    <w:rsid w:val="009D5787"/>
    <w:rsid w:val="009D5D30"/>
    <w:rsid w:val="009D6928"/>
    <w:rsid w:val="009D6D27"/>
    <w:rsid w:val="009D77C5"/>
    <w:rsid w:val="009D7E11"/>
    <w:rsid w:val="009D7F29"/>
    <w:rsid w:val="009E04B5"/>
    <w:rsid w:val="009E132E"/>
    <w:rsid w:val="009E1D33"/>
    <w:rsid w:val="009E24DA"/>
    <w:rsid w:val="009E2523"/>
    <w:rsid w:val="009E32E4"/>
    <w:rsid w:val="009E47AA"/>
    <w:rsid w:val="009E49B3"/>
    <w:rsid w:val="009E5263"/>
    <w:rsid w:val="009E556C"/>
    <w:rsid w:val="009E5B9B"/>
    <w:rsid w:val="009E6354"/>
    <w:rsid w:val="009E69D2"/>
    <w:rsid w:val="009E6AF5"/>
    <w:rsid w:val="009E768C"/>
    <w:rsid w:val="009E7759"/>
    <w:rsid w:val="009F0039"/>
    <w:rsid w:val="009F0EEA"/>
    <w:rsid w:val="009F0F08"/>
    <w:rsid w:val="009F29E9"/>
    <w:rsid w:val="009F30F5"/>
    <w:rsid w:val="009F37B5"/>
    <w:rsid w:val="009F3EFB"/>
    <w:rsid w:val="009F4A52"/>
    <w:rsid w:val="009F4DC5"/>
    <w:rsid w:val="009F5577"/>
    <w:rsid w:val="009F56B1"/>
    <w:rsid w:val="009F759E"/>
    <w:rsid w:val="009F7EE4"/>
    <w:rsid w:val="00A01668"/>
    <w:rsid w:val="00A016AD"/>
    <w:rsid w:val="00A0170D"/>
    <w:rsid w:val="00A01F74"/>
    <w:rsid w:val="00A02258"/>
    <w:rsid w:val="00A022AC"/>
    <w:rsid w:val="00A02F19"/>
    <w:rsid w:val="00A03540"/>
    <w:rsid w:val="00A03CFC"/>
    <w:rsid w:val="00A04557"/>
    <w:rsid w:val="00A045AB"/>
    <w:rsid w:val="00A056A3"/>
    <w:rsid w:val="00A05C20"/>
    <w:rsid w:val="00A06859"/>
    <w:rsid w:val="00A06D02"/>
    <w:rsid w:val="00A0757E"/>
    <w:rsid w:val="00A0769D"/>
    <w:rsid w:val="00A0775B"/>
    <w:rsid w:val="00A07FF8"/>
    <w:rsid w:val="00A11222"/>
    <w:rsid w:val="00A1216E"/>
    <w:rsid w:val="00A1300E"/>
    <w:rsid w:val="00A132B5"/>
    <w:rsid w:val="00A1419D"/>
    <w:rsid w:val="00A14440"/>
    <w:rsid w:val="00A14A28"/>
    <w:rsid w:val="00A169B3"/>
    <w:rsid w:val="00A175D0"/>
    <w:rsid w:val="00A17689"/>
    <w:rsid w:val="00A177C3"/>
    <w:rsid w:val="00A2100F"/>
    <w:rsid w:val="00A217A4"/>
    <w:rsid w:val="00A21D19"/>
    <w:rsid w:val="00A2278C"/>
    <w:rsid w:val="00A22CCF"/>
    <w:rsid w:val="00A23718"/>
    <w:rsid w:val="00A24421"/>
    <w:rsid w:val="00A24727"/>
    <w:rsid w:val="00A24C87"/>
    <w:rsid w:val="00A258ED"/>
    <w:rsid w:val="00A2639A"/>
    <w:rsid w:val="00A26F07"/>
    <w:rsid w:val="00A302AF"/>
    <w:rsid w:val="00A3036A"/>
    <w:rsid w:val="00A30378"/>
    <w:rsid w:val="00A307B7"/>
    <w:rsid w:val="00A314AC"/>
    <w:rsid w:val="00A31FE7"/>
    <w:rsid w:val="00A32010"/>
    <w:rsid w:val="00A3258D"/>
    <w:rsid w:val="00A335F2"/>
    <w:rsid w:val="00A33826"/>
    <w:rsid w:val="00A33A2F"/>
    <w:rsid w:val="00A33D53"/>
    <w:rsid w:val="00A34054"/>
    <w:rsid w:val="00A34622"/>
    <w:rsid w:val="00A365EE"/>
    <w:rsid w:val="00A37366"/>
    <w:rsid w:val="00A37414"/>
    <w:rsid w:val="00A3790C"/>
    <w:rsid w:val="00A41311"/>
    <w:rsid w:val="00A41C63"/>
    <w:rsid w:val="00A435DE"/>
    <w:rsid w:val="00A43A88"/>
    <w:rsid w:val="00A44163"/>
    <w:rsid w:val="00A448F0"/>
    <w:rsid w:val="00A44F52"/>
    <w:rsid w:val="00A459DA"/>
    <w:rsid w:val="00A50017"/>
    <w:rsid w:val="00A51485"/>
    <w:rsid w:val="00A519E1"/>
    <w:rsid w:val="00A52F4C"/>
    <w:rsid w:val="00A53633"/>
    <w:rsid w:val="00A53EF0"/>
    <w:rsid w:val="00A54CFB"/>
    <w:rsid w:val="00A5604D"/>
    <w:rsid w:val="00A564DD"/>
    <w:rsid w:val="00A570A9"/>
    <w:rsid w:val="00A573DD"/>
    <w:rsid w:val="00A57447"/>
    <w:rsid w:val="00A57681"/>
    <w:rsid w:val="00A5782C"/>
    <w:rsid w:val="00A579ED"/>
    <w:rsid w:val="00A60A6F"/>
    <w:rsid w:val="00A618C5"/>
    <w:rsid w:val="00A61A02"/>
    <w:rsid w:val="00A623DA"/>
    <w:rsid w:val="00A62428"/>
    <w:rsid w:val="00A62850"/>
    <w:rsid w:val="00A63067"/>
    <w:rsid w:val="00A6393C"/>
    <w:rsid w:val="00A6396D"/>
    <w:rsid w:val="00A63C8A"/>
    <w:rsid w:val="00A651C8"/>
    <w:rsid w:val="00A65BE0"/>
    <w:rsid w:val="00A666D2"/>
    <w:rsid w:val="00A66F46"/>
    <w:rsid w:val="00A70A32"/>
    <w:rsid w:val="00A7103C"/>
    <w:rsid w:val="00A710CD"/>
    <w:rsid w:val="00A723D3"/>
    <w:rsid w:val="00A72E5A"/>
    <w:rsid w:val="00A7306B"/>
    <w:rsid w:val="00A73384"/>
    <w:rsid w:val="00A733F4"/>
    <w:rsid w:val="00A735D9"/>
    <w:rsid w:val="00A736D0"/>
    <w:rsid w:val="00A73EF4"/>
    <w:rsid w:val="00A746D2"/>
    <w:rsid w:val="00A7495B"/>
    <w:rsid w:val="00A751BA"/>
    <w:rsid w:val="00A75339"/>
    <w:rsid w:val="00A75984"/>
    <w:rsid w:val="00A76C3E"/>
    <w:rsid w:val="00A77258"/>
    <w:rsid w:val="00A80607"/>
    <w:rsid w:val="00A80789"/>
    <w:rsid w:val="00A80989"/>
    <w:rsid w:val="00A809B8"/>
    <w:rsid w:val="00A80D01"/>
    <w:rsid w:val="00A80FD4"/>
    <w:rsid w:val="00A817A7"/>
    <w:rsid w:val="00A83BBF"/>
    <w:rsid w:val="00A84832"/>
    <w:rsid w:val="00A848BA"/>
    <w:rsid w:val="00A850B3"/>
    <w:rsid w:val="00A862D0"/>
    <w:rsid w:val="00A873AD"/>
    <w:rsid w:val="00A87C60"/>
    <w:rsid w:val="00A90A27"/>
    <w:rsid w:val="00A918DE"/>
    <w:rsid w:val="00A91CA9"/>
    <w:rsid w:val="00A91D51"/>
    <w:rsid w:val="00A91D93"/>
    <w:rsid w:val="00A92BF2"/>
    <w:rsid w:val="00A93401"/>
    <w:rsid w:val="00A93812"/>
    <w:rsid w:val="00A9396C"/>
    <w:rsid w:val="00A95F76"/>
    <w:rsid w:val="00A967F1"/>
    <w:rsid w:val="00A96D56"/>
    <w:rsid w:val="00A96F85"/>
    <w:rsid w:val="00A97C28"/>
    <w:rsid w:val="00A97E66"/>
    <w:rsid w:val="00AA0358"/>
    <w:rsid w:val="00AA135A"/>
    <w:rsid w:val="00AA14A1"/>
    <w:rsid w:val="00AA1686"/>
    <w:rsid w:val="00AA17D1"/>
    <w:rsid w:val="00AA1A7C"/>
    <w:rsid w:val="00AA1C03"/>
    <w:rsid w:val="00AA21AB"/>
    <w:rsid w:val="00AA2381"/>
    <w:rsid w:val="00AA24C5"/>
    <w:rsid w:val="00AA3E68"/>
    <w:rsid w:val="00AA4AB6"/>
    <w:rsid w:val="00AA5DF1"/>
    <w:rsid w:val="00AA63AE"/>
    <w:rsid w:val="00AA653F"/>
    <w:rsid w:val="00AA688C"/>
    <w:rsid w:val="00AB0A9D"/>
    <w:rsid w:val="00AB0B86"/>
    <w:rsid w:val="00AB0DDC"/>
    <w:rsid w:val="00AB17A7"/>
    <w:rsid w:val="00AB283F"/>
    <w:rsid w:val="00AB35E0"/>
    <w:rsid w:val="00AB4B35"/>
    <w:rsid w:val="00AB5879"/>
    <w:rsid w:val="00AB723E"/>
    <w:rsid w:val="00AB786D"/>
    <w:rsid w:val="00AB7B3D"/>
    <w:rsid w:val="00AB7CCB"/>
    <w:rsid w:val="00AC1B17"/>
    <w:rsid w:val="00AC2017"/>
    <w:rsid w:val="00AC2D88"/>
    <w:rsid w:val="00AC3F81"/>
    <w:rsid w:val="00AC51BF"/>
    <w:rsid w:val="00AC5B75"/>
    <w:rsid w:val="00AC5F4C"/>
    <w:rsid w:val="00AC7152"/>
    <w:rsid w:val="00AC7389"/>
    <w:rsid w:val="00AC76C6"/>
    <w:rsid w:val="00AC7A58"/>
    <w:rsid w:val="00AC7C5D"/>
    <w:rsid w:val="00AC7DF2"/>
    <w:rsid w:val="00AD02AB"/>
    <w:rsid w:val="00AD09AB"/>
    <w:rsid w:val="00AD115E"/>
    <w:rsid w:val="00AD23B0"/>
    <w:rsid w:val="00AD295F"/>
    <w:rsid w:val="00AD3195"/>
    <w:rsid w:val="00AD36A9"/>
    <w:rsid w:val="00AD388F"/>
    <w:rsid w:val="00AD401A"/>
    <w:rsid w:val="00AD40F3"/>
    <w:rsid w:val="00AD4421"/>
    <w:rsid w:val="00AD4ABA"/>
    <w:rsid w:val="00AD4CB9"/>
    <w:rsid w:val="00AD55EC"/>
    <w:rsid w:val="00AD5BF5"/>
    <w:rsid w:val="00AD643E"/>
    <w:rsid w:val="00AD723C"/>
    <w:rsid w:val="00AD7A20"/>
    <w:rsid w:val="00AD7FCA"/>
    <w:rsid w:val="00AE03C9"/>
    <w:rsid w:val="00AE07AE"/>
    <w:rsid w:val="00AE0836"/>
    <w:rsid w:val="00AE08DF"/>
    <w:rsid w:val="00AE0A68"/>
    <w:rsid w:val="00AE0DA4"/>
    <w:rsid w:val="00AE10B2"/>
    <w:rsid w:val="00AE1B37"/>
    <w:rsid w:val="00AE2163"/>
    <w:rsid w:val="00AE2285"/>
    <w:rsid w:val="00AE2581"/>
    <w:rsid w:val="00AE318E"/>
    <w:rsid w:val="00AE338C"/>
    <w:rsid w:val="00AE59AE"/>
    <w:rsid w:val="00AE6B59"/>
    <w:rsid w:val="00AE721D"/>
    <w:rsid w:val="00AE7B9E"/>
    <w:rsid w:val="00AE7E10"/>
    <w:rsid w:val="00AF0772"/>
    <w:rsid w:val="00AF0AD1"/>
    <w:rsid w:val="00AF0D08"/>
    <w:rsid w:val="00AF18F4"/>
    <w:rsid w:val="00AF2246"/>
    <w:rsid w:val="00AF25E7"/>
    <w:rsid w:val="00AF2FA9"/>
    <w:rsid w:val="00AF4A5B"/>
    <w:rsid w:val="00AF4BD4"/>
    <w:rsid w:val="00AF4BFF"/>
    <w:rsid w:val="00AF4F2D"/>
    <w:rsid w:val="00AF5141"/>
    <w:rsid w:val="00AF5B1C"/>
    <w:rsid w:val="00AF664F"/>
    <w:rsid w:val="00AF66A2"/>
    <w:rsid w:val="00AF6C1B"/>
    <w:rsid w:val="00AF7C21"/>
    <w:rsid w:val="00B004E2"/>
    <w:rsid w:val="00B009D1"/>
    <w:rsid w:val="00B010D8"/>
    <w:rsid w:val="00B0138B"/>
    <w:rsid w:val="00B01AE6"/>
    <w:rsid w:val="00B01C1C"/>
    <w:rsid w:val="00B02064"/>
    <w:rsid w:val="00B025C1"/>
    <w:rsid w:val="00B055C9"/>
    <w:rsid w:val="00B06899"/>
    <w:rsid w:val="00B068D4"/>
    <w:rsid w:val="00B0727B"/>
    <w:rsid w:val="00B07B8F"/>
    <w:rsid w:val="00B104CE"/>
    <w:rsid w:val="00B10C11"/>
    <w:rsid w:val="00B11A30"/>
    <w:rsid w:val="00B11EA4"/>
    <w:rsid w:val="00B11EB3"/>
    <w:rsid w:val="00B12DA3"/>
    <w:rsid w:val="00B13F15"/>
    <w:rsid w:val="00B15E8D"/>
    <w:rsid w:val="00B1634C"/>
    <w:rsid w:val="00B171DB"/>
    <w:rsid w:val="00B17981"/>
    <w:rsid w:val="00B201F0"/>
    <w:rsid w:val="00B21A66"/>
    <w:rsid w:val="00B225BF"/>
    <w:rsid w:val="00B22BA7"/>
    <w:rsid w:val="00B23066"/>
    <w:rsid w:val="00B2362B"/>
    <w:rsid w:val="00B237F4"/>
    <w:rsid w:val="00B238D6"/>
    <w:rsid w:val="00B2494E"/>
    <w:rsid w:val="00B24A2B"/>
    <w:rsid w:val="00B24B6D"/>
    <w:rsid w:val="00B256B2"/>
    <w:rsid w:val="00B25D0B"/>
    <w:rsid w:val="00B26C77"/>
    <w:rsid w:val="00B26C98"/>
    <w:rsid w:val="00B2750C"/>
    <w:rsid w:val="00B27EA7"/>
    <w:rsid w:val="00B30202"/>
    <w:rsid w:val="00B3031A"/>
    <w:rsid w:val="00B3053A"/>
    <w:rsid w:val="00B30AFA"/>
    <w:rsid w:val="00B32C0B"/>
    <w:rsid w:val="00B32CAE"/>
    <w:rsid w:val="00B33795"/>
    <w:rsid w:val="00B33C4B"/>
    <w:rsid w:val="00B36777"/>
    <w:rsid w:val="00B36B6F"/>
    <w:rsid w:val="00B37338"/>
    <w:rsid w:val="00B379B8"/>
    <w:rsid w:val="00B415DA"/>
    <w:rsid w:val="00B416BA"/>
    <w:rsid w:val="00B41995"/>
    <w:rsid w:val="00B423C6"/>
    <w:rsid w:val="00B4251E"/>
    <w:rsid w:val="00B42C23"/>
    <w:rsid w:val="00B42E15"/>
    <w:rsid w:val="00B430C8"/>
    <w:rsid w:val="00B4344D"/>
    <w:rsid w:val="00B44504"/>
    <w:rsid w:val="00B445D3"/>
    <w:rsid w:val="00B44913"/>
    <w:rsid w:val="00B44990"/>
    <w:rsid w:val="00B44BF4"/>
    <w:rsid w:val="00B459F6"/>
    <w:rsid w:val="00B462AE"/>
    <w:rsid w:val="00B4694A"/>
    <w:rsid w:val="00B5038C"/>
    <w:rsid w:val="00B503D3"/>
    <w:rsid w:val="00B50799"/>
    <w:rsid w:val="00B50938"/>
    <w:rsid w:val="00B52D14"/>
    <w:rsid w:val="00B531B5"/>
    <w:rsid w:val="00B538E2"/>
    <w:rsid w:val="00B55B6A"/>
    <w:rsid w:val="00B56961"/>
    <w:rsid w:val="00B56CC3"/>
    <w:rsid w:val="00B56FE6"/>
    <w:rsid w:val="00B579C7"/>
    <w:rsid w:val="00B57AC8"/>
    <w:rsid w:val="00B57D57"/>
    <w:rsid w:val="00B60328"/>
    <w:rsid w:val="00B61019"/>
    <w:rsid w:val="00B61EFC"/>
    <w:rsid w:val="00B635FE"/>
    <w:rsid w:val="00B63741"/>
    <w:rsid w:val="00B6382B"/>
    <w:rsid w:val="00B645A8"/>
    <w:rsid w:val="00B65A29"/>
    <w:rsid w:val="00B65C9F"/>
    <w:rsid w:val="00B66043"/>
    <w:rsid w:val="00B662F1"/>
    <w:rsid w:val="00B666A4"/>
    <w:rsid w:val="00B6706B"/>
    <w:rsid w:val="00B6706C"/>
    <w:rsid w:val="00B67259"/>
    <w:rsid w:val="00B6774D"/>
    <w:rsid w:val="00B717BC"/>
    <w:rsid w:val="00B725C6"/>
    <w:rsid w:val="00B739EE"/>
    <w:rsid w:val="00B73E97"/>
    <w:rsid w:val="00B74018"/>
    <w:rsid w:val="00B74082"/>
    <w:rsid w:val="00B74448"/>
    <w:rsid w:val="00B745C2"/>
    <w:rsid w:val="00B74847"/>
    <w:rsid w:val="00B76346"/>
    <w:rsid w:val="00B767DF"/>
    <w:rsid w:val="00B76D02"/>
    <w:rsid w:val="00B771C9"/>
    <w:rsid w:val="00B801D6"/>
    <w:rsid w:val="00B80808"/>
    <w:rsid w:val="00B81079"/>
    <w:rsid w:val="00B822B9"/>
    <w:rsid w:val="00B82469"/>
    <w:rsid w:val="00B82B91"/>
    <w:rsid w:val="00B8389C"/>
    <w:rsid w:val="00B839DB"/>
    <w:rsid w:val="00B84F77"/>
    <w:rsid w:val="00B8588A"/>
    <w:rsid w:val="00B85EAF"/>
    <w:rsid w:val="00B85F96"/>
    <w:rsid w:val="00B86307"/>
    <w:rsid w:val="00B8644D"/>
    <w:rsid w:val="00B866D6"/>
    <w:rsid w:val="00B879C8"/>
    <w:rsid w:val="00B902F9"/>
    <w:rsid w:val="00B911A9"/>
    <w:rsid w:val="00B925C3"/>
    <w:rsid w:val="00B93083"/>
    <w:rsid w:val="00B9316B"/>
    <w:rsid w:val="00B933CE"/>
    <w:rsid w:val="00B93CF1"/>
    <w:rsid w:val="00B94A4A"/>
    <w:rsid w:val="00B94FB6"/>
    <w:rsid w:val="00B9559F"/>
    <w:rsid w:val="00B95908"/>
    <w:rsid w:val="00B96084"/>
    <w:rsid w:val="00B96233"/>
    <w:rsid w:val="00B974F1"/>
    <w:rsid w:val="00BA0941"/>
    <w:rsid w:val="00BA0965"/>
    <w:rsid w:val="00BA0EAE"/>
    <w:rsid w:val="00BA11DE"/>
    <w:rsid w:val="00BA12C1"/>
    <w:rsid w:val="00BA1A55"/>
    <w:rsid w:val="00BA1F5E"/>
    <w:rsid w:val="00BA2146"/>
    <w:rsid w:val="00BA2F04"/>
    <w:rsid w:val="00BA2F65"/>
    <w:rsid w:val="00BA5537"/>
    <w:rsid w:val="00BA5CB0"/>
    <w:rsid w:val="00BA5E69"/>
    <w:rsid w:val="00BA6DBE"/>
    <w:rsid w:val="00BA7F6A"/>
    <w:rsid w:val="00BB0E09"/>
    <w:rsid w:val="00BB0F15"/>
    <w:rsid w:val="00BB135A"/>
    <w:rsid w:val="00BB1DBC"/>
    <w:rsid w:val="00BB21D6"/>
    <w:rsid w:val="00BB2284"/>
    <w:rsid w:val="00BB298F"/>
    <w:rsid w:val="00BB2D32"/>
    <w:rsid w:val="00BB3C3E"/>
    <w:rsid w:val="00BB4E1C"/>
    <w:rsid w:val="00BB4FD1"/>
    <w:rsid w:val="00BB5ACC"/>
    <w:rsid w:val="00BB6904"/>
    <w:rsid w:val="00BC1F40"/>
    <w:rsid w:val="00BC2FE2"/>
    <w:rsid w:val="00BC4259"/>
    <w:rsid w:val="00BC4536"/>
    <w:rsid w:val="00BC4720"/>
    <w:rsid w:val="00BC4962"/>
    <w:rsid w:val="00BC4CAA"/>
    <w:rsid w:val="00BC525D"/>
    <w:rsid w:val="00BC544E"/>
    <w:rsid w:val="00BC561E"/>
    <w:rsid w:val="00BC586C"/>
    <w:rsid w:val="00BC5C72"/>
    <w:rsid w:val="00BC697C"/>
    <w:rsid w:val="00BC6AA0"/>
    <w:rsid w:val="00BC74EB"/>
    <w:rsid w:val="00BC77E9"/>
    <w:rsid w:val="00BC7E2C"/>
    <w:rsid w:val="00BD0265"/>
    <w:rsid w:val="00BD2D45"/>
    <w:rsid w:val="00BD2FD3"/>
    <w:rsid w:val="00BD3603"/>
    <w:rsid w:val="00BD401F"/>
    <w:rsid w:val="00BD40FB"/>
    <w:rsid w:val="00BD4949"/>
    <w:rsid w:val="00BD553C"/>
    <w:rsid w:val="00BD6135"/>
    <w:rsid w:val="00BD6E4D"/>
    <w:rsid w:val="00BD7AFB"/>
    <w:rsid w:val="00BE0B9D"/>
    <w:rsid w:val="00BE17BC"/>
    <w:rsid w:val="00BE1B78"/>
    <w:rsid w:val="00BE1DEC"/>
    <w:rsid w:val="00BE3349"/>
    <w:rsid w:val="00BE4467"/>
    <w:rsid w:val="00BE47C8"/>
    <w:rsid w:val="00BE7B37"/>
    <w:rsid w:val="00BE7C0B"/>
    <w:rsid w:val="00BF0B4B"/>
    <w:rsid w:val="00BF2331"/>
    <w:rsid w:val="00BF2A6E"/>
    <w:rsid w:val="00BF2C5F"/>
    <w:rsid w:val="00BF397D"/>
    <w:rsid w:val="00BF4FA0"/>
    <w:rsid w:val="00BF5FB7"/>
    <w:rsid w:val="00BF60A4"/>
    <w:rsid w:val="00BF7EEF"/>
    <w:rsid w:val="00C014A6"/>
    <w:rsid w:val="00C018AC"/>
    <w:rsid w:val="00C02824"/>
    <w:rsid w:val="00C02CB8"/>
    <w:rsid w:val="00C02D84"/>
    <w:rsid w:val="00C039A5"/>
    <w:rsid w:val="00C039C4"/>
    <w:rsid w:val="00C047DC"/>
    <w:rsid w:val="00C048E6"/>
    <w:rsid w:val="00C06320"/>
    <w:rsid w:val="00C064D8"/>
    <w:rsid w:val="00C07AD8"/>
    <w:rsid w:val="00C105D1"/>
    <w:rsid w:val="00C1081D"/>
    <w:rsid w:val="00C1085E"/>
    <w:rsid w:val="00C1175B"/>
    <w:rsid w:val="00C118C0"/>
    <w:rsid w:val="00C119F2"/>
    <w:rsid w:val="00C11C19"/>
    <w:rsid w:val="00C12417"/>
    <w:rsid w:val="00C12C1C"/>
    <w:rsid w:val="00C1494D"/>
    <w:rsid w:val="00C15CE0"/>
    <w:rsid w:val="00C15E26"/>
    <w:rsid w:val="00C172FD"/>
    <w:rsid w:val="00C213D1"/>
    <w:rsid w:val="00C22D39"/>
    <w:rsid w:val="00C24620"/>
    <w:rsid w:val="00C24AD2"/>
    <w:rsid w:val="00C24C61"/>
    <w:rsid w:val="00C25CF5"/>
    <w:rsid w:val="00C26387"/>
    <w:rsid w:val="00C26D07"/>
    <w:rsid w:val="00C26EB2"/>
    <w:rsid w:val="00C27F3B"/>
    <w:rsid w:val="00C30FD0"/>
    <w:rsid w:val="00C310E5"/>
    <w:rsid w:val="00C32C48"/>
    <w:rsid w:val="00C34A6F"/>
    <w:rsid w:val="00C358E6"/>
    <w:rsid w:val="00C3590C"/>
    <w:rsid w:val="00C35ED0"/>
    <w:rsid w:val="00C3704E"/>
    <w:rsid w:val="00C40412"/>
    <w:rsid w:val="00C40F1E"/>
    <w:rsid w:val="00C4140F"/>
    <w:rsid w:val="00C41544"/>
    <w:rsid w:val="00C41942"/>
    <w:rsid w:val="00C44048"/>
    <w:rsid w:val="00C4473C"/>
    <w:rsid w:val="00C454F4"/>
    <w:rsid w:val="00C45564"/>
    <w:rsid w:val="00C456C7"/>
    <w:rsid w:val="00C46143"/>
    <w:rsid w:val="00C46635"/>
    <w:rsid w:val="00C50205"/>
    <w:rsid w:val="00C50C7A"/>
    <w:rsid w:val="00C50E86"/>
    <w:rsid w:val="00C51C98"/>
    <w:rsid w:val="00C5201E"/>
    <w:rsid w:val="00C52057"/>
    <w:rsid w:val="00C5231F"/>
    <w:rsid w:val="00C524A7"/>
    <w:rsid w:val="00C54A45"/>
    <w:rsid w:val="00C560C9"/>
    <w:rsid w:val="00C5678F"/>
    <w:rsid w:val="00C5720B"/>
    <w:rsid w:val="00C579D8"/>
    <w:rsid w:val="00C57D90"/>
    <w:rsid w:val="00C60914"/>
    <w:rsid w:val="00C614CA"/>
    <w:rsid w:val="00C61E0F"/>
    <w:rsid w:val="00C62D3D"/>
    <w:rsid w:val="00C62D68"/>
    <w:rsid w:val="00C63493"/>
    <w:rsid w:val="00C634E1"/>
    <w:rsid w:val="00C63B4A"/>
    <w:rsid w:val="00C650AC"/>
    <w:rsid w:val="00C656F6"/>
    <w:rsid w:val="00C66F23"/>
    <w:rsid w:val="00C70917"/>
    <w:rsid w:val="00C7128B"/>
    <w:rsid w:val="00C72163"/>
    <w:rsid w:val="00C72EA2"/>
    <w:rsid w:val="00C72F91"/>
    <w:rsid w:val="00C73177"/>
    <w:rsid w:val="00C735DC"/>
    <w:rsid w:val="00C7457A"/>
    <w:rsid w:val="00C7593D"/>
    <w:rsid w:val="00C76A73"/>
    <w:rsid w:val="00C77266"/>
    <w:rsid w:val="00C777F9"/>
    <w:rsid w:val="00C77FC6"/>
    <w:rsid w:val="00C80837"/>
    <w:rsid w:val="00C80D3B"/>
    <w:rsid w:val="00C816E0"/>
    <w:rsid w:val="00C81941"/>
    <w:rsid w:val="00C81F1B"/>
    <w:rsid w:val="00C827D1"/>
    <w:rsid w:val="00C861E3"/>
    <w:rsid w:val="00C86C1F"/>
    <w:rsid w:val="00C877CF"/>
    <w:rsid w:val="00C87861"/>
    <w:rsid w:val="00C9195D"/>
    <w:rsid w:val="00C92509"/>
    <w:rsid w:val="00C925E6"/>
    <w:rsid w:val="00C938F0"/>
    <w:rsid w:val="00C93B07"/>
    <w:rsid w:val="00C93B5F"/>
    <w:rsid w:val="00C941A0"/>
    <w:rsid w:val="00C94D32"/>
    <w:rsid w:val="00C94F32"/>
    <w:rsid w:val="00C95366"/>
    <w:rsid w:val="00C954F1"/>
    <w:rsid w:val="00C954F4"/>
    <w:rsid w:val="00C956BE"/>
    <w:rsid w:val="00C96213"/>
    <w:rsid w:val="00C96337"/>
    <w:rsid w:val="00C9665C"/>
    <w:rsid w:val="00C966C0"/>
    <w:rsid w:val="00C9702F"/>
    <w:rsid w:val="00C9794C"/>
    <w:rsid w:val="00C97DBC"/>
    <w:rsid w:val="00CA0128"/>
    <w:rsid w:val="00CA0B0F"/>
    <w:rsid w:val="00CA15E4"/>
    <w:rsid w:val="00CA2488"/>
    <w:rsid w:val="00CA3728"/>
    <w:rsid w:val="00CA389B"/>
    <w:rsid w:val="00CA43D7"/>
    <w:rsid w:val="00CA5293"/>
    <w:rsid w:val="00CA5A52"/>
    <w:rsid w:val="00CA6783"/>
    <w:rsid w:val="00CA706F"/>
    <w:rsid w:val="00CB070C"/>
    <w:rsid w:val="00CB09DD"/>
    <w:rsid w:val="00CB0F01"/>
    <w:rsid w:val="00CB214C"/>
    <w:rsid w:val="00CB23FC"/>
    <w:rsid w:val="00CB264C"/>
    <w:rsid w:val="00CB3EDC"/>
    <w:rsid w:val="00CB49DE"/>
    <w:rsid w:val="00CB5119"/>
    <w:rsid w:val="00CB603D"/>
    <w:rsid w:val="00CB65F7"/>
    <w:rsid w:val="00CB7139"/>
    <w:rsid w:val="00CB7290"/>
    <w:rsid w:val="00CB7779"/>
    <w:rsid w:val="00CC026F"/>
    <w:rsid w:val="00CC0A47"/>
    <w:rsid w:val="00CC0B75"/>
    <w:rsid w:val="00CC1C34"/>
    <w:rsid w:val="00CC2FF5"/>
    <w:rsid w:val="00CC472F"/>
    <w:rsid w:val="00CC6763"/>
    <w:rsid w:val="00CC6B12"/>
    <w:rsid w:val="00CC730F"/>
    <w:rsid w:val="00CC7662"/>
    <w:rsid w:val="00CC7990"/>
    <w:rsid w:val="00CC7E53"/>
    <w:rsid w:val="00CD1419"/>
    <w:rsid w:val="00CD22C8"/>
    <w:rsid w:val="00CD4018"/>
    <w:rsid w:val="00CD4C87"/>
    <w:rsid w:val="00CD53B3"/>
    <w:rsid w:val="00CD74BE"/>
    <w:rsid w:val="00CD7C4A"/>
    <w:rsid w:val="00CD7FEF"/>
    <w:rsid w:val="00CE020E"/>
    <w:rsid w:val="00CE02E6"/>
    <w:rsid w:val="00CE1486"/>
    <w:rsid w:val="00CE1EE1"/>
    <w:rsid w:val="00CE2CC9"/>
    <w:rsid w:val="00CE2FBC"/>
    <w:rsid w:val="00CE30A8"/>
    <w:rsid w:val="00CE42E7"/>
    <w:rsid w:val="00CE5990"/>
    <w:rsid w:val="00CE60F4"/>
    <w:rsid w:val="00CE692F"/>
    <w:rsid w:val="00CE6B1C"/>
    <w:rsid w:val="00CE6C62"/>
    <w:rsid w:val="00CE71B2"/>
    <w:rsid w:val="00CE75D0"/>
    <w:rsid w:val="00CE7631"/>
    <w:rsid w:val="00CE7DF5"/>
    <w:rsid w:val="00CF00BC"/>
    <w:rsid w:val="00CF0711"/>
    <w:rsid w:val="00CF16B5"/>
    <w:rsid w:val="00CF183F"/>
    <w:rsid w:val="00CF2555"/>
    <w:rsid w:val="00CF29D8"/>
    <w:rsid w:val="00CF2F8F"/>
    <w:rsid w:val="00CF55A3"/>
    <w:rsid w:val="00CF5A7B"/>
    <w:rsid w:val="00CF5FCD"/>
    <w:rsid w:val="00CF6582"/>
    <w:rsid w:val="00CF6A8C"/>
    <w:rsid w:val="00CF6E95"/>
    <w:rsid w:val="00CF7230"/>
    <w:rsid w:val="00CF7380"/>
    <w:rsid w:val="00CF779C"/>
    <w:rsid w:val="00D0088B"/>
    <w:rsid w:val="00D00ACB"/>
    <w:rsid w:val="00D00E0D"/>
    <w:rsid w:val="00D00F6A"/>
    <w:rsid w:val="00D01B21"/>
    <w:rsid w:val="00D03198"/>
    <w:rsid w:val="00D03D4A"/>
    <w:rsid w:val="00D04851"/>
    <w:rsid w:val="00D04BAE"/>
    <w:rsid w:val="00D04BC5"/>
    <w:rsid w:val="00D052DC"/>
    <w:rsid w:val="00D05997"/>
    <w:rsid w:val="00D06A4B"/>
    <w:rsid w:val="00D06F9B"/>
    <w:rsid w:val="00D0762C"/>
    <w:rsid w:val="00D1024D"/>
    <w:rsid w:val="00D10EFC"/>
    <w:rsid w:val="00D11949"/>
    <w:rsid w:val="00D11D5D"/>
    <w:rsid w:val="00D1208B"/>
    <w:rsid w:val="00D12DE6"/>
    <w:rsid w:val="00D12ED8"/>
    <w:rsid w:val="00D1352D"/>
    <w:rsid w:val="00D14830"/>
    <w:rsid w:val="00D15965"/>
    <w:rsid w:val="00D16524"/>
    <w:rsid w:val="00D16C0F"/>
    <w:rsid w:val="00D16CDE"/>
    <w:rsid w:val="00D16DBA"/>
    <w:rsid w:val="00D17216"/>
    <w:rsid w:val="00D174D0"/>
    <w:rsid w:val="00D175DB"/>
    <w:rsid w:val="00D2079A"/>
    <w:rsid w:val="00D21702"/>
    <w:rsid w:val="00D22EA3"/>
    <w:rsid w:val="00D2440D"/>
    <w:rsid w:val="00D24535"/>
    <w:rsid w:val="00D24BA0"/>
    <w:rsid w:val="00D25242"/>
    <w:rsid w:val="00D25C51"/>
    <w:rsid w:val="00D267FB"/>
    <w:rsid w:val="00D269B7"/>
    <w:rsid w:val="00D26E53"/>
    <w:rsid w:val="00D31D42"/>
    <w:rsid w:val="00D32042"/>
    <w:rsid w:val="00D3216F"/>
    <w:rsid w:val="00D322DD"/>
    <w:rsid w:val="00D3281C"/>
    <w:rsid w:val="00D33052"/>
    <w:rsid w:val="00D34972"/>
    <w:rsid w:val="00D356C6"/>
    <w:rsid w:val="00D37C4A"/>
    <w:rsid w:val="00D404CE"/>
    <w:rsid w:val="00D40722"/>
    <w:rsid w:val="00D41276"/>
    <w:rsid w:val="00D41C79"/>
    <w:rsid w:val="00D41D53"/>
    <w:rsid w:val="00D42F92"/>
    <w:rsid w:val="00D44F10"/>
    <w:rsid w:val="00D4501F"/>
    <w:rsid w:val="00D45161"/>
    <w:rsid w:val="00D4549E"/>
    <w:rsid w:val="00D45783"/>
    <w:rsid w:val="00D4682E"/>
    <w:rsid w:val="00D46E1D"/>
    <w:rsid w:val="00D473CD"/>
    <w:rsid w:val="00D47F77"/>
    <w:rsid w:val="00D500DE"/>
    <w:rsid w:val="00D506D4"/>
    <w:rsid w:val="00D50749"/>
    <w:rsid w:val="00D52B65"/>
    <w:rsid w:val="00D52B98"/>
    <w:rsid w:val="00D52E18"/>
    <w:rsid w:val="00D530B7"/>
    <w:rsid w:val="00D5353A"/>
    <w:rsid w:val="00D549B0"/>
    <w:rsid w:val="00D54A50"/>
    <w:rsid w:val="00D54FC8"/>
    <w:rsid w:val="00D55034"/>
    <w:rsid w:val="00D555C3"/>
    <w:rsid w:val="00D557C4"/>
    <w:rsid w:val="00D55F9B"/>
    <w:rsid w:val="00D56760"/>
    <w:rsid w:val="00D603BE"/>
    <w:rsid w:val="00D61B7D"/>
    <w:rsid w:val="00D65FEB"/>
    <w:rsid w:val="00D65FFC"/>
    <w:rsid w:val="00D662AA"/>
    <w:rsid w:val="00D668B6"/>
    <w:rsid w:val="00D7130B"/>
    <w:rsid w:val="00D715B0"/>
    <w:rsid w:val="00D725D2"/>
    <w:rsid w:val="00D73DF6"/>
    <w:rsid w:val="00D73F2C"/>
    <w:rsid w:val="00D75877"/>
    <w:rsid w:val="00D75CCB"/>
    <w:rsid w:val="00D76D1E"/>
    <w:rsid w:val="00D76F8C"/>
    <w:rsid w:val="00D8071B"/>
    <w:rsid w:val="00D813B9"/>
    <w:rsid w:val="00D82032"/>
    <w:rsid w:val="00D83BF0"/>
    <w:rsid w:val="00D85683"/>
    <w:rsid w:val="00D858CF"/>
    <w:rsid w:val="00D85DBF"/>
    <w:rsid w:val="00D863EE"/>
    <w:rsid w:val="00D865F0"/>
    <w:rsid w:val="00D866AF"/>
    <w:rsid w:val="00D86A8B"/>
    <w:rsid w:val="00D86F18"/>
    <w:rsid w:val="00D86F4C"/>
    <w:rsid w:val="00D87672"/>
    <w:rsid w:val="00D902B0"/>
    <w:rsid w:val="00D90A41"/>
    <w:rsid w:val="00D910E9"/>
    <w:rsid w:val="00D93216"/>
    <w:rsid w:val="00D935EC"/>
    <w:rsid w:val="00D93E5A"/>
    <w:rsid w:val="00D93E67"/>
    <w:rsid w:val="00D9414C"/>
    <w:rsid w:val="00D94323"/>
    <w:rsid w:val="00D94CC7"/>
    <w:rsid w:val="00D963F7"/>
    <w:rsid w:val="00D97B68"/>
    <w:rsid w:val="00D97EE9"/>
    <w:rsid w:val="00DA0017"/>
    <w:rsid w:val="00DA0066"/>
    <w:rsid w:val="00DA0ACB"/>
    <w:rsid w:val="00DA0F32"/>
    <w:rsid w:val="00DA1BA5"/>
    <w:rsid w:val="00DA1C01"/>
    <w:rsid w:val="00DA2DD3"/>
    <w:rsid w:val="00DA2E68"/>
    <w:rsid w:val="00DA2E6E"/>
    <w:rsid w:val="00DA3683"/>
    <w:rsid w:val="00DA443B"/>
    <w:rsid w:val="00DA45B5"/>
    <w:rsid w:val="00DA5087"/>
    <w:rsid w:val="00DA59FC"/>
    <w:rsid w:val="00DA5B31"/>
    <w:rsid w:val="00DA71EB"/>
    <w:rsid w:val="00DB071B"/>
    <w:rsid w:val="00DB08DF"/>
    <w:rsid w:val="00DB1525"/>
    <w:rsid w:val="00DB2A59"/>
    <w:rsid w:val="00DB37B6"/>
    <w:rsid w:val="00DB4AA2"/>
    <w:rsid w:val="00DB63A6"/>
    <w:rsid w:val="00DB6B62"/>
    <w:rsid w:val="00DB7FD9"/>
    <w:rsid w:val="00DC081C"/>
    <w:rsid w:val="00DC1867"/>
    <w:rsid w:val="00DC18A9"/>
    <w:rsid w:val="00DC1A7F"/>
    <w:rsid w:val="00DC1C0F"/>
    <w:rsid w:val="00DC1DBC"/>
    <w:rsid w:val="00DC23AB"/>
    <w:rsid w:val="00DC25F7"/>
    <w:rsid w:val="00DC2C26"/>
    <w:rsid w:val="00DC3E71"/>
    <w:rsid w:val="00DC4627"/>
    <w:rsid w:val="00DC4B57"/>
    <w:rsid w:val="00DC514A"/>
    <w:rsid w:val="00DC55EE"/>
    <w:rsid w:val="00DC666F"/>
    <w:rsid w:val="00DC6925"/>
    <w:rsid w:val="00DD09D0"/>
    <w:rsid w:val="00DD0EEF"/>
    <w:rsid w:val="00DD3652"/>
    <w:rsid w:val="00DD379E"/>
    <w:rsid w:val="00DD3ABD"/>
    <w:rsid w:val="00DD5B00"/>
    <w:rsid w:val="00DD5E2D"/>
    <w:rsid w:val="00DD691B"/>
    <w:rsid w:val="00DD6A30"/>
    <w:rsid w:val="00DD7268"/>
    <w:rsid w:val="00DD775F"/>
    <w:rsid w:val="00DE03F9"/>
    <w:rsid w:val="00DE23C8"/>
    <w:rsid w:val="00DE2CEB"/>
    <w:rsid w:val="00DE514C"/>
    <w:rsid w:val="00DE532F"/>
    <w:rsid w:val="00DE5AE1"/>
    <w:rsid w:val="00DE5C26"/>
    <w:rsid w:val="00DE5E48"/>
    <w:rsid w:val="00DE5FE1"/>
    <w:rsid w:val="00DE67BA"/>
    <w:rsid w:val="00DE6BFF"/>
    <w:rsid w:val="00DF06E1"/>
    <w:rsid w:val="00DF0ABB"/>
    <w:rsid w:val="00DF0C6D"/>
    <w:rsid w:val="00DF2CA9"/>
    <w:rsid w:val="00DF2D9E"/>
    <w:rsid w:val="00DF33EB"/>
    <w:rsid w:val="00DF398C"/>
    <w:rsid w:val="00DF3DDD"/>
    <w:rsid w:val="00DF4039"/>
    <w:rsid w:val="00DF40C5"/>
    <w:rsid w:val="00DF541F"/>
    <w:rsid w:val="00DF5BE6"/>
    <w:rsid w:val="00DF676E"/>
    <w:rsid w:val="00DF6861"/>
    <w:rsid w:val="00DF6E70"/>
    <w:rsid w:val="00DF7478"/>
    <w:rsid w:val="00E007FC"/>
    <w:rsid w:val="00E01012"/>
    <w:rsid w:val="00E01A78"/>
    <w:rsid w:val="00E01E72"/>
    <w:rsid w:val="00E01EE1"/>
    <w:rsid w:val="00E0204B"/>
    <w:rsid w:val="00E02B65"/>
    <w:rsid w:val="00E03541"/>
    <w:rsid w:val="00E037AA"/>
    <w:rsid w:val="00E04594"/>
    <w:rsid w:val="00E04767"/>
    <w:rsid w:val="00E04D36"/>
    <w:rsid w:val="00E05017"/>
    <w:rsid w:val="00E05334"/>
    <w:rsid w:val="00E05ED1"/>
    <w:rsid w:val="00E07925"/>
    <w:rsid w:val="00E07B45"/>
    <w:rsid w:val="00E07F98"/>
    <w:rsid w:val="00E105F4"/>
    <w:rsid w:val="00E1300A"/>
    <w:rsid w:val="00E132D8"/>
    <w:rsid w:val="00E13552"/>
    <w:rsid w:val="00E13DB6"/>
    <w:rsid w:val="00E148F1"/>
    <w:rsid w:val="00E159E0"/>
    <w:rsid w:val="00E15A14"/>
    <w:rsid w:val="00E15C00"/>
    <w:rsid w:val="00E16B31"/>
    <w:rsid w:val="00E173D4"/>
    <w:rsid w:val="00E174A6"/>
    <w:rsid w:val="00E176EB"/>
    <w:rsid w:val="00E202D8"/>
    <w:rsid w:val="00E209C9"/>
    <w:rsid w:val="00E20F77"/>
    <w:rsid w:val="00E21482"/>
    <w:rsid w:val="00E2179B"/>
    <w:rsid w:val="00E21844"/>
    <w:rsid w:val="00E22B27"/>
    <w:rsid w:val="00E22C33"/>
    <w:rsid w:val="00E22CC0"/>
    <w:rsid w:val="00E239A3"/>
    <w:rsid w:val="00E23C83"/>
    <w:rsid w:val="00E2511D"/>
    <w:rsid w:val="00E26D07"/>
    <w:rsid w:val="00E26F3B"/>
    <w:rsid w:val="00E27579"/>
    <w:rsid w:val="00E27881"/>
    <w:rsid w:val="00E27B32"/>
    <w:rsid w:val="00E30F19"/>
    <w:rsid w:val="00E3111B"/>
    <w:rsid w:val="00E31B35"/>
    <w:rsid w:val="00E322EC"/>
    <w:rsid w:val="00E32343"/>
    <w:rsid w:val="00E32418"/>
    <w:rsid w:val="00E32614"/>
    <w:rsid w:val="00E33CC8"/>
    <w:rsid w:val="00E34244"/>
    <w:rsid w:val="00E3503D"/>
    <w:rsid w:val="00E3642A"/>
    <w:rsid w:val="00E36EDC"/>
    <w:rsid w:val="00E37243"/>
    <w:rsid w:val="00E3737B"/>
    <w:rsid w:val="00E405DC"/>
    <w:rsid w:val="00E40AED"/>
    <w:rsid w:val="00E435B1"/>
    <w:rsid w:val="00E4413C"/>
    <w:rsid w:val="00E4454A"/>
    <w:rsid w:val="00E44FA2"/>
    <w:rsid w:val="00E46197"/>
    <w:rsid w:val="00E465D9"/>
    <w:rsid w:val="00E46E2B"/>
    <w:rsid w:val="00E476BB"/>
    <w:rsid w:val="00E51B47"/>
    <w:rsid w:val="00E525BF"/>
    <w:rsid w:val="00E526BC"/>
    <w:rsid w:val="00E53D2A"/>
    <w:rsid w:val="00E54270"/>
    <w:rsid w:val="00E544A1"/>
    <w:rsid w:val="00E5479F"/>
    <w:rsid w:val="00E56B51"/>
    <w:rsid w:val="00E572CD"/>
    <w:rsid w:val="00E57310"/>
    <w:rsid w:val="00E579A4"/>
    <w:rsid w:val="00E57B52"/>
    <w:rsid w:val="00E60240"/>
    <w:rsid w:val="00E60412"/>
    <w:rsid w:val="00E60747"/>
    <w:rsid w:val="00E61AB6"/>
    <w:rsid w:val="00E61ECB"/>
    <w:rsid w:val="00E62AB0"/>
    <w:rsid w:val="00E62EF9"/>
    <w:rsid w:val="00E6347C"/>
    <w:rsid w:val="00E63B54"/>
    <w:rsid w:val="00E64068"/>
    <w:rsid w:val="00E64784"/>
    <w:rsid w:val="00E64E09"/>
    <w:rsid w:val="00E6520D"/>
    <w:rsid w:val="00E659E6"/>
    <w:rsid w:val="00E6629D"/>
    <w:rsid w:val="00E664AC"/>
    <w:rsid w:val="00E66C2E"/>
    <w:rsid w:val="00E66C64"/>
    <w:rsid w:val="00E702BC"/>
    <w:rsid w:val="00E71506"/>
    <w:rsid w:val="00E7162D"/>
    <w:rsid w:val="00E72170"/>
    <w:rsid w:val="00E72A39"/>
    <w:rsid w:val="00E730E7"/>
    <w:rsid w:val="00E73CC5"/>
    <w:rsid w:val="00E7516D"/>
    <w:rsid w:val="00E762E6"/>
    <w:rsid w:val="00E774E9"/>
    <w:rsid w:val="00E8148A"/>
    <w:rsid w:val="00E8183D"/>
    <w:rsid w:val="00E82664"/>
    <w:rsid w:val="00E82861"/>
    <w:rsid w:val="00E82B84"/>
    <w:rsid w:val="00E8349C"/>
    <w:rsid w:val="00E84709"/>
    <w:rsid w:val="00E8498F"/>
    <w:rsid w:val="00E859B1"/>
    <w:rsid w:val="00E865C2"/>
    <w:rsid w:val="00E86C58"/>
    <w:rsid w:val="00E8720C"/>
    <w:rsid w:val="00E879FE"/>
    <w:rsid w:val="00E90EDA"/>
    <w:rsid w:val="00E91E99"/>
    <w:rsid w:val="00E91EAD"/>
    <w:rsid w:val="00E91F56"/>
    <w:rsid w:val="00E925AA"/>
    <w:rsid w:val="00E92A98"/>
    <w:rsid w:val="00E92E46"/>
    <w:rsid w:val="00E93673"/>
    <w:rsid w:val="00E93F85"/>
    <w:rsid w:val="00E94938"/>
    <w:rsid w:val="00E96573"/>
    <w:rsid w:val="00E97377"/>
    <w:rsid w:val="00EA09E4"/>
    <w:rsid w:val="00EA15D7"/>
    <w:rsid w:val="00EA1CA1"/>
    <w:rsid w:val="00EA1D0D"/>
    <w:rsid w:val="00EA2135"/>
    <w:rsid w:val="00EA2968"/>
    <w:rsid w:val="00EA2EE1"/>
    <w:rsid w:val="00EA41A1"/>
    <w:rsid w:val="00EA563F"/>
    <w:rsid w:val="00EA6126"/>
    <w:rsid w:val="00EA75BE"/>
    <w:rsid w:val="00EA7E95"/>
    <w:rsid w:val="00EA7FB7"/>
    <w:rsid w:val="00EB0119"/>
    <w:rsid w:val="00EB0A39"/>
    <w:rsid w:val="00EB0B15"/>
    <w:rsid w:val="00EB1952"/>
    <w:rsid w:val="00EB29C6"/>
    <w:rsid w:val="00EB314C"/>
    <w:rsid w:val="00EB3163"/>
    <w:rsid w:val="00EB3439"/>
    <w:rsid w:val="00EB3673"/>
    <w:rsid w:val="00EB3F7F"/>
    <w:rsid w:val="00EB45F3"/>
    <w:rsid w:val="00EB49AF"/>
    <w:rsid w:val="00EB5239"/>
    <w:rsid w:val="00EB6CB3"/>
    <w:rsid w:val="00EB708D"/>
    <w:rsid w:val="00EB70AA"/>
    <w:rsid w:val="00EB739B"/>
    <w:rsid w:val="00EB7CDE"/>
    <w:rsid w:val="00EC0863"/>
    <w:rsid w:val="00EC0A0B"/>
    <w:rsid w:val="00EC16B2"/>
    <w:rsid w:val="00EC2222"/>
    <w:rsid w:val="00EC351F"/>
    <w:rsid w:val="00EC3D80"/>
    <w:rsid w:val="00EC47A3"/>
    <w:rsid w:val="00EC48AF"/>
    <w:rsid w:val="00EC5997"/>
    <w:rsid w:val="00EC5E9C"/>
    <w:rsid w:val="00EC65E5"/>
    <w:rsid w:val="00EC6E1C"/>
    <w:rsid w:val="00EC7427"/>
    <w:rsid w:val="00ED08C2"/>
    <w:rsid w:val="00ED0CA8"/>
    <w:rsid w:val="00ED2011"/>
    <w:rsid w:val="00ED2567"/>
    <w:rsid w:val="00ED2A18"/>
    <w:rsid w:val="00ED2CB9"/>
    <w:rsid w:val="00ED2D71"/>
    <w:rsid w:val="00ED47FB"/>
    <w:rsid w:val="00ED6146"/>
    <w:rsid w:val="00ED685A"/>
    <w:rsid w:val="00ED69F9"/>
    <w:rsid w:val="00EE01A4"/>
    <w:rsid w:val="00EE0A5E"/>
    <w:rsid w:val="00EE103E"/>
    <w:rsid w:val="00EE1280"/>
    <w:rsid w:val="00EE1DC3"/>
    <w:rsid w:val="00EE2E7D"/>
    <w:rsid w:val="00EE3371"/>
    <w:rsid w:val="00EE3C4D"/>
    <w:rsid w:val="00EE3F1E"/>
    <w:rsid w:val="00EE4D5A"/>
    <w:rsid w:val="00EE5448"/>
    <w:rsid w:val="00EE59E2"/>
    <w:rsid w:val="00EE6A61"/>
    <w:rsid w:val="00EF064E"/>
    <w:rsid w:val="00EF078F"/>
    <w:rsid w:val="00EF0BF2"/>
    <w:rsid w:val="00EF0C23"/>
    <w:rsid w:val="00EF1935"/>
    <w:rsid w:val="00EF2612"/>
    <w:rsid w:val="00EF3BE5"/>
    <w:rsid w:val="00EF660D"/>
    <w:rsid w:val="00F00595"/>
    <w:rsid w:val="00F00938"/>
    <w:rsid w:val="00F01103"/>
    <w:rsid w:val="00F024F7"/>
    <w:rsid w:val="00F02646"/>
    <w:rsid w:val="00F02DBE"/>
    <w:rsid w:val="00F033C4"/>
    <w:rsid w:val="00F03401"/>
    <w:rsid w:val="00F037D0"/>
    <w:rsid w:val="00F04C5A"/>
    <w:rsid w:val="00F04FC1"/>
    <w:rsid w:val="00F0524D"/>
    <w:rsid w:val="00F07918"/>
    <w:rsid w:val="00F114BD"/>
    <w:rsid w:val="00F11FE4"/>
    <w:rsid w:val="00F12B3C"/>
    <w:rsid w:val="00F13400"/>
    <w:rsid w:val="00F149EC"/>
    <w:rsid w:val="00F14B91"/>
    <w:rsid w:val="00F15161"/>
    <w:rsid w:val="00F15365"/>
    <w:rsid w:val="00F16182"/>
    <w:rsid w:val="00F166CD"/>
    <w:rsid w:val="00F17E35"/>
    <w:rsid w:val="00F204CE"/>
    <w:rsid w:val="00F20DC3"/>
    <w:rsid w:val="00F20E35"/>
    <w:rsid w:val="00F2103B"/>
    <w:rsid w:val="00F227FF"/>
    <w:rsid w:val="00F23B8B"/>
    <w:rsid w:val="00F24D06"/>
    <w:rsid w:val="00F25394"/>
    <w:rsid w:val="00F258C6"/>
    <w:rsid w:val="00F25D47"/>
    <w:rsid w:val="00F260C7"/>
    <w:rsid w:val="00F2648D"/>
    <w:rsid w:val="00F2667C"/>
    <w:rsid w:val="00F266EE"/>
    <w:rsid w:val="00F26D42"/>
    <w:rsid w:val="00F27376"/>
    <w:rsid w:val="00F27D61"/>
    <w:rsid w:val="00F27FF3"/>
    <w:rsid w:val="00F3074E"/>
    <w:rsid w:val="00F30CDD"/>
    <w:rsid w:val="00F31268"/>
    <w:rsid w:val="00F31ED5"/>
    <w:rsid w:val="00F32973"/>
    <w:rsid w:val="00F32F2E"/>
    <w:rsid w:val="00F33896"/>
    <w:rsid w:val="00F3398A"/>
    <w:rsid w:val="00F3409D"/>
    <w:rsid w:val="00F34C83"/>
    <w:rsid w:val="00F34D29"/>
    <w:rsid w:val="00F41364"/>
    <w:rsid w:val="00F41B17"/>
    <w:rsid w:val="00F41D70"/>
    <w:rsid w:val="00F41E30"/>
    <w:rsid w:val="00F42500"/>
    <w:rsid w:val="00F42513"/>
    <w:rsid w:val="00F430B5"/>
    <w:rsid w:val="00F436C2"/>
    <w:rsid w:val="00F43F8C"/>
    <w:rsid w:val="00F4459F"/>
    <w:rsid w:val="00F445EF"/>
    <w:rsid w:val="00F448FD"/>
    <w:rsid w:val="00F44BA6"/>
    <w:rsid w:val="00F463CC"/>
    <w:rsid w:val="00F467C2"/>
    <w:rsid w:val="00F46B96"/>
    <w:rsid w:val="00F47753"/>
    <w:rsid w:val="00F50008"/>
    <w:rsid w:val="00F500D5"/>
    <w:rsid w:val="00F507FE"/>
    <w:rsid w:val="00F5139A"/>
    <w:rsid w:val="00F51F49"/>
    <w:rsid w:val="00F53189"/>
    <w:rsid w:val="00F531D8"/>
    <w:rsid w:val="00F54B74"/>
    <w:rsid w:val="00F55385"/>
    <w:rsid w:val="00F56F31"/>
    <w:rsid w:val="00F61286"/>
    <w:rsid w:val="00F61569"/>
    <w:rsid w:val="00F61803"/>
    <w:rsid w:val="00F644BA"/>
    <w:rsid w:val="00F659F2"/>
    <w:rsid w:val="00F675DC"/>
    <w:rsid w:val="00F7009C"/>
    <w:rsid w:val="00F70C15"/>
    <w:rsid w:val="00F710B9"/>
    <w:rsid w:val="00F71185"/>
    <w:rsid w:val="00F71D35"/>
    <w:rsid w:val="00F71E08"/>
    <w:rsid w:val="00F73772"/>
    <w:rsid w:val="00F757BF"/>
    <w:rsid w:val="00F76806"/>
    <w:rsid w:val="00F7685A"/>
    <w:rsid w:val="00F76C8D"/>
    <w:rsid w:val="00F76DCF"/>
    <w:rsid w:val="00F77E55"/>
    <w:rsid w:val="00F81AF3"/>
    <w:rsid w:val="00F82025"/>
    <w:rsid w:val="00F8212D"/>
    <w:rsid w:val="00F838DC"/>
    <w:rsid w:val="00F83D27"/>
    <w:rsid w:val="00F83D2A"/>
    <w:rsid w:val="00F844C0"/>
    <w:rsid w:val="00F846A3"/>
    <w:rsid w:val="00F84704"/>
    <w:rsid w:val="00F84C8C"/>
    <w:rsid w:val="00F851D1"/>
    <w:rsid w:val="00F85278"/>
    <w:rsid w:val="00F852A0"/>
    <w:rsid w:val="00F8604D"/>
    <w:rsid w:val="00F860FB"/>
    <w:rsid w:val="00F8692F"/>
    <w:rsid w:val="00F8749A"/>
    <w:rsid w:val="00F87F08"/>
    <w:rsid w:val="00F909FA"/>
    <w:rsid w:val="00F90DF6"/>
    <w:rsid w:val="00F929B2"/>
    <w:rsid w:val="00F931D4"/>
    <w:rsid w:val="00F936DB"/>
    <w:rsid w:val="00F93B98"/>
    <w:rsid w:val="00F94CDE"/>
    <w:rsid w:val="00F95E50"/>
    <w:rsid w:val="00F969CF"/>
    <w:rsid w:val="00F97FAB"/>
    <w:rsid w:val="00FA097F"/>
    <w:rsid w:val="00FA2A91"/>
    <w:rsid w:val="00FA2CB7"/>
    <w:rsid w:val="00FA2F51"/>
    <w:rsid w:val="00FA2FB4"/>
    <w:rsid w:val="00FA3301"/>
    <w:rsid w:val="00FA3721"/>
    <w:rsid w:val="00FA391F"/>
    <w:rsid w:val="00FA4363"/>
    <w:rsid w:val="00FA4B02"/>
    <w:rsid w:val="00FA4F57"/>
    <w:rsid w:val="00FA4FAA"/>
    <w:rsid w:val="00FA6BDA"/>
    <w:rsid w:val="00FA6D94"/>
    <w:rsid w:val="00FA6E3B"/>
    <w:rsid w:val="00FA6FAD"/>
    <w:rsid w:val="00FA720E"/>
    <w:rsid w:val="00FA74C2"/>
    <w:rsid w:val="00FB040E"/>
    <w:rsid w:val="00FB0781"/>
    <w:rsid w:val="00FB0946"/>
    <w:rsid w:val="00FB17A6"/>
    <w:rsid w:val="00FB1EE4"/>
    <w:rsid w:val="00FB26E6"/>
    <w:rsid w:val="00FB321B"/>
    <w:rsid w:val="00FB356E"/>
    <w:rsid w:val="00FB4AF8"/>
    <w:rsid w:val="00FB55AB"/>
    <w:rsid w:val="00FB572A"/>
    <w:rsid w:val="00FB639E"/>
    <w:rsid w:val="00FB6870"/>
    <w:rsid w:val="00FB6C72"/>
    <w:rsid w:val="00FB7DB4"/>
    <w:rsid w:val="00FC00FC"/>
    <w:rsid w:val="00FC1164"/>
    <w:rsid w:val="00FC25C1"/>
    <w:rsid w:val="00FC27DC"/>
    <w:rsid w:val="00FC2FAD"/>
    <w:rsid w:val="00FC35B2"/>
    <w:rsid w:val="00FC3888"/>
    <w:rsid w:val="00FC38DF"/>
    <w:rsid w:val="00FC467B"/>
    <w:rsid w:val="00FC4B05"/>
    <w:rsid w:val="00FC4CDC"/>
    <w:rsid w:val="00FC4D78"/>
    <w:rsid w:val="00FC56F9"/>
    <w:rsid w:val="00FC5B89"/>
    <w:rsid w:val="00FC5C3B"/>
    <w:rsid w:val="00FC5EA3"/>
    <w:rsid w:val="00FC6188"/>
    <w:rsid w:val="00FC669D"/>
    <w:rsid w:val="00FC75D9"/>
    <w:rsid w:val="00FC7C98"/>
    <w:rsid w:val="00FD025B"/>
    <w:rsid w:val="00FD07E8"/>
    <w:rsid w:val="00FD0932"/>
    <w:rsid w:val="00FD112D"/>
    <w:rsid w:val="00FD1284"/>
    <w:rsid w:val="00FD14A1"/>
    <w:rsid w:val="00FD1B4D"/>
    <w:rsid w:val="00FD1E15"/>
    <w:rsid w:val="00FD2BC6"/>
    <w:rsid w:val="00FD2CBE"/>
    <w:rsid w:val="00FD2E11"/>
    <w:rsid w:val="00FD39A8"/>
    <w:rsid w:val="00FD405D"/>
    <w:rsid w:val="00FD4203"/>
    <w:rsid w:val="00FD4450"/>
    <w:rsid w:val="00FD44C2"/>
    <w:rsid w:val="00FD4F1E"/>
    <w:rsid w:val="00FD5316"/>
    <w:rsid w:val="00FD545A"/>
    <w:rsid w:val="00FD5550"/>
    <w:rsid w:val="00FD5710"/>
    <w:rsid w:val="00FD6347"/>
    <w:rsid w:val="00FD63CA"/>
    <w:rsid w:val="00FD6A1B"/>
    <w:rsid w:val="00FD6ACC"/>
    <w:rsid w:val="00FD6C44"/>
    <w:rsid w:val="00FD799E"/>
    <w:rsid w:val="00FD7CDA"/>
    <w:rsid w:val="00FD7D58"/>
    <w:rsid w:val="00FE0007"/>
    <w:rsid w:val="00FE005A"/>
    <w:rsid w:val="00FE01AB"/>
    <w:rsid w:val="00FE0F59"/>
    <w:rsid w:val="00FE1369"/>
    <w:rsid w:val="00FE14C8"/>
    <w:rsid w:val="00FE3D3F"/>
    <w:rsid w:val="00FE473F"/>
    <w:rsid w:val="00FE4D91"/>
    <w:rsid w:val="00FE4ECB"/>
    <w:rsid w:val="00FE51E5"/>
    <w:rsid w:val="00FE5A4D"/>
    <w:rsid w:val="00FE60B3"/>
    <w:rsid w:val="00FE70BD"/>
    <w:rsid w:val="00FE7CF8"/>
    <w:rsid w:val="00FF01D1"/>
    <w:rsid w:val="00FF04DE"/>
    <w:rsid w:val="00FF19FB"/>
    <w:rsid w:val="00FF1D9A"/>
    <w:rsid w:val="00FF2B43"/>
    <w:rsid w:val="00FF42BB"/>
    <w:rsid w:val="00FF490E"/>
    <w:rsid w:val="00FF51EE"/>
    <w:rsid w:val="00FF5361"/>
    <w:rsid w:val="00FF5D6E"/>
    <w:rsid w:val="00FF647D"/>
    <w:rsid w:val="00FF6539"/>
    <w:rsid w:val="00FF72DD"/>
    <w:rsid w:val="00FF7491"/>
    <w:rsid w:val="00FF77AE"/>
    <w:rsid w:val="01113D6B"/>
    <w:rsid w:val="011D2710"/>
    <w:rsid w:val="01210C0B"/>
    <w:rsid w:val="013D5146"/>
    <w:rsid w:val="016C07DE"/>
    <w:rsid w:val="016F3451"/>
    <w:rsid w:val="01B5468B"/>
    <w:rsid w:val="01C901A1"/>
    <w:rsid w:val="01D90CF6"/>
    <w:rsid w:val="01EA0BDA"/>
    <w:rsid w:val="02054F52"/>
    <w:rsid w:val="020C065B"/>
    <w:rsid w:val="02112A4F"/>
    <w:rsid w:val="02185376"/>
    <w:rsid w:val="021B4775"/>
    <w:rsid w:val="02223D56"/>
    <w:rsid w:val="026179E7"/>
    <w:rsid w:val="0277488E"/>
    <w:rsid w:val="028751FF"/>
    <w:rsid w:val="02946605"/>
    <w:rsid w:val="02AE79B5"/>
    <w:rsid w:val="02C069D8"/>
    <w:rsid w:val="02EA6538"/>
    <w:rsid w:val="02EB0A62"/>
    <w:rsid w:val="03004097"/>
    <w:rsid w:val="031D6E5B"/>
    <w:rsid w:val="03240988"/>
    <w:rsid w:val="032D650E"/>
    <w:rsid w:val="0340588E"/>
    <w:rsid w:val="03477CCA"/>
    <w:rsid w:val="03504620"/>
    <w:rsid w:val="0352449C"/>
    <w:rsid w:val="03634626"/>
    <w:rsid w:val="0388408C"/>
    <w:rsid w:val="039F15D1"/>
    <w:rsid w:val="03B32E3B"/>
    <w:rsid w:val="03BD5C4D"/>
    <w:rsid w:val="03CE1C3B"/>
    <w:rsid w:val="03F67248"/>
    <w:rsid w:val="04151B70"/>
    <w:rsid w:val="043F0BEF"/>
    <w:rsid w:val="0448484A"/>
    <w:rsid w:val="04581C43"/>
    <w:rsid w:val="046049E6"/>
    <w:rsid w:val="04727FC9"/>
    <w:rsid w:val="049C7DEF"/>
    <w:rsid w:val="04AE7B23"/>
    <w:rsid w:val="04E2389B"/>
    <w:rsid w:val="05017C52"/>
    <w:rsid w:val="053A06F6"/>
    <w:rsid w:val="05C01412"/>
    <w:rsid w:val="05F23A3F"/>
    <w:rsid w:val="063302DF"/>
    <w:rsid w:val="0639341C"/>
    <w:rsid w:val="064061DE"/>
    <w:rsid w:val="06A8180F"/>
    <w:rsid w:val="06A87F4A"/>
    <w:rsid w:val="06C669EC"/>
    <w:rsid w:val="074107DA"/>
    <w:rsid w:val="075F5104"/>
    <w:rsid w:val="07645416"/>
    <w:rsid w:val="07A70F85"/>
    <w:rsid w:val="07D258D6"/>
    <w:rsid w:val="07D93108"/>
    <w:rsid w:val="07DA45E6"/>
    <w:rsid w:val="07FE32F6"/>
    <w:rsid w:val="08184181"/>
    <w:rsid w:val="08246B70"/>
    <w:rsid w:val="08273E74"/>
    <w:rsid w:val="08494D2A"/>
    <w:rsid w:val="0854001A"/>
    <w:rsid w:val="08582729"/>
    <w:rsid w:val="085C4A87"/>
    <w:rsid w:val="086412D7"/>
    <w:rsid w:val="08B2101E"/>
    <w:rsid w:val="08B94541"/>
    <w:rsid w:val="08C66B4E"/>
    <w:rsid w:val="08ED6E6B"/>
    <w:rsid w:val="08F34571"/>
    <w:rsid w:val="090E0B90"/>
    <w:rsid w:val="09150170"/>
    <w:rsid w:val="091A5787"/>
    <w:rsid w:val="094F6298"/>
    <w:rsid w:val="099554A7"/>
    <w:rsid w:val="09A6701A"/>
    <w:rsid w:val="09B3632D"/>
    <w:rsid w:val="09BA64E1"/>
    <w:rsid w:val="09CF1802"/>
    <w:rsid w:val="09F935EE"/>
    <w:rsid w:val="0A68307C"/>
    <w:rsid w:val="0A870A48"/>
    <w:rsid w:val="0A8E73FF"/>
    <w:rsid w:val="0AB539B9"/>
    <w:rsid w:val="0AE778EA"/>
    <w:rsid w:val="0B0518C6"/>
    <w:rsid w:val="0B1370F7"/>
    <w:rsid w:val="0B3521BB"/>
    <w:rsid w:val="0B3B46CD"/>
    <w:rsid w:val="0B5F01DA"/>
    <w:rsid w:val="0B7B7CBF"/>
    <w:rsid w:val="0B813629"/>
    <w:rsid w:val="0BB0119B"/>
    <w:rsid w:val="0BE300B2"/>
    <w:rsid w:val="0BF67CF0"/>
    <w:rsid w:val="0C207E57"/>
    <w:rsid w:val="0C222AFB"/>
    <w:rsid w:val="0C681B4B"/>
    <w:rsid w:val="0C7140F8"/>
    <w:rsid w:val="0C7D41B7"/>
    <w:rsid w:val="0C800B66"/>
    <w:rsid w:val="0CD206FE"/>
    <w:rsid w:val="0CD21ED4"/>
    <w:rsid w:val="0CF476A2"/>
    <w:rsid w:val="0CFC4715"/>
    <w:rsid w:val="0D074274"/>
    <w:rsid w:val="0D181FDD"/>
    <w:rsid w:val="0D1C426C"/>
    <w:rsid w:val="0D305579"/>
    <w:rsid w:val="0D5326A8"/>
    <w:rsid w:val="0D7550C1"/>
    <w:rsid w:val="0DBD49E8"/>
    <w:rsid w:val="0DC932D7"/>
    <w:rsid w:val="0DD315EF"/>
    <w:rsid w:val="0E1C78AB"/>
    <w:rsid w:val="0E5E42B9"/>
    <w:rsid w:val="0E971B1D"/>
    <w:rsid w:val="0E9A6E81"/>
    <w:rsid w:val="0EEF26FE"/>
    <w:rsid w:val="0F172249"/>
    <w:rsid w:val="0F29227F"/>
    <w:rsid w:val="0F4A2A64"/>
    <w:rsid w:val="0F5C3E92"/>
    <w:rsid w:val="0F70142D"/>
    <w:rsid w:val="0F984E9F"/>
    <w:rsid w:val="0F987405"/>
    <w:rsid w:val="0FAB52AC"/>
    <w:rsid w:val="0FB05E59"/>
    <w:rsid w:val="0FC55281"/>
    <w:rsid w:val="0FCA2EAC"/>
    <w:rsid w:val="0FE42AD6"/>
    <w:rsid w:val="0FEB2B8B"/>
    <w:rsid w:val="0FF705D0"/>
    <w:rsid w:val="100E136A"/>
    <w:rsid w:val="10392996"/>
    <w:rsid w:val="1053332C"/>
    <w:rsid w:val="106D2640"/>
    <w:rsid w:val="107E3008"/>
    <w:rsid w:val="108C6F6A"/>
    <w:rsid w:val="109946EB"/>
    <w:rsid w:val="10A00B86"/>
    <w:rsid w:val="10B17F5E"/>
    <w:rsid w:val="10F03F7E"/>
    <w:rsid w:val="10F97903"/>
    <w:rsid w:val="10FE14EA"/>
    <w:rsid w:val="10FE773C"/>
    <w:rsid w:val="11021525"/>
    <w:rsid w:val="110E5DBD"/>
    <w:rsid w:val="111B7E3D"/>
    <w:rsid w:val="111D48C2"/>
    <w:rsid w:val="112600F4"/>
    <w:rsid w:val="113413B0"/>
    <w:rsid w:val="11445695"/>
    <w:rsid w:val="115D0906"/>
    <w:rsid w:val="116013AE"/>
    <w:rsid w:val="11A3638D"/>
    <w:rsid w:val="11F757A1"/>
    <w:rsid w:val="1218482D"/>
    <w:rsid w:val="122B7A0D"/>
    <w:rsid w:val="12470E78"/>
    <w:rsid w:val="124F64A1"/>
    <w:rsid w:val="12547D7F"/>
    <w:rsid w:val="127A1044"/>
    <w:rsid w:val="128E71E1"/>
    <w:rsid w:val="12E803CF"/>
    <w:rsid w:val="13180F89"/>
    <w:rsid w:val="131D1ED0"/>
    <w:rsid w:val="132A0CBC"/>
    <w:rsid w:val="132C4D41"/>
    <w:rsid w:val="13441D7E"/>
    <w:rsid w:val="13517125"/>
    <w:rsid w:val="1360433C"/>
    <w:rsid w:val="13604A62"/>
    <w:rsid w:val="13623FB2"/>
    <w:rsid w:val="137835EB"/>
    <w:rsid w:val="13AE369B"/>
    <w:rsid w:val="13F33878"/>
    <w:rsid w:val="142C4199"/>
    <w:rsid w:val="14453178"/>
    <w:rsid w:val="1478529F"/>
    <w:rsid w:val="149E6B72"/>
    <w:rsid w:val="14B378AE"/>
    <w:rsid w:val="14BF0891"/>
    <w:rsid w:val="14C12F5A"/>
    <w:rsid w:val="14C34F24"/>
    <w:rsid w:val="1515472D"/>
    <w:rsid w:val="151D63F7"/>
    <w:rsid w:val="151D7D9B"/>
    <w:rsid w:val="153951E6"/>
    <w:rsid w:val="153F3112"/>
    <w:rsid w:val="15556CA7"/>
    <w:rsid w:val="157B1484"/>
    <w:rsid w:val="1586336A"/>
    <w:rsid w:val="158C4A83"/>
    <w:rsid w:val="159A028F"/>
    <w:rsid w:val="15B85930"/>
    <w:rsid w:val="15D22074"/>
    <w:rsid w:val="15EE4223"/>
    <w:rsid w:val="15F32920"/>
    <w:rsid w:val="160B6E2A"/>
    <w:rsid w:val="16332F76"/>
    <w:rsid w:val="16482056"/>
    <w:rsid w:val="1684025D"/>
    <w:rsid w:val="168B455A"/>
    <w:rsid w:val="16F445DE"/>
    <w:rsid w:val="16F97FA5"/>
    <w:rsid w:val="170F61FF"/>
    <w:rsid w:val="17520091"/>
    <w:rsid w:val="17981D0B"/>
    <w:rsid w:val="17B6195E"/>
    <w:rsid w:val="17BF71A9"/>
    <w:rsid w:val="18047D2E"/>
    <w:rsid w:val="180C0E3D"/>
    <w:rsid w:val="181528EB"/>
    <w:rsid w:val="182B3789"/>
    <w:rsid w:val="184772E3"/>
    <w:rsid w:val="1862318A"/>
    <w:rsid w:val="186749D5"/>
    <w:rsid w:val="18A252A2"/>
    <w:rsid w:val="18DA45EA"/>
    <w:rsid w:val="19114E8C"/>
    <w:rsid w:val="19153875"/>
    <w:rsid w:val="1923702B"/>
    <w:rsid w:val="193C52A5"/>
    <w:rsid w:val="193F306E"/>
    <w:rsid w:val="19577267"/>
    <w:rsid w:val="19645718"/>
    <w:rsid w:val="19770DAD"/>
    <w:rsid w:val="19921369"/>
    <w:rsid w:val="19CB08E1"/>
    <w:rsid w:val="19CE77EC"/>
    <w:rsid w:val="1A094ACD"/>
    <w:rsid w:val="1A1E2D8D"/>
    <w:rsid w:val="1A1F45B0"/>
    <w:rsid w:val="1A3F7CBB"/>
    <w:rsid w:val="1A430574"/>
    <w:rsid w:val="1A5C05A1"/>
    <w:rsid w:val="1A5E188C"/>
    <w:rsid w:val="1AAB5341"/>
    <w:rsid w:val="1ABC5C75"/>
    <w:rsid w:val="1AEC6857"/>
    <w:rsid w:val="1B0D3C06"/>
    <w:rsid w:val="1B1464DA"/>
    <w:rsid w:val="1B56527F"/>
    <w:rsid w:val="1B822B0B"/>
    <w:rsid w:val="1B8A442F"/>
    <w:rsid w:val="1BB824F2"/>
    <w:rsid w:val="1BC4497D"/>
    <w:rsid w:val="1BE016F6"/>
    <w:rsid w:val="1BEE0D28"/>
    <w:rsid w:val="1C30275E"/>
    <w:rsid w:val="1C3E46E7"/>
    <w:rsid w:val="1C7B5554"/>
    <w:rsid w:val="1CB07CE8"/>
    <w:rsid w:val="1CBA3832"/>
    <w:rsid w:val="1CE92B76"/>
    <w:rsid w:val="1CF05C43"/>
    <w:rsid w:val="1D297698"/>
    <w:rsid w:val="1D5A2517"/>
    <w:rsid w:val="1DA11B7B"/>
    <w:rsid w:val="1DE60CEF"/>
    <w:rsid w:val="1E4B66DD"/>
    <w:rsid w:val="1E51534F"/>
    <w:rsid w:val="1E615824"/>
    <w:rsid w:val="1E786D7F"/>
    <w:rsid w:val="1E94348E"/>
    <w:rsid w:val="1EDC730E"/>
    <w:rsid w:val="1EDF5240"/>
    <w:rsid w:val="1F2658C0"/>
    <w:rsid w:val="1F39682B"/>
    <w:rsid w:val="1F4153C3"/>
    <w:rsid w:val="1F90634B"/>
    <w:rsid w:val="1F974FE3"/>
    <w:rsid w:val="1FA16FF5"/>
    <w:rsid w:val="1FAD07D1"/>
    <w:rsid w:val="1FCF33BD"/>
    <w:rsid w:val="1FEB3581"/>
    <w:rsid w:val="1FFA3FC7"/>
    <w:rsid w:val="1FFB21D9"/>
    <w:rsid w:val="201E1457"/>
    <w:rsid w:val="2025374E"/>
    <w:rsid w:val="20653333"/>
    <w:rsid w:val="20711637"/>
    <w:rsid w:val="209268D9"/>
    <w:rsid w:val="20A019F6"/>
    <w:rsid w:val="20C63ADD"/>
    <w:rsid w:val="20CB4144"/>
    <w:rsid w:val="20D026F6"/>
    <w:rsid w:val="20D109C9"/>
    <w:rsid w:val="20D44015"/>
    <w:rsid w:val="20DC60C3"/>
    <w:rsid w:val="21310C65"/>
    <w:rsid w:val="213C39E5"/>
    <w:rsid w:val="21702066"/>
    <w:rsid w:val="21750BB9"/>
    <w:rsid w:val="21D35CA0"/>
    <w:rsid w:val="22280ABD"/>
    <w:rsid w:val="2268710B"/>
    <w:rsid w:val="226B2757"/>
    <w:rsid w:val="22704CCB"/>
    <w:rsid w:val="22840225"/>
    <w:rsid w:val="229A6DE3"/>
    <w:rsid w:val="22A55C69"/>
    <w:rsid w:val="22DF4807"/>
    <w:rsid w:val="22E20377"/>
    <w:rsid w:val="22FA4207"/>
    <w:rsid w:val="2317117F"/>
    <w:rsid w:val="231856DC"/>
    <w:rsid w:val="2327003C"/>
    <w:rsid w:val="233F02A9"/>
    <w:rsid w:val="23443FE3"/>
    <w:rsid w:val="23706277"/>
    <w:rsid w:val="239D26ED"/>
    <w:rsid w:val="23BF19BA"/>
    <w:rsid w:val="23DF5284"/>
    <w:rsid w:val="23E95F3E"/>
    <w:rsid w:val="23ED5B1A"/>
    <w:rsid w:val="24062738"/>
    <w:rsid w:val="24150C39"/>
    <w:rsid w:val="242A0B1C"/>
    <w:rsid w:val="243A6885"/>
    <w:rsid w:val="244E655C"/>
    <w:rsid w:val="245600BC"/>
    <w:rsid w:val="247D50F0"/>
    <w:rsid w:val="24B0447A"/>
    <w:rsid w:val="25190ED6"/>
    <w:rsid w:val="25407ECB"/>
    <w:rsid w:val="256242E5"/>
    <w:rsid w:val="25752A90"/>
    <w:rsid w:val="257B72D7"/>
    <w:rsid w:val="25D35209"/>
    <w:rsid w:val="25FD64F9"/>
    <w:rsid w:val="260F755A"/>
    <w:rsid w:val="267D4F0E"/>
    <w:rsid w:val="26911FE1"/>
    <w:rsid w:val="26953FAF"/>
    <w:rsid w:val="26B375FC"/>
    <w:rsid w:val="26DE22D2"/>
    <w:rsid w:val="26EF7DFB"/>
    <w:rsid w:val="27237926"/>
    <w:rsid w:val="272F397A"/>
    <w:rsid w:val="27BF3329"/>
    <w:rsid w:val="27F37239"/>
    <w:rsid w:val="27FF7BCA"/>
    <w:rsid w:val="28056957"/>
    <w:rsid w:val="281A5D23"/>
    <w:rsid w:val="28243416"/>
    <w:rsid w:val="28A829DF"/>
    <w:rsid w:val="28A86CAB"/>
    <w:rsid w:val="291D5D15"/>
    <w:rsid w:val="29363ABF"/>
    <w:rsid w:val="293B6832"/>
    <w:rsid w:val="29806C4A"/>
    <w:rsid w:val="29916F47"/>
    <w:rsid w:val="29A728EB"/>
    <w:rsid w:val="29B9024C"/>
    <w:rsid w:val="29BD6C3E"/>
    <w:rsid w:val="29E2020C"/>
    <w:rsid w:val="29EF6110"/>
    <w:rsid w:val="29F55728"/>
    <w:rsid w:val="2A0B4DE7"/>
    <w:rsid w:val="2A1B05A5"/>
    <w:rsid w:val="2A3A313B"/>
    <w:rsid w:val="2A3E3CA8"/>
    <w:rsid w:val="2A451EEF"/>
    <w:rsid w:val="2A4D5647"/>
    <w:rsid w:val="2A580161"/>
    <w:rsid w:val="2A8278A7"/>
    <w:rsid w:val="2A950CB9"/>
    <w:rsid w:val="2B257850"/>
    <w:rsid w:val="2B4640E1"/>
    <w:rsid w:val="2B5F053C"/>
    <w:rsid w:val="2B9117FD"/>
    <w:rsid w:val="2BA87D56"/>
    <w:rsid w:val="2BD35BDA"/>
    <w:rsid w:val="2C272238"/>
    <w:rsid w:val="2C897094"/>
    <w:rsid w:val="2C8C52DF"/>
    <w:rsid w:val="2CAA3673"/>
    <w:rsid w:val="2D0839C4"/>
    <w:rsid w:val="2D354529"/>
    <w:rsid w:val="2D3642AE"/>
    <w:rsid w:val="2D522E91"/>
    <w:rsid w:val="2D7A68C1"/>
    <w:rsid w:val="2D8E2AEC"/>
    <w:rsid w:val="2D92536B"/>
    <w:rsid w:val="2D9502B1"/>
    <w:rsid w:val="2D957A25"/>
    <w:rsid w:val="2DC30F4E"/>
    <w:rsid w:val="2DFE323D"/>
    <w:rsid w:val="2DFFF708"/>
    <w:rsid w:val="2E0427ED"/>
    <w:rsid w:val="2E2A34C6"/>
    <w:rsid w:val="2E2D41EF"/>
    <w:rsid w:val="2E396C72"/>
    <w:rsid w:val="2E461AF0"/>
    <w:rsid w:val="2E662306"/>
    <w:rsid w:val="2E770C20"/>
    <w:rsid w:val="2E8C630C"/>
    <w:rsid w:val="2EA85A27"/>
    <w:rsid w:val="2EB716C4"/>
    <w:rsid w:val="2EC54E6C"/>
    <w:rsid w:val="2F503401"/>
    <w:rsid w:val="2F77273B"/>
    <w:rsid w:val="2F863E6C"/>
    <w:rsid w:val="2FA41285"/>
    <w:rsid w:val="2FA7168F"/>
    <w:rsid w:val="2FAB7962"/>
    <w:rsid w:val="2FB458FE"/>
    <w:rsid w:val="2FC30122"/>
    <w:rsid w:val="2FC31E61"/>
    <w:rsid w:val="2FC8474B"/>
    <w:rsid w:val="2FD44E62"/>
    <w:rsid w:val="2FDA6C10"/>
    <w:rsid w:val="2FEC3129"/>
    <w:rsid w:val="2FF57930"/>
    <w:rsid w:val="2FFC28A0"/>
    <w:rsid w:val="30055365"/>
    <w:rsid w:val="301C0C5B"/>
    <w:rsid w:val="303C724B"/>
    <w:rsid w:val="30706E2A"/>
    <w:rsid w:val="30772E97"/>
    <w:rsid w:val="30DC63F1"/>
    <w:rsid w:val="311E6318"/>
    <w:rsid w:val="31352775"/>
    <w:rsid w:val="31442A63"/>
    <w:rsid w:val="317E1E0C"/>
    <w:rsid w:val="31A04122"/>
    <w:rsid w:val="31AA5C3B"/>
    <w:rsid w:val="31B82D10"/>
    <w:rsid w:val="31C702B8"/>
    <w:rsid w:val="31CB6336"/>
    <w:rsid w:val="31DC3802"/>
    <w:rsid w:val="3203611D"/>
    <w:rsid w:val="32464EE8"/>
    <w:rsid w:val="326E4BBD"/>
    <w:rsid w:val="32814077"/>
    <w:rsid w:val="32982B4C"/>
    <w:rsid w:val="329D2099"/>
    <w:rsid w:val="32CB171C"/>
    <w:rsid w:val="32E04089"/>
    <w:rsid w:val="32E56F4C"/>
    <w:rsid w:val="32FA549C"/>
    <w:rsid w:val="3310712F"/>
    <w:rsid w:val="33356B95"/>
    <w:rsid w:val="335231F2"/>
    <w:rsid w:val="33741562"/>
    <w:rsid w:val="337674A7"/>
    <w:rsid w:val="338C7C6B"/>
    <w:rsid w:val="33997124"/>
    <w:rsid w:val="33EF4F96"/>
    <w:rsid w:val="33F702EF"/>
    <w:rsid w:val="341478A5"/>
    <w:rsid w:val="341613A3"/>
    <w:rsid w:val="34233001"/>
    <w:rsid w:val="34272982"/>
    <w:rsid w:val="347E0E7D"/>
    <w:rsid w:val="34882369"/>
    <w:rsid w:val="34A413CB"/>
    <w:rsid w:val="34AB657C"/>
    <w:rsid w:val="34C14BF9"/>
    <w:rsid w:val="34DF14AF"/>
    <w:rsid w:val="34E43DA3"/>
    <w:rsid w:val="34E82E48"/>
    <w:rsid w:val="34EB6554"/>
    <w:rsid w:val="34FC03B8"/>
    <w:rsid w:val="353C16BC"/>
    <w:rsid w:val="355F614C"/>
    <w:rsid w:val="357F2C4C"/>
    <w:rsid w:val="35A536DD"/>
    <w:rsid w:val="35A56959"/>
    <w:rsid w:val="35A87AF3"/>
    <w:rsid w:val="361E265F"/>
    <w:rsid w:val="362A675A"/>
    <w:rsid w:val="36944ACF"/>
    <w:rsid w:val="36B349A1"/>
    <w:rsid w:val="36BB0D7A"/>
    <w:rsid w:val="36BD4313"/>
    <w:rsid w:val="36DF7544"/>
    <w:rsid w:val="36F112F2"/>
    <w:rsid w:val="36F85394"/>
    <w:rsid w:val="374133E6"/>
    <w:rsid w:val="3744384B"/>
    <w:rsid w:val="37485EF7"/>
    <w:rsid w:val="374D0724"/>
    <w:rsid w:val="376B0DD8"/>
    <w:rsid w:val="376B23ED"/>
    <w:rsid w:val="37810F86"/>
    <w:rsid w:val="3782055B"/>
    <w:rsid w:val="378C5DAA"/>
    <w:rsid w:val="378C5E3A"/>
    <w:rsid w:val="37DD1AAE"/>
    <w:rsid w:val="37FB0978"/>
    <w:rsid w:val="38015BA2"/>
    <w:rsid w:val="385B709E"/>
    <w:rsid w:val="387463B2"/>
    <w:rsid w:val="387E0A26"/>
    <w:rsid w:val="38942141"/>
    <w:rsid w:val="38A63490"/>
    <w:rsid w:val="38AB3B6F"/>
    <w:rsid w:val="38C764E2"/>
    <w:rsid w:val="38DF05FE"/>
    <w:rsid w:val="39013028"/>
    <w:rsid w:val="39067B9E"/>
    <w:rsid w:val="392B6354"/>
    <w:rsid w:val="39430D5C"/>
    <w:rsid w:val="3949478F"/>
    <w:rsid w:val="394D53EB"/>
    <w:rsid w:val="396A27EF"/>
    <w:rsid w:val="396B0B87"/>
    <w:rsid w:val="396B4A2F"/>
    <w:rsid w:val="397F1D78"/>
    <w:rsid w:val="39822C77"/>
    <w:rsid w:val="398615C6"/>
    <w:rsid w:val="39B51EB6"/>
    <w:rsid w:val="39BE350B"/>
    <w:rsid w:val="3A2B5663"/>
    <w:rsid w:val="3A56181A"/>
    <w:rsid w:val="3A5C40D6"/>
    <w:rsid w:val="3A99047D"/>
    <w:rsid w:val="3ABB7A64"/>
    <w:rsid w:val="3AE33CB9"/>
    <w:rsid w:val="3B2A743D"/>
    <w:rsid w:val="3B47390A"/>
    <w:rsid w:val="3B7129BA"/>
    <w:rsid w:val="3B960803"/>
    <w:rsid w:val="3BC3601C"/>
    <w:rsid w:val="3BE9219D"/>
    <w:rsid w:val="3BEE73D5"/>
    <w:rsid w:val="3BFC2946"/>
    <w:rsid w:val="3C2F106D"/>
    <w:rsid w:val="3C4A342B"/>
    <w:rsid w:val="3C5C22C7"/>
    <w:rsid w:val="3C865DF7"/>
    <w:rsid w:val="3CAF408F"/>
    <w:rsid w:val="3CD15E64"/>
    <w:rsid w:val="3D106FBE"/>
    <w:rsid w:val="3D50705B"/>
    <w:rsid w:val="3D673DEF"/>
    <w:rsid w:val="3D78424E"/>
    <w:rsid w:val="3D7B3D3F"/>
    <w:rsid w:val="3D820C29"/>
    <w:rsid w:val="3DB432FB"/>
    <w:rsid w:val="3DDD59F6"/>
    <w:rsid w:val="3E0B06B6"/>
    <w:rsid w:val="3E7C38CA"/>
    <w:rsid w:val="3E8E35FE"/>
    <w:rsid w:val="3EAD43CC"/>
    <w:rsid w:val="3EC11D0E"/>
    <w:rsid w:val="3EE002FD"/>
    <w:rsid w:val="3F083F49"/>
    <w:rsid w:val="3F1F2DB0"/>
    <w:rsid w:val="3F272100"/>
    <w:rsid w:val="3F450160"/>
    <w:rsid w:val="3F75686A"/>
    <w:rsid w:val="3F982856"/>
    <w:rsid w:val="40600141"/>
    <w:rsid w:val="40792980"/>
    <w:rsid w:val="40C076A7"/>
    <w:rsid w:val="40CC08D4"/>
    <w:rsid w:val="412C362E"/>
    <w:rsid w:val="413C5689"/>
    <w:rsid w:val="414803DC"/>
    <w:rsid w:val="41913B83"/>
    <w:rsid w:val="4197211B"/>
    <w:rsid w:val="41BA1AB0"/>
    <w:rsid w:val="420959D0"/>
    <w:rsid w:val="421E1DE7"/>
    <w:rsid w:val="4255690C"/>
    <w:rsid w:val="4269398F"/>
    <w:rsid w:val="426B138A"/>
    <w:rsid w:val="428D0623"/>
    <w:rsid w:val="433C707E"/>
    <w:rsid w:val="43784FA8"/>
    <w:rsid w:val="4396610F"/>
    <w:rsid w:val="43F35720"/>
    <w:rsid w:val="44000AFA"/>
    <w:rsid w:val="44200A3B"/>
    <w:rsid w:val="445465A9"/>
    <w:rsid w:val="449C2656"/>
    <w:rsid w:val="44AD47DE"/>
    <w:rsid w:val="44DF2E05"/>
    <w:rsid w:val="44EC05B9"/>
    <w:rsid w:val="44F00723"/>
    <w:rsid w:val="454E3BF8"/>
    <w:rsid w:val="45593AC1"/>
    <w:rsid w:val="457C4E64"/>
    <w:rsid w:val="459065B6"/>
    <w:rsid w:val="459D4619"/>
    <w:rsid w:val="45D02433"/>
    <w:rsid w:val="45D71D2E"/>
    <w:rsid w:val="45E16709"/>
    <w:rsid w:val="45FA6E1F"/>
    <w:rsid w:val="46503FBA"/>
    <w:rsid w:val="465A2A97"/>
    <w:rsid w:val="46652DBA"/>
    <w:rsid w:val="4669643F"/>
    <w:rsid w:val="469814BD"/>
    <w:rsid w:val="469C638D"/>
    <w:rsid w:val="46FF778E"/>
    <w:rsid w:val="473D0F96"/>
    <w:rsid w:val="47415F8E"/>
    <w:rsid w:val="477E0A3F"/>
    <w:rsid w:val="478B587E"/>
    <w:rsid w:val="4795611E"/>
    <w:rsid w:val="47A77C21"/>
    <w:rsid w:val="47B308CA"/>
    <w:rsid w:val="47C02A7A"/>
    <w:rsid w:val="47F0667C"/>
    <w:rsid w:val="483671E0"/>
    <w:rsid w:val="48491AE0"/>
    <w:rsid w:val="48560E81"/>
    <w:rsid w:val="4875478D"/>
    <w:rsid w:val="487A3570"/>
    <w:rsid w:val="48A623B4"/>
    <w:rsid w:val="48B00D40"/>
    <w:rsid w:val="48B94A25"/>
    <w:rsid w:val="48D8650F"/>
    <w:rsid w:val="48ED1A4D"/>
    <w:rsid w:val="490F0309"/>
    <w:rsid w:val="4914106A"/>
    <w:rsid w:val="4919282A"/>
    <w:rsid w:val="49407363"/>
    <w:rsid w:val="494121B6"/>
    <w:rsid w:val="495B1B9C"/>
    <w:rsid w:val="497B5225"/>
    <w:rsid w:val="49A9029D"/>
    <w:rsid w:val="49DC55CC"/>
    <w:rsid w:val="4A28570B"/>
    <w:rsid w:val="4A4C3297"/>
    <w:rsid w:val="4A575B08"/>
    <w:rsid w:val="4A5E657A"/>
    <w:rsid w:val="4A8340F3"/>
    <w:rsid w:val="4A877B80"/>
    <w:rsid w:val="4AAC4894"/>
    <w:rsid w:val="4AB663B6"/>
    <w:rsid w:val="4AB76D1F"/>
    <w:rsid w:val="4AC47FC3"/>
    <w:rsid w:val="4ADD6814"/>
    <w:rsid w:val="4AF4454F"/>
    <w:rsid w:val="4AF67DF8"/>
    <w:rsid w:val="4B3A2B43"/>
    <w:rsid w:val="4B4553A2"/>
    <w:rsid w:val="4B636AF4"/>
    <w:rsid w:val="4B9A12BD"/>
    <w:rsid w:val="4BD016F9"/>
    <w:rsid w:val="4BD354BC"/>
    <w:rsid w:val="4BEB60E5"/>
    <w:rsid w:val="4C014B70"/>
    <w:rsid w:val="4C086235"/>
    <w:rsid w:val="4C264171"/>
    <w:rsid w:val="4C561BFF"/>
    <w:rsid w:val="4C5B6E36"/>
    <w:rsid w:val="4C636049"/>
    <w:rsid w:val="4C6E4F59"/>
    <w:rsid w:val="4C70391E"/>
    <w:rsid w:val="4C8229F4"/>
    <w:rsid w:val="4CE92345"/>
    <w:rsid w:val="4D1711B6"/>
    <w:rsid w:val="4D464DB0"/>
    <w:rsid w:val="4D6D5452"/>
    <w:rsid w:val="4D70710D"/>
    <w:rsid w:val="4D9F08E4"/>
    <w:rsid w:val="4DAF62DC"/>
    <w:rsid w:val="4DDE60AA"/>
    <w:rsid w:val="4E2A1D15"/>
    <w:rsid w:val="4E437F61"/>
    <w:rsid w:val="4E6C395B"/>
    <w:rsid w:val="4E791843"/>
    <w:rsid w:val="4E94519B"/>
    <w:rsid w:val="4EA529C9"/>
    <w:rsid w:val="4EA84A57"/>
    <w:rsid w:val="4ED4303F"/>
    <w:rsid w:val="4EF35A8F"/>
    <w:rsid w:val="4EFE39EB"/>
    <w:rsid w:val="4F005E52"/>
    <w:rsid w:val="4F3C1343"/>
    <w:rsid w:val="4F4B17C3"/>
    <w:rsid w:val="4F4D42B7"/>
    <w:rsid w:val="4F537EE5"/>
    <w:rsid w:val="4F636A41"/>
    <w:rsid w:val="4F6507F6"/>
    <w:rsid w:val="4F705BB8"/>
    <w:rsid w:val="4F7D56F4"/>
    <w:rsid w:val="4F950C90"/>
    <w:rsid w:val="4FA15887"/>
    <w:rsid w:val="500968FC"/>
    <w:rsid w:val="500C5657"/>
    <w:rsid w:val="50250266"/>
    <w:rsid w:val="50343E72"/>
    <w:rsid w:val="508B268C"/>
    <w:rsid w:val="50BD073F"/>
    <w:rsid w:val="50E90A82"/>
    <w:rsid w:val="50F934A0"/>
    <w:rsid w:val="50FC6799"/>
    <w:rsid w:val="51053BF3"/>
    <w:rsid w:val="5108792A"/>
    <w:rsid w:val="512A00B4"/>
    <w:rsid w:val="51463BEB"/>
    <w:rsid w:val="514A6B3D"/>
    <w:rsid w:val="51652A88"/>
    <w:rsid w:val="517A638F"/>
    <w:rsid w:val="517C4021"/>
    <w:rsid w:val="518C126E"/>
    <w:rsid w:val="51A62257"/>
    <w:rsid w:val="51AA2DFE"/>
    <w:rsid w:val="51AE7DE7"/>
    <w:rsid w:val="51B7313F"/>
    <w:rsid w:val="51BA6B87"/>
    <w:rsid w:val="51C94C21"/>
    <w:rsid w:val="51D325B7"/>
    <w:rsid w:val="51EA61C3"/>
    <w:rsid w:val="52031BC4"/>
    <w:rsid w:val="520602FF"/>
    <w:rsid w:val="520B4CA5"/>
    <w:rsid w:val="520F2A94"/>
    <w:rsid w:val="52370177"/>
    <w:rsid w:val="52387556"/>
    <w:rsid w:val="523F1387"/>
    <w:rsid w:val="52435E14"/>
    <w:rsid w:val="524B60B6"/>
    <w:rsid w:val="524D751A"/>
    <w:rsid w:val="525F79C8"/>
    <w:rsid w:val="526806C6"/>
    <w:rsid w:val="527575E0"/>
    <w:rsid w:val="52C804AE"/>
    <w:rsid w:val="534964FB"/>
    <w:rsid w:val="534A1D91"/>
    <w:rsid w:val="53691D68"/>
    <w:rsid w:val="537B0619"/>
    <w:rsid w:val="53807561"/>
    <w:rsid w:val="539F3E8B"/>
    <w:rsid w:val="53AE6A47"/>
    <w:rsid w:val="53EF7E72"/>
    <w:rsid w:val="540C6053"/>
    <w:rsid w:val="54597100"/>
    <w:rsid w:val="54667296"/>
    <w:rsid w:val="546E7D01"/>
    <w:rsid w:val="548E5CAE"/>
    <w:rsid w:val="54937572"/>
    <w:rsid w:val="54C36822"/>
    <w:rsid w:val="54D70E47"/>
    <w:rsid w:val="54D837BC"/>
    <w:rsid w:val="54D933CD"/>
    <w:rsid w:val="54EA3DEB"/>
    <w:rsid w:val="55261E66"/>
    <w:rsid w:val="552D3719"/>
    <w:rsid w:val="55393E6B"/>
    <w:rsid w:val="553F1336"/>
    <w:rsid w:val="555F6A99"/>
    <w:rsid w:val="55674E7D"/>
    <w:rsid w:val="556E0847"/>
    <w:rsid w:val="558D27E9"/>
    <w:rsid w:val="55A214A4"/>
    <w:rsid w:val="55A45300"/>
    <w:rsid w:val="55A90650"/>
    <w:rsid w:val="55C53951"/>
    <w:rsid w:val="55CE6CAA"/>
    <w:rsid w:val="55E22755"/>
    <w:rsid w:val="55EE27B8"/>
    <w:rsid w:val="5637484F"/>
    <w:rsid w:val="564229F4"/>
    <w:rsid w:val="567E093A"/>
    <w:rsid w:val="567F7FA4"/>
    <w:rsid w:val="568E0354"/>
    <w:rsid w:val="56936903"/>
    <w:rsid w:val="56A144C0"/>
    <w:rsid w:val="56A55174"/>
    <w:rsid w:val="56C1680E"/>
    <w:rsid w:val="56E64240"/>
    <w:rsid w:val="5712706A"/>
    <w:rsid w:val="57677165"/>
    <w:rsid w:val="57686665"/>
    <w:rsid w:val="5778226D"/>
    <w:rsid w:val="578850C5"/>
    <w:rsid w:val="57947A7F"/>
    <w:rsid w:val="57971835"/>
    <w:rsid w:val="57BB4461"/>
    <w:rsid w:val="582E72B5"/>
    <w:rsid w:val="58486C08"/>
    <w:rsid w:val="58495136"/>
    <w:rsid w:val="585B7F14"/>
    <w:rsid w:val="585E2110"/>
    <w:rsid w:val="586D0078"/>
    <w:rsid w:val="58773629"/>
    <w:rsid w:val="5877718F"/>
    <w:rsid w:val="58893F47"/>
    <w:rsid w:val="591A1D8F"/>
    <w:rsid w:val="5924744C"/>
    <w:rsid w:val="593B3F3D"/>
    <w:rsid w:val="594B0611"/>
    <w:rsid w:val="59561490"/>
    <w:rsid w:val="59707AE9"/>
    <w:rsid w:val="5986392D"/>
    <w:rsid w:val="59A018B8"/>
    <w:rsid w:val="59C168AB"/>
    <w:rsid w:val="59CE6E20"/>
    <w:rsid w:val="59E168F5"/>
    <w:rsid w:val="59F73835"/>
    <w:rsid w:val="5A5A352A"/>
    <w:rsid w:val="5A6776CD"/>
    <w:rsid w:val="5A984730"/>
    <w:rsid w:val="5ACE2C04"/>
    <w:rsid w:val="5AD36811"/>
    <w:rsid w:val="5B12038C"/>
    <w:rsid w:val="5B2002D3"/>
    <w:rsid w:val="5B546E09"/>
    <w:rsid w:val="5B891745"/>
    <w:rsid w:val="5B98782B"/>
    <w:rsid w:val="5BA04C44"/>
    <w:rsid w:val="5BA97DCC"/>
    <w:rsid w:val="5BBC0C0D"/>
    <w:rsid w:val="5BC16969"/>
    <w:rsid w:val="5BC87EE3"/>
    <w:rsid w:val="5BCB4004"/>
    <w:rsid w:val="5C1D0043"/>
    <w:rsid w:val="5C2E3896"/>
    <w:rsid w:val="5C46434F"/>
    <w:rsid w:val="5C4D6494"/>
    <w:rsid w:val="5C740819"/>
    <w:rsid w:val="5C7A6384"/>
    <w:rsid w:val="5C89230F"/>
    <w:rsid w:val="5CDA5EDA"/>
    <w:rsid w:val="5CE50BB5"/>
    <w:rsid w:val="5D495260"/>
    <w:rsid w:val="5D6A39E6"/>
    <w:rsid w:val="5D6F0F37"/>
    <w:rsid w:val="5D775E79"/>
    <w:rsid w:val="5DEC4043"/>
    <w:rsid w:val="5DF57DA8"/>
    <w:rsid w:val="5DF64FF0"/>
    <w:rsid w:val="5E014EC6"/>
    <w:rsid w:val="5E1F7924"/>
    <w:rsid w:val="5E360E05"/>
    <w:rsid w:val="5E3B42E9"/>
    <w:rsid w:val="5E4366BB"/>
    <w:rsid w:val="5E5E39F4"/>
    <w:rsid w:val="5E7920B1"/>
    <w:rsid w:val="5E7D695E"/>
    <w:rsid w:val="5E912F6A"/>
    <w:rsid w:val="5E9F4AD9"/>
    <w:rsid w:val="5EAB1104"/>
    <w:rsid w:val="5EE86DC8"/>
    <w:rsid w:val="5F047D0D"/>
    <w:rsid w:val="5F0F5BDB"/>
    <w:rsid w:val="5F4C6AC1"/>
    <w:rsid w:val="5F6378A0"/>
    <w:rsid w:val="5F6E211F"/>
    <w:rsid w:val="5FA242AA"/>
    <w:rsid w:val="5FBB67CE"/>
    <w:rsid w:val="5FBD4D22"/>
    <w:rsid w:val="5FBE2DB8"/>
    <w:rsid w:val="5FC01AAC"/>
    <w:rsid w:val="5FC27716"/>
    <w:rsid w:val="5FF15D38"/>
    <w:rsid w:val="5FF90DC7"/>
    <w:rsid w:val="600153AE"/>
    <w:rsid w:val="602167A9"/>
    <w:rsid w:val="60316A0C"/>
    <w:rsid w:val="60395FAE"/>
    <w:rsid w:val="60690354"/>
    <w:rsid w:val="60932FCA"/>
    <w:rsid w:val="60B3541A"/>
    <w:rsid w:val="60B5438B"/>
    <w:rsid w:val="60B87FF3"/>
    <w:rsid w:val="60E85B7C"/>
    <w:rsid w:val="61043E38"/>
    <w:rsid w:val="61056711"/>
    <w:rsid w:val="610F0176"/>
    <w:rsid w:val="61354D04"/>
    <w:rsid w:val="61372386"/>
    <w:rsid w:val="61602933"/>
    <w:rsid w:val="61EB07D9"/>
    <w:rsid w:val="621E2D67"/>
    <w:rsid w:val="62913539"/>
    <w:rsid w:val="62A36DC8"/>
    <w:rsid w:val="62DE1D19"/>
    <w:rsid w:val="62DE4F2C"/>
    <w:rsid w:val="6318039A"/>
    <w:rsid w:val="633D721D"/>
    <w:rsid w:val="6376156F"/>
    <w:rsid w:val="63D6481B"/>
    <w:rsid w:val="63DE0680"/>
    <w:rsid w:val="63E5460A"/>
    <w:rsid w:val="641469D1"/>
    <w:rsid w:val="642259B0"/>
    <w:rsid w:val="642B11B3"/>
    <w:rsid w:val="643A7299"/>
    <w:rsid w:val="648669A1"/>
    <w:rsid w:val="64A44A44"/>
    <w:rsid w:val="64D26C3E"/>
    <w:rsid w:val="64DD5792"/>
    <w:rsid w:val="650E2AD9"/>
    <w:rsid w:val="6560225D"/>
    <w:rsid w:val="65692E3C"/>
    <w:rsid w:val="65D15ED6"/>
    <w:rsid w:val="65D5313D"/>
    <w:rsid w:val="65E47E6A"/>
    <w:rsid w:val="6603529D"/>
    <w:rsid w:val="660917D8"/>
    <w:rsid w:val="66372649"/>
    <w:rsid w:val="666A0722"/>
    <w:rsid w:val="667B533E"/>
    <w:rsid w:val="66871FB1"/>
    <w:rsid w:val="669A5CBE"/>
    <w:rsid w:val="66A52A38"/>
    <w:rsid w:val="66D92B5F"/>
    <w:rsid w:val="66DE0093"/>
    <w:rsid w:val="66FD52D1"/>
    <w:rsid w:val="672C1A82"/>
    <w:rsid w:val="674455D1"/>
    <w:rsid w:val="674A64E0"/>
    <w:rsid w:val="674D4C73"/>
    <w:rsid w:val="677551D7"/>
    <w:rsid w:val="6795624D"/>
    <w:rsid w:val="6799697B"/>
    <w:rsid w:val="679B617A"/>
    <w:rsid w:val="67C43A69"/>
    <w:rsid w:val="67DD2D7C"/>
    <w:rsid w:val="67F87BB6"/>
    <w:rsid w:val="68025084"/>
    <w:rsid w:val="68187257"/>
    <w:rsid w:val="682224DA"/>
    <w:rsid w:val="68264723"/>
    <w:rsid w:val="68294213"/>
    <w:rsid w:val="68365553"/>
    <w:rsid w:val="686714E8"/>
    <w:rsid w:val="68696273"/>
    <w:rsid w:val="68B0093B"/>
    <w:rsid w:val="68DE3972"/>
    <w:rsid w:val="68EA471E"/>
    <w:rsid w:val="692C634B"/>
    <w:rsid w:val="692E47BD"/>
    <w:rsid w:val="696217F4"/>
    <w:rsid w:val="698903D2"/>
    <w:rsid w:val="698C028A"/>
    <w:rsid w:val="69CC12FA"/>
    <w:rsid w:val="69EA4F74"/>
    <w:rsid w:val="69ED63B6"/>
    <w:rsid w:val="69F543AD"/>
    <w:rsid w:val="6A3A3B0B"/>
    <w:rsid w:val="6A4E2237"/>
    <w:rsid w:val="6A627AE8"/>
    <w:rsid w:val="6A763E75"/>
    <w:rsid w:val="6A9040D6"/>
    <w:rsid w:val="6AA17276"/>
    <w:rsid w:val="6ABE6E95"/>
    <w:rsid w:val="6AE80D39"/>
    <w:rsid w:val="6AF056D5"/>
    <w:rsid w:val="6B80414A"/>
    <w:rsid w:val="6B8D788F"/>
    <w:rsid w:val="6B9F06EA"/>
    <w:rsid w:val="6BE7209E"/>
    <w:rsid w:val="6C006B53"/>
    <w:rsid w:val="6C3F2A09"/>
    <w:rsid w:val="6C947E73"/>
    <w:rsid w:val="6CB8022D"/>
    <w:rsid w:val="6CC72677"/>
    <w:rsid w:val="6CE35E77"/>
    <w:rsid w:val="6CF3094C"/>
    <w:rsid w:val="6D125276"/>
    <w:rsid w:val="6D2A0812"/>
    <w:rsid w:val="6D3D75D5"/>
    <w:rsid w:val="6D3E250F"/>
    <w:rsid w:val="6D470800"/>
    <w:rsid w:val="6D4E0FF6"/>
    <w:rsid w:val="6D6331BA"/>
    <w:rsid w:val="6D644723"/>
    <w:rsid w:val="6D84335E"/>
    <w:rsid w:val="6DA921CE"/>
    <w:rsid w:val="6DC9002B"/>
    <w:rsid w:val="6DF90E44"/>
    <w:rsid w:val="6E1F50EF"/>
    <w:rsid w:val="6E22419A"/>
    <w:rsid w:val="6E396833"/>
    <w:rsid w:val="6E4C1B61"/>
    <w:rsid w:val="6E5371F5"/>
    <w:rsid w:val="6E895431"/>
    <w:rsid w:val="6E8C7177"/>
    <w:rsid w:val="6E9A5DA3"/>
    <w:rsid w:val="6EA92216"/>
    <w:rsid w:val="6EAA7E8C"/>
    <w:rsid w:val="6EB0579D"/>
    <w:rsid w:val="6EBB183C"/>
    <w:rsid w:val="6EC72090"/>
    <w:rsid w:val="6ECA451E"/>
    <w:rsid w:val="6EE60768"/>
    <w:rsid w:val="6EF9571E"/>
    <w:rsid w:val="6F101B9F"/>
    <w:rsid w:val="6F2A0BC0"/>
    <w:rsid w:val="6F422C34"/>
    <w:rsid w:val="6F480064"/>
    <w:rsid w:val="6F541B76"/>
    <w:rsid w:val="6F60345C"/>
    <w:rsid w:val="6F6C3363"/>
    <w:rsid w:val="6F7B2B58"/>
    <w:rsid w:val="6FB537A9"/>
    <w:rsid w:val="6FC07DCB"/>
    <w:rsid w:val="6FE36158"/>
    <w:rsid w:val="6FE60534"/>
    <w:rsid w:val="70471859"/>
    <w:rsid w:val="705A5026"/>
    <w:rsid w:val="705C33D8"/>
    <w:rsid w:val="705E1653"/>
    <w:rsid w:val="70763D6E"/>
    <w:rsid w:val="708446DD"/>
    <w:rsid w:val="708460A5"/>
    <w:rsid w:val="70A1122F"/>
    <w:rsid w:val="70A961D4"/>
    <w:rsid w:val="70AA0623"/>
    <w:rsid w:val="70AE3508"/>
    <w:rsid w:val="70D311C0"/>
    <w:rsid w:val="70D50211"/>
    <w:rsid w:val="70D50A94"/>
    <w:rsid w:val="70EE1C2A"/>
    <w:rsid w:val="711F264A"/>
    <w:rsid w:val="713B51DF"/>
    <w:rsid w:val="71872204"/>
    <w:rsid w:val="719426FE"/>
    <w:rsid w:val="71A41A83"/>
    <w:rsid w:val="71AA3CCF"/>
    <w:rsid w:val="71B27028"/>
    <w:rsid w:val="71CB1E97"/>
    <w:rsid w:val="71DE3940"/>
    <w:rsid w:val="71E847F7"/>
    <w:rsid w:val="72141795"/>
    <w:rsid w:val="725F20ED"/>
    <w:rsid w:val="731B0061"/>
    <w:rsid w:val="73296A86"/>
    <w:rsid w:val="734038C7"/>
    <w:rsid w:val="73A64AC5"/>
    <w:rsid w:val="73B47F68"/>
    <w:rsid w:val="73C0671E"/>
    <w:rsid w:val="73D829C4"/>
    <w:rsid w:val="73EC02FC"/>
    <w:rsid w:val="73FB2F08"/>
    <w:rsid w:val="740F42BD"/>
    <w:rsid w:val="741E5C8F"/>
    <w:rsid w:val="745545A7"/>
    <w:rsid w:val="749F4FD7"/>
    <w:rsid w:val="74AF26B4"/>
    <w:rsid w:val="74BA337A"/>
    <w:rsid w:val="74D76D5B"/>
    <w:rsid w:val="750D2EF3"/>
    <w:rsid w:val="75803113"/>
    <w:rsid w:val="7590039E"/>
    <w:rsid w:val="75A86778"/>
    <w:rsid w:val="75CB41D6"/>
    <w:rsid w:val="75E06C10"/>
    <w:rsid w:val="75E261F3"/>
    <w:rsid w:val="75F647A0"/>
    <w:rsid w:val="7606203C"/>
    <w:rsid w:val="760F2C9B"/>
    <w:rsid w:val="76154AFB"/>
    <w:rsid w:val="76156BC6"/>
    <w:rsid w:val="76754526"/>
    <w:rsid w:val="76811CEA"/>
    <w:rsid w:val="76870A5C"/>
    <w:rsid w:val="7691391B"/>
    <w:rsid w:val="769D5AAB"/>
    <w:rsid w:val="76A52DF0"/>
    <w:rsid w:val="76C179F7"/>
    <w:rsid w:val="770D61B8"/>
    <w:rsid w:val="77277361"/>
    <w:rsid w:val="77297FB4"/>
    <w:rsid w:val="77406AD3"/>
    <w:rsid w:val="774249AA"/>
    <w:rsid w:val="777D1E86"/>
    <w:rsid w:val="779F0AF3"/>
    <w:rsid w:val="77A779E2"/>
    <w:rsid w:val="77C7038B"/>
    <w:rsid w:val="77DA4BE2"/>
    <w:rsid w:val="77EC43D7"/>
    <w:rsid w:val="781637FE"/>
    <w:rsid w:val="7828155F"/>
    <w:rsid w:val="784A02E9"/>
    <w:rsid w:val="784F6291"/>
    <w:rsid w:val="786542D7"/>
    <w:rsid w:val="78677C48"/>
    <w:rsid w:val="78770683"/>
    <w:rsid w:val="788D434B"/>
    <w:rsid w:val="789E013A"/>
    <w:rsid w:val="78C2177C"/>
    <w:rsid w:val="78E5725F"/>
    <w:rsid w:val="78F03345"/>
    <w:rsid w:val="78FA0683"/>
    <w:rsid w:val="790031C8"/>
    <w:rsid w:val="791D56CF"/>
    <w:rsid w:val="791E3D2A"/>
    <w:rsid w:val="796C38D4"/>
    <w:rsid w:val="79CB6ED9"/>
    <w:rsid w:val="79D86597"/>
    <w:rsid w:val="79ED7DD0"/>
    <w:rsid w:val="7A224071"/>
    <w:rsid w:val="7A25592A"/>
    <w:rsid w:val="7A467571"/>
    <w:rsid w:val="7A5C3FD5"/>
    <w:rsid w:val="7A7D35B8"/>
    <w:rsid w:val="7A9E76DA"/>
    <w:rsid w:val="7AA94A8B"/>
    <w:rsid w:val="7ABE2599"/>
    <w:rsid w:val="7AD96D46"/>
    <w:rsid w:val="7AE4796F"/>
    <w:rsid w:val="7B157E22"/>
    <w:rsid w:val="7BA25C41"/>
    <w:rsid w:val="7BAE755A"/>
    <w:rsid w:val="7C1132AA"/>
    <w:rsid w:val="7C134E6A"/>
    <w:rsid w:val="7C3675DF"/>
    <w:rsid w:val="7C541407"/>
    <w:rsid w:val="7CA53A11"/>
    <w:rsid w:val="7CC8456C"/>
    <w:rsid w:val="7CEF4184"/>
    <w:rsid w:val="7CF01B12"/>
    <w:rsid w:val="7D197F5B"/>
    <w:rsid w:val="7D2A586F"/>
    <w:rsid w:val="7D361442"/>
    <w:rsid w:val="7D42292F"/>
    <w:rsid w:val="7D4E2876"/>
    <w:rsid w:val="7D584F27"/>
    <w:rsid w:val="7D592FEA"/>
    <w:rsid w:val="7D5D078F"/>
    <w:rsid w:val="7D616728"/>
    <w:rsid w:val="7D6970A4"/>
    <w:rsid w:val="7D771F62"/>
    <w:rsid w:val="7E0F76C2"/>
    <w:rsid w:val="7E123328"/>
    <w:rsid w:val="7E1C0C3C"/>
    <w:rsid w:val="7E3A6BC7"/>
    <w:rsid w:val="7E500013"/>
    <w:rsid w:val="7E543940"/>
    <w:rsid w:val="7EC26936"/>
    <w:rsid w:val="7EC64275"/>
    <w:rsid w:val="7EDD6BD0"/>
    <w:rsid w:val="7EF52F26"/>
    <w:rsid w:val="7F0215EE"/>
    <w:rsid w:val="7F2E23E3"/>
    <w:rsid w:val="7F7D51AD"/>
    <w:rsid w:val="7F7F6FBA"/>
    <w:rsid w:val="7FA7600E"/>
    <w:rsid w:val="C555FEC2"/>
    <w:rsid w:val="EF7F0533"/>
    <w:rsid w:val="F5BC90D6"/>
    <w:rsid w:val="F7FB938A"/>
    <w:rsid w:val="FFFF0F7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efaultImageDpi w14:val="33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99"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1624"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35"/>
    <w:qFormat/>
    <w:uiPriority w:val="0"/>
    <w:pPr>
      <w:keepNext/>
      <w:keepLines/>
      <w:spacing w:before="50" w:beforeLines="50" w:after="50" w:afterLines="50" w:line="360" w:lineRule="auto"/>
      <w:jc w:val="center"/>
      <w:outlineLvl w:val="0"/>
    </w:pPr>
    <w:rPr>
      <w:rFonts w:ascii="黑体" w:hAnsi="黑体" w:eastAsia="黑体" w:cs="Arial Narrow"/>
      <w:b/>
      <w:bCs/>
      <w:kern w:val="44"/>
      <w:sz w:val="24"/>
      <w:szCs w:val="32"/>
    </w:rPr>
  </w:style>
  <w:style w:type="paragraph" w:styleId="5">
    <w:name w:val="heading 2"/>
    <w:basedOn w:val="1"/>
    <w:next w:val="1"/>
    <w:link w:val="104"/>
    <w:unhideWhenUsed/>
    <w:qFormat/>
    <w:uiPriority w:val="0"/>
    <w:pPr>
      <w:spacing w:line="360" w:lineRule="auto"/>
      <w:jc w:val="left"/>
      <w:outlineLvl w:val="1"/>
    </w:pPr>
    <w:rPr>
      <w:rFonts w:hint="eastAsia" w:ascii="宋体" w:hAnsi="宋体" w:cs="Times New Roman"/>
      <w:b/>
      <w:bCs/>
      <w:kern w:val="0"/>
      <w:sz w:val="28"/>
      <w:szCs w:val="36"/>
    </w:rPr>
  </w:style>
  <w:style w:type="paragraph" w:styleId="6">
    <w:name w:val="heading 3"/>
    <w:basedOn w:val="1"/>
    <w:next w:val="1"/>
    <w:unhideWhenUsed/>
    <w:qFormat/>
    <w:uiPriority w:val="0"/>
    <w:pPr>
      <w:jc w:val="left"/>
      <w:outlineLvl w:val="2"/>
    </w:pPr>
    <w:rPr>
      <w:rFonts w:hint="eastAsia" w:ascii="宋体" w:hAnsi="宋体" w:eastAsia="宋体" w:cs="Times New Roman"/>
      <w:b/>
      <w:bCs/>
      <w:kern w:val="0"/>
      <w:sz w:val="27"/>
      <w:szCs w:val="27"/>
    </w:rPr>
  </w:style>
  <w:style w:type="character" w:default="1" w:styleId="19">
    <w:name w:val="Default Paragraph Font"/>
    <w:semiHidden/>
    <w:unhideWhenUsed/>
    <w:qFormat/>
    <w:uiPriority w:val="1"/>
  </w:style>
  <w:style w:type="table" w:default="1" w:styleId="33">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Body Text First Indent 21"/>
    <w:basedOn w:val="3"/>
    <w:qFormat/>
    <w:uiPriority w:val="99"/>
    <w:pPr>
      <w:ind w:left="0" w:firstLine="420"/>
    </w:pPr>
    <w:rPr>
      <w:rFonts w:ascii="仿宋_GB2312" w:eastAsia="仿宋_GB2312" w:cs="仿宋_GB2312"/>
      <w:sz w:val="32"/>
      <w:szCs w:val="32"/>
    </w:rPr>
  </w:style>
  <w:style w:type="paragraph" w:customStyle="1" w:styleId="3">
    <w:name w:val="Body Text Indent1"/>
    <w:basedOn w:val="1"/>
    <w:qFormat/>
    <w:uiPriority w:val="99"/>
    <w:pPr>
      <w:ind w:left="420" w:leftChars="200"/>
    </w:pPr>
  </w:style>
  <w:style w:type="paragraph" w:styleId="7">
    <w:name w:val="annotation subject"/>
    <w:basedOn w:val="8"/>
    <w:next w:val="8"/>
    <w:link w:val="89"/>
    <w:qFormat/>
    <w:uiPriority w:val="0"/>
    <w:pPr>
      <w:spacing w:line="240" w:lineRule="auto"/>
      <w:ind w:firstLine="0" w:firstLineChars="0"/>
    </w:pPr>
    <w:rPr>
      <w:rFonts w:asciiTheme="minorHAnsi" w:hAnsiTheme="minorHAnsi" w:eastAsiaTheme="minorEastAsia" w:cstheme="minorBidi"/>
      <w:b/>
      <w:bCs/>
      <w:kern w:val="2"/>
      <w:sz w:val="21"/>
      <w:szCs w:val="24"/>
    </w:rPr>
  </w:style>
  <w:style w:type="paragraph" w:styleId="8">
    <w:name w:val="annotation text"/>
    <w:basedOn w:val="1"/>
    <w:link w:val="88"/>
    <w:unhideWhenUsed/>
    <w:qFormat/>
    <w:uiPriority w:val="0"/>
    <w:pPr>
      <w:spacing w:line="240" w:lineRule="atLeast"/>
      <w:ind w:firstLine="200" w:firstLineChars="200"/>
      <w:jc w:val="left"/>
    </w:pPr>
    <w:rPr>
      <w:rFonts w:ascii="Times New Roman" w:hAnsi="Times New Roman" w:eastAsia="宋体" w:cs="Times New Roman"/>
      <w:kern w:val="0"/>
      <w:sz w:val="20"/>
      <w:szCs w:val="20"/>
    </w:rPr>
  </w:style>
  <w:style w:type="paragraph" w:styleId="9">
    <w:name w:val="caption"/>
    <w:basedOn w:val="1"/>
    <w:next w:val="1"/>
    <w:qFormat/>
    <w:uiPriority w:val="0"/>
    <w:rPr>
      <w:rFonts w:ascii="Times New Roman" w:hAnsi="Times New Roman" w:eastAsia="黑体" w:cs="Arial Narrow"/>
    </w:rPr>
  </w:style>
  <w:style w:type="paragraph" w:styleId="10">
    <w:name w:val="Body Text"/>
    <w:basedOn w:val="1"/>
    <w:link w:val="106"/>
    <w:qFormat/>
    <w:uiPriority w:val="99"/>
    <w:rPr>
      <w:sz w:val="18"/>
    </w:rPr>
  </w:style>
  <w:style w:type="paragraph" w:styleId="11">
    <w:name w:val="Body Text Indent"/>
    <w:qFormat/>
    <w:uiPriority w:val="1624"/>
    <w:pPr>
      <w:widowControl w:val="0"/>
      <w:ind w:firstLine="630"/>
      <w:jc w:val="both"/>
    </w:pPr>
    <w:rPr>
      <w:rFonts w:ascii="Times New Roman" w:hAnsi="Times New Roman" w:eastAsia="黑体" w:cs="Times New Roman"/>
      <w:kern w:val="2"/>
      <w:sz w:val="32"/>
      <w:szCs w:val="24"/>
      <w:lang w:val="en-US" w:eastAsia="zh-CN" w:bidi="ar-SA"/>
    </w:rPr>
  </w:style>
  <w:style w:type="paragraph" w:styleId="12">
    <w:name w:val="endnote text"/>
    <w:basedOn w:val="1"/>
    <w:qFormat/>
    <w:uiPriority w:val="99"/>
    <w:pPr>
      <w:snapToGrid w:val="0"/>
      <w:jc w:val="left"/>
    </w:pPr>
    <w:rPr>
      <w:rFonts w:ascii="Calibri" w:hAnsi="Calibri"/>
      <w:szCs w:val="20"/>
    </w:rPr>
  </w:style>
  <w:style w:type="paragraph" w:styleId="13">
    <w:name w:val="Balloon Text"/>
    <w:basedOn w:val="1"/>
    <w:link w:val="103"/>
    <w:unhideWhenUsed/>
    <w:qFormat/>
    <w:uiPriority w:val="0"/>
    <w:rPr>
      <w:sz w:val="18"/>
      <w:szCs w:val="18"/>
    </w:rPr>
  </w:style>
  <w:style w:type="paragraph" w:styleId="14">
    <w:name w:val="footer"/>
    <w:basedOn w:val="1"/>
    <w:link w:val="86"/>
    <w:qFormat/>
    <w:uiPriority w:val="99"/>
    <w:pPr>
      <w:tabs>
        <w:tab w:val="center" w:pos="4153"/>
        <w:tab w:val="right" w:pos="8306"/>
      </w:tabs>
      <w:snapToGrid w:val="0"/>
      <w:jc w:val="left"/>
    </w:pPr>
    <w:rPr>
      <w:sz w:val="18"/>
      <w:szCs w:val="18"/>
    </w:rPr>
  </w:style>
  <w:style w:type="paragraph" w:styleId="15">
    <w:name w:val="Body Text First Indent 2"/>
    <w:qFormat/>
    <w:uiPriority w:val="0"/>
    <w:pPr>
      <w:widowControl w:val="0"/>
      <w:spacing w:after="120"/>
      <w:ind w:left="420" w:leftChars="200" w:firstLine="420" w:firstLineChars="200"/>
      <w:jc w:val="both"/>
    </w:pPr>
    <w:rPr>
      <w:rFonts w:ascii="Times New Roman" w:hAnsi="Times New Roman" w:eastAsia="宋体" w:cs="Times New Roman"/>
      <w:kern w:val="2"/>
      <w:sz w:val="21"/>
      <w:szCs w:val="24"/>
      <w:lang w:val="en-US" w:eastAsia="zh-CN" w:bidi="ar-SA"/>
    </w:rPr>
  </w:style>
  <w:style w:type="paragraph" w:styleId="16">
    <w:name w:val="header"/>
    <w:basedOn w:val="1"/>
    <w:link w:val="85"/>
    <w:qFormat/>
    <w:uiPriority w:val="0"/>
    <w:pPr>
      <w:pBdr>
        <w:bottom w:val="single" w:color="auto" w:sz="6" w:space="1"/>
      </w:pBdr>
      <w:tabs>
        <w:tab w:val="center" w:pos="4153"/>
        <w:tab w:val="right" w:pos="8306"/>
      </w:tabs>
      <w:snapToGrid w:val="0"/>
      <w:jc w:val="center"/>
    </w:pPr>
    <w:rPr>
      <w:sz w:val="18"/>
      <w:szCs w:val="18"/>
    </w:rPr>
  </w:style>
  <w:style w:type="paragraph" w:styleId="17">
    <w:name w:val="footnote text"/>
    <w:basedOn w:val="1"/>
    <w:link w:val="90"/>
    <w:qFormat/>
    <w:uiPriority w:val="0"/>
    <w:pPr>
      <w:snapToGrid w:val="0"/>
      <w:jc w:val="left"/>
    </w:pPr>
    <w:rPr>
      <w:sz w:val="18"/>
    </w:rPr>
  </w:style>
  <w:style w:type="paragraph" w:styleId="18">
    <w:name w:val="Normal (Web)"/>
    <w:basedOn w:val="1"/>
    <w:qFormat/>
    <w:uiPriority w:val="0"/>
    <w:pPr>
      <w:spacing w:beforeAutospacing="1" w:afterAutospacing="1"/>
      <w:jc w:val="left"/>
    </w:pPr>
    <w:rPr>
      <w:rFonts w:cs="Times New Roman"/>
      <w:kern w:val="0"/>
      <w:sz w:val="24"/>
    </w:rPr>
  </w:style>
  <w:style w:type="character" w:styleId="20">
    <w:name w:val="Strong"/>
    <w:basedOn w:val="19"/>
    <w:qFormat/>
    <w:uiPriority w:val="0"/>
    <w:rPr>
      <w:b/>
    </w:rPr>
  </w:style>
  <w:style w:type="character" w:styleId="21">
    <w:name w:val="page number"/>
    <w:basedOn w:val="19"/>
    <w:qFormat/>
    <w:uiPriority w:val="0"/>
  </w:style>
  <w:style w:type="character" w:styleId="22">
    <w:name w:val="FollowedHyperlink"/>
    <w:basedOn w:val="19"/>
    <w:qFormat/>
    <w:uiPriority w:val="0"/>
    <w:rPr>
      <w:color w:val="800080"/>
      <w:u w:val="none"/>
    </w:rPr>
  </w:style>
  <w:style w:type="character" w:styleId="23">
    <w:name w:val="Emphasis"/>
    <w:basedOn w:val="19"/>
    <w:qFormat/>
    <w:uiPriority w:val="0"/>
  </w:style>
  <w:style w:type="character" w:styleId="24">
    <w:name w:val="HTML Definition"/>
    <w:basedOn w:val="19"/>
    <w:qFormat/>
    <w:uiPriority w:val="0"/>
  </w:style>
  <w:style w:type="character" w:styleId="25">
    <w:name w:val="HTML Variable"/>
    <w:basedOn w:val="19"/>
    <w:qFormat/>
    <w:uiPriority w:val="0"/>
  </w:style>
  <w:style w:type="character" w:styleId="26">
    <w:name w:val="Hyperlink"/>
    <w:basedOn w:val="19"/>
    <w:unhideWhenUsed/>
    <w:qFormat/>
    <w:uiPriority w:val="0"/>
    <w:rPr>
      <w:color w:val="000000"/>
      <w:u w:val="none"/>
    </w:rPr>
  </w:style>
  <w:style w:type="character" w:styleId="27">
    <w:name w:val="HTML Code"/>
    <w:basedOn w:val="19"/>
    <w:qFormat/>
    <w:uiPriority w:val="0"/>
    <w:rPr>
      <w:rFonts w:hint="default" w:ascii="monospace" w:hAnsi="monospace" w:eastAsia="monospace" w:cs="monospace"/>
      <w:sz w:val="21"/>
      <w:szCs w:val="21"/>
    </w:rPr>
  </w:style>
  <w:style w:type="character" w:styleId="28">
    <w:name w:val="annotation reference"/>
    <w:basedOn w:val="19"/>
    <w:qFormat/>
    <w:uiPriority w:val="0"/>
    <w:rPr>
      <w:sz w:val="21"/>
      <w:szCs w:val="21"/>
    </w:rPr>
  </w:style>
  <w:style w:type="character" w:styleId="29">
    <w:name w:val="HTML Cite"/>
    <w:basedOn w:val="19"/>
    <w:qFormat/>
    <w:uiPriority w:val="0"/>
    <w:rPr>
      <w:color w:val="008000"/>
      <w:sz w:val="14"/>
      <w:szCs w:val="14"/>
    </w:rPr>
  </w:style>
  <w:style w:type="character" w:styleId="30">
    <w:name w:val="footnote reference"/>
    <w:basedOn w:val="19"/>
    <w:qFormat/>
    <w:uiPriority w:val="0"/>
    <w:rPr>
      <w:rFonts w:ascii="Calibri" w:hAnsi="Calibri" w:eastAsia="宋体"/>
      <w:vertAlign w:val="superscript"/>
    </w:rPr>
  </w:style>
  <w:style w:type="character" w:styleId="31">
    <w:name w:val="HTML Keyboard"/>
    <w:basedOn w:val="19"/>
    <w:qFormat/>
    <w:uiPriority w:val="0"/>
    <w:rPr>
      <w:rFonts w:ascii="monospace" w:hAnsi="monospace" w:eastAsia="monospace" w:cs="monospace"/>
      <w:sz w:val="21"/>
      <w:szCs w:val="21"/>
    </w:rPr>
  </w:style>
  <w:style w:type="character" w:styleId="32">
    <w:name w:val="HTML Sample"/>
    <w:basedOn w:val="19"/>
    <w:qFormat/>
    <w:uiPriority w:val="0"/>
    <w:rPr>
      <w:rFonts w:hint="default" w:ascii="monospace" w:hAnsi="monospace" w:eastAsia="monospace" w:cs="monospace"/>
      <w:sz w:val="21"/>
      <w:szCs w:val="21"/>
    </w:rPr>
  </w:style>
  <w:style w:type="table" w:styleId="34">
    <w:name w:val="Table Grid"/>
    <w:basedOn w:val="3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5">
    <w:name w:val="标题 1 字符"/>
    <w:basedOn w:val="19"/>
    <w:link w:val="4"/>
    <w:qFormat/>
    <w:uiPriority w:val="0"/>
    <w:rPr>
      <w:rFonts w:ascii="黑体" w:hAnsi="黑体" w:eastAsia="黑体" w:cs="Arial Narrow"/>
      <w:b/>
      <w:bCs/>
      <w:kern w:val="44"/>
      <w:sz w:val="24"/>
      <w:szCs w:val="32"/>
    </w:rPr>
  </w:style>
  <w:style w:type="character" w:customStyle="1" w:styleId="36">
    <w:name w:val="closeeye"/>
    <w:basedOn w:val="19"/>
    <w:qFormat/>
    <w:uiPriority w:val="0"/>
  </w:style>
  <w:style w:type="character" w:customStyle="1" w:styleId="37">
    <w:name w:val="openeye"/>
    <w:basedOn w:val="19"/>
    <w:qFormat/>
    <w:uiPriority w:val="0"/>
  </w:style>
  <w:style w:type="character" w:customStyle="1" w:styleId="38">
    <w:name w:val="remaintime"/>
    <w:basedOn w:val="19"/>
    <w:qFormat/>
    <w:uiPriority w:val="0"/>
    <w:rPr>
      <w:color w:val="000000"/>
      <w:shd w:val="clear" w:color="auto" w:fill="CACACA"/>
    </w:rPr>
  </w:style>
  <w:style w:type="character" w:customStyle="1" w:styleId="39">
    <w:name w:val="seepass"/>
    <w:basedOn w:val="19"/>
    <w:qFormat/>
    <w:uiPriority w:val="0"/>
  </w:style>
  <w:style w:type="character" w:customStyle="1" w:styleId="40">
    <w:name w:val="on"/>
    <w:basedOn w:val="19"/>
    <w:qFormat/>
    <w:uiPriority w:val="0"/>
    <w:rPr>
      <w:color w:val="FFFFFF"/>
      <w:bdr w:val="single" w:color="C9100E" w:sz="4" w:space="0"/>
      <w:shd w:val="clear" w:color="auto" w:fill="C9100E"/>
    </w:rPr>
  </w:style>
  <w:style w:type="character" w:customStyle="1" w:styleId="41">
    <w:name w:val="eyespan"/>
    <w:basedOn w:val="19"/>
    <w:qFormat/>
    <w:uiPriority w:val="0"/>
  </w:style>
  <w:style w:type="character" w:customStyle="1" w:styleId="42">
    <w:name w:val="hidepass"/>
    <w:basedOn w:val="19"/>
    <w:qFormat/>
    <w:uiPriority w:val="0"/>
  </w:style>
  <w:style w:type="character" w:customStyle="1" w:styleId="43">
    <w:name w:val="hover18"/>
    <w:basedOn w:val="19"/>
    <w:qFormat/>
    <w:uiPriority w:val="0"/>
    <w:rPr>
      <w:color w:val="FFFFFF"/>
      <w:shd w:val="clear" w:color="auto" w:fill="237EC7"/>
    </w:rPr>
  </w:style>
  <w:style w:type="character" w:customStyle="1" w:styleId="44">
    <w:name w:val="hover19"/>
    <w:basedOn w:val="19"/>
    <w:qFormat/>
    <w:uiPriority w:val="0"/>
    <w:rPr>
      <w:color w:val="FFFFFF"/>
      <w:bdr w:val="single" w:color="C9100E" w:sz="4" w:space="0"/>
      <w:shd w:val="clear" w:color="auto" w:fill="C9100E"/>
    </w:rPr>
  </w:style>
  <w:style w:type="character" w:customStyle="1" w:styleId="45">
    <w:name w:val="first-child"/>
    <w:basedOn w:val="19"/>
    <w:qFormat/>
    <w:uiPriority w:val="0"/>
  </w:style>
  <w:style w:type="character" w:customStyle="1" w:styleId="46">
    <w:name w:val="hover47"/>
    <w:basedOn w:val="19"/>
    <w:qFormat/>
    <w:uiPriority w:val="0"/>
    <w:rPr>
      <w:shd w:val="clear" w:color="auto" w:fill="1D50A2"/>
    </w:rPr>
  </w:style>
  <w:style w:type="character" w:customStyle="1" w:styleId="47">
    <w:name w:val="hover48"/>
    <w:basedOn w:val="19"/>
    <w:qFormat/>
    <w:uiPriority w:val="0"/>
    <w:rPr>
      <w:color w:val="1D50A2"/>
    </w:rPr>
  </w:style>
  <w:style w:type="character" w:customStyle="1" w:styleId="48">
    <w:name w:val="mip-carousel-current-indicator"/>
    <w:basedOn w:val="19"/>
    <w:qFormat/>
    <w:uiPriority w:val="0"/>
    <w:rPr>
      <w:shd w:val="clear" w:color="auto" w:fill="FF0000"/>
    </w:rPr>
  </w:style>
  <w:style w:type="character" w:customStyle="1" w:styleId="49">
    <w:name w:val="hover24"/>
    <w:basedOn w:val="19"/>
    <w:qFormat/>
    <w:uiPriority w:val="0"/>
    <w:rPr>
      <w:color w:val="315EFB"/>
    </w:rPr>
  </w:style>
  <w:style w:type="character" w:customStyle="1" w:styleId="50">
    <w:name w:val="hover25"/>
    <w:basedOn w:val="19"/>
    <w:qFormat/>
    <w:uiPriority w:val="0"/>
  </w:style>
  <w:style w:type="character" w:customStyle="1" w:styleId="51">
    <w:name w:val="c-icon28"/>
    <w:basedOn w:val="19"/>
    <w:qFormat/>
    <w:uiPriority w:val="0"/>
  </w:style>
  <w:style w:type="character" w:customStyle="1" w:styleId="52">
    <w:name w:val="pchide"/>
    <w:basedOn w:val="19"/>
    <w:qFormat/>
    <w:uiPriority w:val="0"/>
    <w:rPr>
      <w:color w:val="999999"/>
    </w:rPr>
  </w:style>
  <w:style w:type="character" w:customStyle="1" w:styleId="53">
    <w:name w:val="cur"/>
    <w:basedOn w:val="19"/>
    <w:qFormat/>
    <w:uiPriority w:val="0"/>
    <w:rPr>
      <w:color w:val="C40001"/>
    </w:rPr>
  </w:style>
  <w:style w:type="character" w:customStyle="1" w:styleId="54">
    <w:name w:val="cur1"/>
    <w:basedOn w:val="19"/>
    <w:qFormat/>
    <w:uiPriority w:val="0"/>
    <w:rPr>
      <w:color w:val="C40001"/>
    </w:rPr>
  </w:style>
  <w:style w:type="character" w:customStyle="1" w:styleId="55">
    <w:name w:val="zhankai"/>
    <w:basedOn w:val="19"/>
    <w:qFormat/>
    <w:uiPriority w:val="0"/>
  </w:style>
  <w:style w:type="character" w:customStyle="1" w:styleId="56">
    <w:name w:val="p90"/>
    <w:basedOn w:val="19"/>
    <w:qFormat/>
    <w:uiPriority w:val="0"/>
  </w:style>
  <w:style w:type="character" w:customStyle="1" w:styleId="57">
    <w:name w:val="last-child"/>
    <w:basedOn w:val="19"/>
    <w:qFormat/>
    <w:uiPriority w:val="0"/>
  </w:style>
  <w:style w:type="character" w:customStyle="1" w:styleId="58">
    <w:name w:val="last-child1"/>
    <w:basedOn w:val="19"/>
    <w:qFormat/>
    <w:uiPriority w:val="0"/>
  </w:style>
  <w:style w:type="character" w:customStyle="1" w:styleId="59">
    <w:name w:val="hover10"/>
    <w:basedOn w:val="19"/>
    <w:qFormat/>
    <w:uiPriority w:val="0"/>
    <w:rPr>
      <w:color w:val="C40001"/>
    </w:rPr>
  </w:style>
  <w:style w:type="character" w:customStyle="1" w:styleId="60">
    <w:name w:val="index-module_accountauthentication_3bwix"/>
    <w:basedOn w:val="19"/>
    <w:qFormat/>
    <w:uiPriority w:val="0"/>
  </w:style>
  <w:style w:type="character" w:customStyle="1" w:styleId="61">
    <w:name w:val="m01"/>
    <w:basedOn w:val="19"/>
    <w:qFormat/>
    <w:uiPriority w:val="0"/>
  </w:style>
  <w:style w:type="character" w:customStyle="1" w:styleId="62">
    <w:name w:val="m011"/>
    <w:basedOn w:val="19"/>
    <w:qFormat/>
    <w:uiPriority w:val="0"/>
  </w:style>
  <w:style w:type="character" w:customStyle="1" w:styleId="63">
    <w:name w:val="name"/>
    <w:basedOn w:val="19"/>
    <w:qFormat/>
    <w:uiPriority w:val="0"/>
    <w:rPr>
      <w:color w:val="6A6A6A"/>
      <w:u w:val="single"/>
    </w:rPr>
  </w:style>
  <w:style w:type="character" w:customStyle="1" w:styleId="64">
    <w:name w:val="more4"/>
    <w:basedOn w:val="19"/>
    <w:qFormat/>
    <w:uiPriority w:val="0"/>
    <w:rPr>
      <w:color w:val="666666"/>
      <w:sz w:val="14"/>
      <w:szCs w:val="14"/>
    </w:rPr>
  </w:style>
  <w:style w:type="character" w:customStyle="1" w:styleId="65">
    <w:name w:val="dates"/>
    <w:basedOn w:val="19"/>
    <w:qFormat/>
    <w:uiPriority w:val="0"/>
  </w:style>
  <w:style w:type="character" w:customStyle="1" w:styleId="66">
    <w:name w:val="bg02"/>
    <w:basedOn w:val="19"/>
    <w:qFormat/>
    <w:uiPriority w:val="0"/>
  </w:style>
  <w:style w:type="character" w:customStyle="1" w:styleId="67">
    <w:name w:val="tabg"/>
    <w:basedOn w:val="19"/>
    <w:qFormat/>
    <w:uiPriority w:val="0"/>
    <w:rPr>
      <w:color w:val="FFFFFF"/>
      <w:sz w:val="21"/>
      <w:szCs w:val="21"/>
    </w:rPr>
  </w:style>
  <w:style w:type="character" w:customStyle="1" w:styleId="68">
    <w:name w:val="bg01"/>
    <w:basedOn w:val="19"/>
    <w:qFormat/>
    <w:uiPriority w:val="0"/>
  </w:style>
  <w:style w:type="character" w:customStyle="1" w:styleId="69">
    <w:name w:val="font2"/>
    <w:basedOn w:val="19"/>
    <w:qFormat/>
    <w:uiPriority w:val="0"/>
  </w:style>
  <w:style w:type="character" w:customStyle="1" w:styleId="70">
    <w:name w:val="font3"/>
    <w:basedOn w:val="19"/>
    <w:qFormat/>
    <w:uiPriority w:val="0"/>
  </w:style>
  <w:style w:type="character" w:customStyle="1" w:styleId="71">
    <w:name w:val="laypage_curr"/>
    <w:basedOn w:val="19"/>
    <w:qFormat/>
    <w:uiPriority w:val="0"/>
    <w:rPr>
      <w:color w:val="FFFDF4"/>
      <w:shd w:val="clear" w:color="auto" w:fill="0B67A6"/>
    </w:rPr>
  </w:style>
  <w:style w:type="character" w:customStyle="1" w:styleId="72">
    <w:name w:val="place"/>
    <w:basedOn w:val="19"/>
    <w:qFormat/>
    <w:uiPriority w:val="0"/>
  </w:style>
  <w:style w:type="character" w:customStyle="1" w:styleId="73">
    <w:name w:val="place1"/>
    <w:basedOn w:val="19"/>
    <w:qFormat/>
    <w:uiPriority w:val="0"/>
  </w:style>
  <w:style w:type="character" w:customStyle="1" w:styleId="74">
    <w:name w:val="place2"/>
    <w:basedOn w:val="19"/>
    <w:qFormat/>
    <w:uiPriority w:val="0"/>
  </w:style>
  <w:style w:type="character" w:customStyle="1" w:styleId="75">
    <w:name w:val="place3"/>
    <w:basedOn w:val="19"/>
    <w:qFormat/>
    <w:uiPriority w:val="0"/>
    <w:rPr>
      <w:rFonts w:ascii="微软雅黑" w:hAnsi="微软雅黑" w:eastAsia="微软雅黑" w:cs="微软雅黑"/>
      <w:color w:val="888888"/>
      <w:sz w:val="20"/>
      <w:szCs w:val="20"/>
    </w:rPr>
  </w:style>
  <w:style w:type="character" w:customStyle="1" w:styleId="76">
    <w:name w:val="noline"/>
    <w:basedOn w:val="19"/>
    <w:qFormat/>
    <w:uiPriority w:val="0"/>
  </w:style>
  <w:style w:type="character" w:customStyle="1" w:styleId="77">
    <w:name w:val="font"/>
    <w:basedOn w:val="19"/>
    <w:qFormat/>
    <w:uiPriority w:val="0"/>
  </w:style>
  <w:style w:type="character" w:customStyle="1" w:styleId="78">
    <w:name w:val="font1"/>
    <w:basedOn w:val="19"/>
    <w:qFormat/>
    <w:uiPriority w:val="0"/>
  </w:style>
  <w:style w:type="character" w:customStyle="1" w:styleId="79">
    <w:name w:val="gwds_nopic"/>
    <w:basedOn w:val="19"/>
    <w:qFormat/>
    <w:uiPriority w:val="0"/>
  </w:style>
  <w:style w:type="character" w:customStyle="1" w:styleId="80">
    <w:name w:val="gwds_nopic1"/>
    <w:basedOn w:val="19"/>
    <w:qFormat/>
    <w:uiPriority w:val="0"/>
  </w:style>
  <w:style w:type="character" w:customStyle="1" w:styleId="81">
    <w:name w:val="gwds_nopic2"/>
    <w:basedOn w:val="19"/>
    <w:qFormat/>
    <w:uiPriority w:val="0"/>
  </w:style>
  <w:style w:type="character" w:customStyle="1" w:styleId="82">
    <w:name w:val="hover20"/>
    <w:basedOn w:val="19"/>
    <w:qFormat/>
    <w:uiPriority w:val="0"/>
    <w:rPr>
      <w:color w:val="015293"/>
    </w:rPr>
  </w:style>
  <w:style w:type="paragraph" w:customStyle="1" w:styleId="83">
    <w:name w:val="图标题头"/>
    <w:qFormat/>
    <w:uiPriority w:val="0"/>
    <w:pPr>
      <w:spacing w:line="360" w:lineRule="auto"/>
      <w:ind w:firstLine="360"/>
      <w:jc w:val="center"/>
    </w:pPr>
    <w:rPr>
      <w:rFonts w:ascii="Times New Roman" w:hAnsi="Times New Roman" w:cs="Times New Roman" w:eastAsiaTheme="minorEastAsia"/>
      <w:b/>
      <w:bCs/>
      <w:sz w:val="18"/>
      <w:szCs w:val="18"/>
      <w:lang w:val="en-US" w:eastAsia="zh-CN" w:bidi="ar-SA"/>
    </w:rPr>
  </w:style>
  <w:style w:type="paragraph" w:customStyle="1" w:styleId="84">
    <w:name w:val="引文"/>
    <w:basedOn w:val="1"/>
    <w:qFormat/>
    <w:uiPriority w:val="0"/>
    <w:pPr>
      <w:spacing w:line="288" w:lineRule="auto"/>
      <w:ind w:left="200" w:hanging="200" w:hangingChars="200"/>
    </w:pPr>
  </w:style>
  <w:style w:type="character" w:customStyle="1" w:styleId="85">
    <w:name w:val="页眉 字符"/>
    <w:basedOn w:val="19"/>
    <w:link w:val="16"/>
    <w:qFormat/>
    <w:uiPriority w:val="0"/>
    <w:rPr>
      <w:rFonts w:asciiTheme="minorHAnsi" w:hAnsiTheme="minorHAnsi" w:eastAsiaTheme="minorEastAsia" w:cstheme="minorBidi"/>
      <w:kern w:val="2"/>
      <w:sz w:val="18"/>
      <w:szCs w:val="18"/>
    </w:rPr>
  </w:style>
  <w:style w:type="character" w:customStyle="1" w:styleId="86">
    <w:name w:val="页脚 字符"/>
    <w:basedOn w:val="19"/>
    <w:link w:val="14"/>
    <w:qFormat/>
    <w:uiPriority w:val="99"/>
    <w:rPr>
      <w:rFonts w:asciiTheme="minorHAnsi" w:hAnsiTheme="minorHAnsi" w:eastAsiaTheme="minorEastAsia" w:cstheme="minorBidi"/>
      <w:kern w:val="2"/>
      <w:sz w:val="18"/>
      <w:szCs w:val="18"/>
    </w:rPr>
  </w:style>
  <w:style w:type="paragraph" w:customStyle="1" w:styleId="87">
    <w:name w:val="修订1"/>
    <w:hidden/>
    <w:semiHidden/>
    <w:qFormat/>
    <w:uiPriority w:val="99"/>
    <w:rPr>
      <w:rFonts w:asciiTheme="minorHAnsi" w:hAnsiTheme="minorHAnsi" w:eastAsiaTheme="minorEastAsia" w:cstheme="minorBidi"/>
      <w:kern w:val="2"/>
      <w:sz w:val="21"/>
      <w:szCs w:val="24"/>
      <w:lang w:val="en-US" w:eastAsia="zh-CN" w:bidi="ar-SA"/>
    </w:rPr>
  </w:style>
  <w:style w:type="character" w:customStyle="1" w:styleId="88">
    <w:name w:val="批注文字 字符"/>
    <w:basedOn w:val="19"/>
    <w:link w:val="8"/>
    <w:qFormat/>
    <w:uiPriority w:val="0"/>
  </w:style>
  <w:style w:type="character" w:customStyle="1" w:styleId="89">
    <w:name w:val="批注主题 字符"/>
    <w:basedOn w:val="88"/>
    <w:link w:val="7"/>
    <w:qFormat/>
    <w:uiPriority w:val="0"/>
    <w:rPr>
      <w:rFonts w:asciiTheme="minorHAnsi" w:hAnsiTheme="minorHAnsi" w:eastAsiaTheme="minorEastAsia" w:cstheme="minorBidi"/>
      <w:b/>
      <w:bCs/>
      <w:kern w:val="2"/>
      <w:sz w:val="21"/>
      <w:szCs w:val="24"/>
    </w:rPr>
  </w:style>
  <w:style w:type="character" w:customStyle="1" w:styleId="90">
    <w:name w:val="脚注文本 字符"/>
    <w:basedOn w:val="19"/>
    <w:link w:val="17"/>
    <w:qFormat/>
    <w:uiPriority w:val="0"/>
    <w:rPr>
      <w:rFonts w:asciiTheme="minorHAnsi" w:hAnsiTheme="minorHAnsi" w:eastAsiaTheme="minorEastAsia" w:cstheme="minorBidi"/>
      <w:kern w:val="2"/>
      <w:sz w:val="18"/>
      <w:szCs w:val="24"/>
    </w:rPr>
  </w:style>
  <w:style w:type="paragraph" w:customStyle="1" w:styleId="91">
    <w:name w:val="列表段落1"/>
    <w:basedOn w:val="1"/>
    <w:qFormat/>
    <w:uiPriority w:val="99"/>
    <w:pPr>
      <w:ind w:firstLine="420" w:firstLineChars="200"/>
    </w:pPr>
  </w:style>
  <w:style w:type="character" w:customStyle="1" w:styleId="92">
    <w:name w:val="font21"/>
    <w:basedOn w:val="19"/>
    <w:qFormat/>
    <w:uiPriority w:val="0"/>
    <w:rPr>
      <w:rFonts w:hint="eastAsia" w:ascii="宋体" w:hAnsi="宋体" w:eastAsia="宋体" w:cs="宋体"/>
      <w:color w:val="000000"/>
      <w:sz w:val="18"/>
      <w:szCs w:val="18"/>
      <w:u w:val="none"/>
    </w:rPr>
  </w:style>
  <w:style w:type="character" w:customStyle="1" w:styleId="93">
    <w:name w:val="MTEquationSection"/>
    <w:basedOn w:val="19"/>
    <w:qFormat/>
    <w:uiPriority w:val="0"/>
    <w:rPr>
      <w:rFonts w:ascii="黑体" w:hAnsi="黑体" w:eastAsia="黑体"/>
      <w:vanish/>
      <w:color w:val="FF0000"/>
    </w:rPr>
  </w:style>
  <w:style w:type="character" w:customStyle="1" w:styleId="94">
    <w:name w:val="dt-editor__word"/>
    <w:qFormat/>
    <w:uiPriority w:val="0"/>
  </w:style>
  <w:style w:type="table" w:customStyle="1" w:styleId="95">
    <w:name w:val="网格型1"/>
    <w:qFormat/>
    <w:uiPriority w:val="39"/>
    <w:rPr>
      <w:rFonts w:ascii="等线" w:hAnsi="等线" w:eastAsia="等线"/>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style>
  <w:style w:type="paragraph" w:styleId="96">
    <w:name w:val="List Paragraph"/>
    <w:basedOn w:val="1"/>
    <w:qFormat/>
    <w:uiPriority w:val="99"/>
    <w:pPr>
      <w:ind w:firstLine="420" w:firstLineChars="200"/>
    </w:pPr>
  </w:style>
  <w:style w:type="paragraph" w:customStyle="1" w:styleId="97">
    <w:name w:val="修订2"/>
    <w:hidden/>
    <w:semiHidden/>
    <w:qFormat/>
    <w:uiPriority w:val="99"/>
    <w:rPr>
      <w:rFonts w:asciiTheme="minorHAnsi" w:hAnsiTheme="minorHAnsi" w:eastAsiaTheme="minorEastAsia" w:cstheme="minorBidi"/>
      <w:kern w:val="2"/>
      <w:sz w:val="21"/>
      <w:szCs w:val="24"/>
      <w:lang w:val="en-US" w:eastAsia="zh-CN" w:bidi="ar-SA"/>
    </w:rPr>
  </w:style>
  <w:style w:type="paragraph" w:customStyle="1" w:styleId="98">
    <w:name w:val="MTDisplayEquation"/>
    <w:basedOn w:val="99"/>
    <w:next w:val="1"/>
    <w:link w:val="100"/>
    <w:qFormat/>
    <w:uiPriority w:val="0"/>
    <w:pPr>
      <w:tabs>
        <w:tab w:val="center" w:pos="4320"/>
        <w:tab w:val="right" w:pos="8620"/>
        <w:tab w:val="right" w:pos="10103"/>
      </w:tabs>
      <w:spacing w:line="380" w:lineRule="exact"/>
      <w:ind w:firstLine="392" w:firstLineChars="200"/>
    </w:pPr>
    <w:rPr>
      <w:rFonts w:ascii="Times New Roman" w:hAnsi="Times New Roman" w:eastAsia="宋体" w:cs="Times New Roman"/>
      <w:i/>
      <w:iCs/>
      <w:szCs w:val="22"/>
    </w:rPr>
  </w:style>
  <w:style w:type="paragraph" w:customStyle="1" w:styleId="99">
    <w:name w:val="公式"/>
    <w:basedOn w:val="1"/>
    <w:unhideWhenUsed/>
    <w:qFormat/>
    <w:uiPriority w:val="0"/>
    <w:pPr>
      <w:tabs>
        <w:tab w:val="right" w:pos="10103"/>
      </w:tabs>
      <w:spacing w:line="360" w:lineRule="auto"/>
      <w:jc w:val="center"/>
    </w:pPr>
  </w:style>
  <w:style w:type="character" w:customStyle="1" w:styleId="100">
    <w:name w:val="MTDisplayEquation 字符"/>
    <w:basedOn w:val="19"/>
    <w:link w:val="98"/>
    <w:qFormat/>
    <w:uiPriority w:val="0"/>
    <w:rPr>
      <w:rFonts w:ascii="Times New Roman" w:hAnsi="Times New Roman" w:eastAsia="宋体" w:cs="Times New Roman"/>
      <w:i/>
      <w:iCs/>
      <w:kern w:val="2"/>
      <w:sz w:val="21"/>
      <w:szCs w:val="22"/>
    </w:rPr>
  </w:style>
  <w:style w:type="character" w:customStyle="1" w:styleId="101">
    <w:name w:val="未处理的提及1"/>
    <w:basedOn w:val="19"/>
    <w:semiHidden/>
    <w:unhideWhenUsed/>
    <w:qFormat/>
    <w:uiPriority w:val="99"/>
    <w:rPr>
      <w:color w:val="605E5C"/>
      <w:shd w:val="clear" w:color="auto" w:fill="E1DFDD"/>
    </w:rPr>
  </w:style>
  <w:style w:type="paragraph" w:customStyle="1" w:styleId="102">
    <w:name w:val="修订3"/>
    <w:hidden/>
    <w:semiHidden/>
    <w:qFormat/>
    <w:uiPriority w:val="99"/>
    <w:rPr>
      <w:rFonts w:asciiTheme="minorHAnsi" w:hAnsiTheme="minorHAnsi" w:eastAsiaTheme="minorEastAsia" w:cstheme="minorBidi"/>
      <w:kern w:val="2"/>
      <w:sz w:val="21"/>
      <w:szCs w:val="24"/>
      <w:lang w:val="en-US" w:eastAsia="zh-CN" w:bidi="ar-SA"/>
    </w:rPr>
  </w:style>
  <w:style w:type="character" w:customStyle="1" w:styleId="103">
    <w:name w:val="批注框文本 字符"/>
    <w:basedOn w:val="19"/>
    <w:link w:val="13"/>
    <w:qFormat/>
    <w:uiPriority w:val="0"/>
    <w:rPr>
      <w:rFonts w:asciiTheme="minorHAnsi" w:hAnsiTheme="minorHAnsi" w:eastAsiaTheme="minorEastAsia" w:cstheme="minorBidi"/>
      <w:kern w:val="2"/>
      <w:sz w:val="18"/>
      <w:szCs w:val="18"/>
    </w:rPr>
  </w:style>
  <w:style w:type="character" w:customStyle="1" w:styleId="104">
    <w:name w:val="标题 2 字符"/>
    <w:basedOn w:val="19"/>
    <w:link w:val="5"/>
    <w:qFormat/>
    <w:uiPriority w:val="0"/>
    <w:rPr>
      <w:rFonts w:ascii="宋体" w:hAnsi="宋体" w:eastAsiaTheme="minorEastAsia"/>
      <w:b/>
      <w:bCs/>
      <w:sz w:val="28"/>
      <w:szCs w:val="36"/>
    </w:rPr>
  </w:style>
  <w:style w:type="character" w:customStyle="1" w:styleId="105">
    <w:name w:val="未处理的提及2"/>
    <w:basedOn w:val="19"/>
    <w:semiHidden/>
    <w:unhideWhenUsed/>
    <w:qFormat/>
    <w:uiPriority w:val="99"/>
    <w:rPr>
      <w:color w:val="605E5C"/>
      <w:shd w:val="clear" w:color="auto" w:fill="E1DFDD"/>
    </w:rPr>
  </w:style>
  <w:style w:type="character" w:customStyle="1" w:styleId="106">
    <w:name w:val="正文文本 字符"/>
    <w:basedOn w:val="19"/>
    <w:link w:val="10"/>
    <w:qFormat/>
    <w:uiPriority w:val="99"/>
    <w:rPr>
      <w:rFonts w:asciiTheme="minorHAnsi" w:hAnsiTheme="minorHAnsi" w:eastAsiaTheme="minorEastAsia" w:cstheme="minorBidi"/>
      <w:kern w:val="2"/>
      <w:sz w:val="18"/>
      <w:szCs w:val="24"/>
    </w:rPr>
  </w:style>
  <w:style w:type="paragraph" w:customStyle="1" w:styleId="107">
    <w:name w:val="Revision"/>
    <w:hidden/>
    <w:unhideWhenUsed/>
    <w:qFormat/>
    <w:uiPriority w:val="99"/>
    <w:rPr>
      <w:rFonts w:asciiTheme="minorHAnsi" w:hAnsiTheme="minorHAnsi" w:eastAsiaTheme="minorEastAsia" w:cstheme="minorBidi"/>
      <w:kern w:val="2"/>
      <w:sz w:val="21"/>
      <w:szCs w:val="24"/>
      <w:lang w:val="en-US" w:eastAsia="zh-CN" w:bidi="ar-SA"/>
    </w:rPr>
  </w:style>
  <w:style w:type="character" w:customStyle="1" w:styleId="108">
    <w:name w:val="Unresolved Mention"/>
    <w:basedOn w:val="19"/>
    <w:semiHidden/>
    <w:unhideWhenUsed/>
    <w:qFormat/>
    <w:uiPriority w:val="99"/>
    <w:rPr>
      <w:color w:val="605E5C"/>
      <w:shd w:val="clear" w:color="auto" w:fill="E1DFDD"/>
    </w:rPr>
  </w:style>
  <w:style w:type="paragraph" w:customStyle="1" w:styleId="109">
    <w:name w:val="3"/>
    <w:basedOn w:val="1"/>
    <w:next w:val="91"/>
    <w:qFormat/>
    <w:uiPriority w:val="34"/>
    <w:pPr>
      <w:ind w:firstLine="420" w:firstLineChars="200"/>
    </w:pPr>
    <w:rPr>
      <w:rFonts w:ascii="等线" w:hAnsi="等线" w:eastAsia="等线"/>
    </w:rPr>
  </w:style>
  <w:style w:type="paragraph" w:customStyle="1" w:styleId="110">
    <w:name w:val="4正文"/>
    <w:basedOn w:val="1"/>
    <w:qFormat/>
    <w:uiPriority w:val="0"/>
    <w:pPr>
      <w:spacing w:line="400" w:lineRule="exact"/>
    </w:pPr>
    <w:rPr>
      <w:rFonts w:ascii="Times New Roman" w:hAnsi="Times New Roman" w:cs="Times New Roman"/>
      <w:szCs w:val="24"/>
    </w:rPr>
  </w:style>
  <w:style w:type="table" w:customStyle="1" w:styleId="111">
    <w:name w:val="网格型3"/>
    <w:qFormat/>
    <w:uiPriority w:val="0"/>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12">
    <w:name w:val="网格型4"/>
    <w:qFormat/>
    <w:uiPriority w:val="0"/>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13">
    <w:name w:val="正文jj"/>
    <w:basedOn w:val="1"/>
    <w:qFormat/>
    <w:uiPriority w:val="0"/>
    <w:pPr>
      <w:spacing w:line="240" w:lineRule="atLeast"/>
      <w:ind w:firstLine="392" w:firstLineChars="200"/>
    </w:pPr>
    <w:rPr>
      <w:rFonts w:hint="eastAsia" w:ascii="Times New Roman" w:hAnsi="Times New Roman" w:eastAsia="宋体" w:cs="Times New Roman"/>
      <w:szCs w:val="22"/>
    </w:rPr>
  </w:style>
  <w:style w:type="paragraph" w:customStyle="1" w:styleId="114">
    <w:name w:val="表标题jj"/>
    <w:basedOn w:val="1"/>
    <w:qFormat/>
    <w:uiPriority w:val="0"/>
    <w:pPr>
      <w:keepNext/>
      <w:spacing w:line="240" w:lineRule="atLeast"/>
      <w:ind w:firstLine="332" w:firstLineChars="200"/>
    </w:pPr>
    <w:rPr>
      <w:rFonts w:ascii="Times New Roman" w:hAnsi="Times New Roman" w:eastAsia="黑体" w:cs="Times New Roman"/>
      <w:sz w:val="18"/>
      <w:szCs w:val="20"/>
    </w:rPr>
  </w:style>
  <w:style w:type="paragraph" w:customStyle="1" w:styleId="115">
    <w:name w:val="表下注jj"/>
    <w:basedOn w:val="1"/>
    <w:qFormat/>
    <w:uiPriority w:val="0"/>
    <w:pPr>
      <w:keepNext/>
      <w:keepLines/>
      <w:tabs>
        <w:tab w:val="left" w:pos="432"/>
      </w:tabs>
      <w:spacing w:line="240" w:lineRule="atLeast"/>
      <w:ind w:firstLine="332" w:firstLineChars="200"/>
      <w:outlineLvl w:val="0"/>
    </w:pPr>
    <w:rPr>
      <w:rFonts w:hint="eastAsia" w:ascii="Times New Roman" w:hAnsi="Times New Roman" w:eastAsia="宋体" w:cs="Times New Roman"/>
      <w:sz w:val="18"/>
      <w:szCs w:val="18"/>
    </w:rPr>
  </w:style>
  <w:style w:type="paragraph" w:customStyle="1" w:styleId="116">
    <w:name w:val="正文-公1"/>
    <w:basedOn w:val="1"/>
    <w:qFormat/>
    <w:uiPriority w:val="0"/>
    <w:pPr>
      <w:framePr w:hSpace="181" w:wrap="notBeside" w:vAnchor="text" w:hAnchor="margin" w:xAlign="center" w:y="63"/>
      <w:spacing w:line="300" w:lineRule="exact"/>
      <w:ind w:firstLine="0" w:firstLineChars="0"/>
      <w:jc w:val="center"/>
    </w:pPr>
    <w:rPr>
      <w:rFonts w:ascii="宋体" w:hAnsi="宋体" w:cs="Times New Roman"/>
      <w:b/>
      <w:bCs/>
      <w:sz w:val="18"/>
      <w:szCs w:val="18"/>
    </w:rPr>
  </w:style>
  <w:style w:type="table" w:customStyle="1" w:styleId="117">
    <w:name w:val="无格式表格 21"/>
    <w:basedOn w:val="33"/>
    <w:qFormat/>
    <w:uiPriority w:val="0"/>
    <w:tblPr>
      <w:tblBorders>
        <w:top w:val="single" w:color="7E7E7E" w:sz="4" w:space="0"/>
        <w:bottom w:val="single" w:color="7E7E7E" w:sz="4" w:space="0"/>
      </w:tblBorders>
      <w:tblLayout w:type="fixed"/>
    </w:tblPr>
    <w:tblStylePr w:type="firstRow">
      <w:rPr>
        <w:b/>
        <w:bCs/>
      </w:rPr>
      <w:tcPr>
        <w:tcBorders>
          <w:top w:val="nil"/>
          <w:left w:val="nil"/>
          <w:bottom w:val="single" w:color="7E7E7E" w:sz="4" w:space="0"/>
          <w:right w:val="nil"/>
          <w:insideH w:val="nil"/>
          <w:insideV w:val="nil"/>
          <w:tl2br w:val="nil"/>
          <w:tr2bl w:val="nil"/>
        </w:tcBorders>
      </w:tcPr>
    </w:tblStylePr>
    <w:tblStylePr w:type="lastRow">
      <w:rPr>
        <w:b/>
        <w:bCs/>
      </w:rPr>
      <w:tcPr>
        <w:tcBorders>
          <w:top w:val="single" w:color="7E7E7E"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single" w:color="7E7E7E" w:sz="4" w:space="0"/>
          <w:bottom w:val="nil"/>
          <w:right w:val="single" w:color="7E7E7E" w:sz="4" w:space="0"/>
          <w:insideH w:val="nil"/>
          <w:insideV w:val="nil"/>
          <w:tl2br w:val="nil"/>
          <w:tr2bl w:val="nil"/>
        </w:tcBorders>
      </w:tcPr>
    </w:tblStylePr>
    <w:tblStylePr w:type="band2Vert">
      <w:tcPr>
        <w:tcBorders>
          <w:top w:val="nil"/>
          <w:left w:val="single" w:color="7E7E7E" w:sz="4" w:space="0"/>
          <w:bottom w:val="nil"/>
          <w:right w:val="single" w:color="7E7E7E" w:sz="4" w:space="0"/>
          <w:insideH w:val="nil"/>
          <w:insideV w:val="nil"/>
          <w:tl2br w:val="nil"/>
          <w:tr2bl w:val="nil"/>
        </w:tcBorders>
      </w:tcPr>
    </w:tblStylePr>
    <w:tblStylePr w:type="band1Horz">
      <w:tcPr>
        <w:tcBorders>
          <w:top w:val="single" w:color="7E7E7E" w:sz="4" w:space="0"/>
          <w:left w:val="nil"/>
          <w:bottom w:val="single" w:color="7E7E7E" w:sz="4" w:space="0"/>
          <w:right w:val="nil"/>
          <w:insideH w:val="nil"/>
          <w:insideV w:val="nil"/>
          <w:tl2br w:val="nil"/>
          <w:tr2bl w:val="nil"/>
        </w:tcBorders>
      </w:tcPr>
    </w:tblStyle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7" Type="http://schemas.openxmlformats.org/officeDocument/2006/relationships/fontTable" Target="fontTable.xml"/><Relationship Id="rId56" Type="http://schemas.openxmlformats.org/officeDocument/2006/relationships/customXml" Target="../customXml/item1.xml"/><Relationship Id="rId55" Type="http://schemas.openxmlformats.org/officeDocument/2006/relationships/oleObject" Target="embeddings/oleObject24.bin"/><Relationship Id="rId54" Type="http://schemas.openxmlformats.org/officeDocument/2006/relationships/oleObject" Target="embeddings/oleObject23.bin"/><Relationship Id="rId53" Type="http://schemas.openxmlformats.org/officeDocument/2006/relationships/oleObject" Target="embeddings/oleObject22.bin"/><Relationship Id="rId52" Type="http://schemas.openxmlformats.org/officeDocument/2006/relationships/image" Target="media/image24.wmf"/><Relationship Id="rId51" Type="http://schemas.openxmlformats.org/officeDocument/2006/relationships/oleObject" Target="embeddings/oleObject21.bin"/><Relationship Id="rId50" Type="http://schemas.openxmlformats.org/officeDocument/2006/relationships/image" Target="media/image23.wmf"/><Relationship Id="rId5" Type="http://schemas.openxmlformats.org/officeDocument/2006/relationships/header" Target="header2.xml"/><Relationship Id="rId49" Type="http://schemas.openxmlformats.org/officeDocument/2006/relationships/oleObject" Target="embeddings/oleObject20.bin"/><Relationship Id="rId48" Type="http://schemas.openxmlformats.org/officeDocument/2006/relationships/image" Target="media/image22.jpeg"/><Relationship Id="rId47" Type="http://schemas.openxmlformats.org/officeDocument/2006/relationships/image" Target="media/image21.png"/><Relationship Id="rId46" Type="http://schemas.openxmlformats.org/officeDocument/2006/relationships/image" Target="media/image20.png"/><Relationship Id="rId45" Type="http://schemas.openxmlformats.org/officeDocument/2006/relationships/image" Target="media/image19.png"/><Relationship Id="rId44" Type="http://schemas.openxmlformats.org/officeDocument/2006/relationships/image" Target="media/image18.png"/><Relationship Id="rId43" Type="http://schemas.openxmlformats.org/officeDocument/2006/relationships/image" Target="media/image17.png"/><Relationship Id="rId42" Type="http://schemas.openxmlformats.org/officeDocument/2006/relationships/image" Target="media/image16.png"/><Relationship Id="rId41" Type="http://schemas.openxmlformats.org/officeDocument/2006/relationships/image" Target="media/image15.png"/><Relationship Id="rId40" Type="http://schemas.openxmlformats.org/officeDocument/2006/relationships/image" Target="media/image14.png"/><Relationship Id="rId4" Type="http://schemas.openxmlformats.org/officeDocument/2006/relationships/header" Target="header1.xml"/><Relationship Id="rId39" Type="http://schemas.openxmlformats.org/officeDocument/2006/relationships/image" Target="media/image13.wmf"/><Relationship Id="rId38" Type="http://schemas.openxmlformats.org/officeDocument/2006/relationships/oleObject" Target="embeddings/oleObject19.bin"/><Relationship Id="rId37" Type="http://schemas.openxmlformats.org/officeDocument/2006/relationships/image" Target="media/image12.wmf"/><Relationship Id="rId36" Type="http://schemas.openxmlformats.org/officeDocument/2006/relationships/oleObject" Target="embeddings/oleObject18.bin"/><Relationship Id="rId35" Type="http://schemas.openxmlformats.org/officeDocument/2006/relationships/image" Target="media/image11.wmf"/><Relationship Id="rId34" Type="http://schemas.openxmlformats.org/officeDocument/2006/relationships/oleObject" Target="embeddings/oleObject17.bin"/><Relationship Id="rId33" Type="http://schemas.openxmlformats.org/officeDocument/2006/relationships/image" Target="media/image10.wmf"/><Relationship Id="rId32" Type="http://schemas.openxmlformats.org/officeDocument/2006/relationships/oleObject" Target="embeddings/oleObject16.bin"/><Relationship Id="rId31" Type="http://schemas.openxmlformats.org/officeDocument/2006/relationships/image" Target="media/image9.wmf"/><Relationship Id="rId30" Type="http://schemas.openxmlformats.org/officeDocument/2006/relationships/oleObject" Target="embeddings/oleObject15.bin"/><Relationship Id="rId3" Type="http://schemas.openxmlformats.org/officeDocument/2006/relationships/footnotes" Target="footnotes.xml"/><Relationship Id="rId29" Type="http://schemas.openxmlformats.org/officeDocument/2006/relationships/image" Target="media/image8.wmf"/><Relationship Id="rId28" Type="http://schemas.openxmlformats.org/officeDocument/2006/relationships/oleObject" Target="embeddings/oleObject14.bin"/><Relationship Id="rId27" Type="http://schemas.openxmlformats.org/officeDocument/2006/relationships/oleObject" Target="embeddings/oleObject13.bin"/><Relationship Id="rId26" Type="http://schemas.openxmlformats.org/officeDocument/2006/relationships/oleObject" Target="embeddings/oleObject12.bin"/><Relationship Id="rId25" Type="http://schemas.openxmlformats.org/officeDocument/2006/relationships/oleObject" Target="embeddings/oleObject11.bin"/><Relationship Id="rId24" Type="http://schemas.openxmlformats.org/officeDocument/2006/relationships/oleObject" Target="embeddings/oleObject10.bin"/><Relationship Id="rId23" Type="http://schemas.openxmlformats.org/officeDocument/2006/relationships/oleObject" Target="embeddings/oleObject9.bin"/><Relationship Id="rId22" Type="http://schemas.openxmlformats.org/officeDocument/2006/relationships/oleObject" Target="embeddings/oleObject8.bin"/><Relationship Id="rId21" Type="http://schemas.openxmlformats.org/officeDocument/2006/relationships/image" Target="media/image7.w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6.wmf"/><Relationship Id="rId17" Type="http://schemas.openxmlformats.org/officeDocument/2006/relationships/oleObject" Target="embeddings/oleObject5.bin"/><Relationship Id="rId16" Type="http://schemas.openxmlformats.org/officeDocument/2006/relationships/image" Target="media/image5.wmf"/><Relationship Id="rId15" Type="http://schemas.openxmlformats.org/officeDocument/2006/relationships/oleObject" Target="embeddings/oleObject4.bin"/><Relationship Id="rId14" Type="http://schemas.openxmlformats.org/officeDocument/2006/relationships/image" Target="media/image4.wmf"/><Relationship Id="rId13" Type="http://schemas.openxmlformats.org/officeDocument/2006/relationships/oleObject" Target="embeddings/oleObject3.bin"/><Relationship Id="rId12" Type="http://schemas.openxmlformats.org/officeDocument/2006/relationships/image" Target="media/image3.wmf"/><Relationship Id="rId11" Type="http://schemas.openxmlformats.org/officeDocument/2006/relationships/oleObject" Target="embeddings/oleObject2.bin"/><Relationship Id="rId10" Type="http://schemas.openxmlformats.org/officeDocument/2006/relationships/image" Target="media/image2.wmf"/><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1182</Words>
  <Characters>1512</Characters>
  <Lines>263</Lines>
  <Paragraphs>74</Paragraphs>
  <TotalTime>13</TotalTime>
  <ScaleCrop>false</ScaleCrop>
  <LinksUpToDate>false</LinksUpToDate>
  <CharactersWithSpaces>1637</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2022-01-16T05:23:00Z</dcterms:created>
  <dc:creator>jane</dc:creator>
  <cp:lastModifiedBy>deng</cp:lastModifiedBy>
  <cp:lastPrinted>2023-06-28T09:19:00Z</cp:lastPrinted>
  <dcterms:modified xsi:type="dcterms:W3CDTF">2025-06-12T05:32:39Z</dcterms:modified>
  <cp:revision>5116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53B9588622944597BF23A6981BA18873_13</vt:lpwstr>
  </property>
  <property fmtid="{D5CDD505-2E9C-101B-9397-08002B2CF9AE}" pid="4" name="GrammarlyDocumentId">
    <vt:lpwstr>570f05a23bdff360db974e84ec735d2cd6cd8ddbecd2c0a7ff48f6640e5a8b1c</vt:lpwstr>
  </property>
  <property fmtid="{D5CDD505-2E9C-101B-9397-08002B2CF9AE}" pid="5" name="MTWinEqns">
    <vt:bool>true</vt:bool>
  </property>
  <property fmtid="{D5CDD505-2E9C-101B-9397-08002B2CF9AE}" pid="6" name="TermCorrect">
    <vt:lpwstr>true</vt:lpwstr>
  </property>
  <property fmtid="{D5CDD505-2E9C-101B-9397-08002B2CF9AE}" pid="7" name="mul_line">
    <vt:lpwstr> </vt:lpwstr>
  </property>
</Properties>
</file>