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val="0"/>
        <w:pageBreakBefore w:val="0"/>
        <w:widowControl w:val="0"/>
        <w:kinsoku/>
        <w:wordWrap/>
        <w:overflowPunct/>
        <w:topLinePunct w:val="0"/>
        <w:autoSpaceDE/>
        <w:autoSpaceDN/>
        <w:bidi w:val="0"/>
        <w:adjustRightInd/>
        <w:snapToGrid/>
        <w:spacing w:after="0" w:line="240" w:lineRule="atLeast"/>
        <w:ind w:left="0" w:leftChars="0" w:firstLine="0" w:firstLineChars="0"/>
        <w:jc w:val="center"/>
        <w:textAlignment w:val="auto"/>
        <w:outlineLvl w:val="9"/>
        <w:rPr>
          <w:rFonts w:hint="eastAsia" w:ascii="黑体" w:hAnsi="黑体" w:eastAsia="黑体" w:cs="黑体"/>
          <w:b w:val="0"/>
          <w:bCs w:val="0"/>
          <w:color w:val="auto"/>
          <w:kern w:val="2"/>
          <w:sz w:val="21"/>
          <w:szCs w:val="21"/>
          <w:highlight w:val="none"/>
          <w:shd w:val="clear" w:color="auto" w:fill="FFFFFF"/>
          <w:lang w:val="en-US" w:eastAsia="zh-CN" w:bidi="ar-SA"/>
        </w:rPr>
      </w:pPr>
      <w:bookmarkStart w:id="0" w:name="_top"/>
      <w:bookmarkEnd w:id="0"/>
    </w:p>
    <w:p>
      <w:pPr>
        <w:pStyle w:val="15"/>
        <w:keepNext w:val="0"/>
        <w:keepLines w:val="0"/>
        <w:pageBreakBefore w:val="0"/>
        <w:widowControl w:val="0"/>
        <w:kinsoku/>
        <w:wordWrap/>
        <w:overflowPunct/>
        <w:topLinePunct w:val="0"/>
        <w:autoSpaceDE/>
        <w:autoSpaceDN/>
        <w:bidi w:val="0"/>
        <w:adjustRightInd/>
        <w:snapToGrid/>
        <w:spacing w:after="0" w:line="240" w:lineRule="atLeast"/>
        <w:ind w:left="0" w:leftChars="0" w:firstLine="0" w:firstLineChars="0"/>
        <w:jc w:val="center"/>
        <w:textAlignment w:val="auto"/>
        <w:outlineLvl w:val="9"/>
        <w:rPr>
          <w:rFonts w:hint="eastAsia" w:ascii="黑体" w:hAnsi="黑体" w:eastAsia="黑体" w:cs="黑体"/>
          <w:b w:val="0"/>
          <w:bCs w:val="0"/>
          <w:color w:val="auto"/>
          <w:kern w:val="2"/>
          <w:sz w:val="21"/>
          <w:szCs w:val="21"/>
          <w:highlight w:val="none"/>
          <w:shd w:val="clear" w:color="auto" w:fill="FFFFFF"/>
          <w:lang w:val="en-US" w:eastAsia="zh-CN" w:bidi="ar-SA"/>
        </w:rPr>
      </w:pPr>
    </w:p>
    <w:p>
      <w:pPr>
        <w:keepNext w:val="0"/>
        <w:keepLines w:val="0"/>
        <w:pageBreakBefore w:val="0"/>
        <w:kinsoku/>
        <w:wordWrap/>
        <w:overflowPunct/>
        <w:topLinePunct w:val="0"/>
        <w:autoSpaceDE/>
        <w:autoSpaceDN/>
        <w:bidi w:val="0"/>
        <w:adjustRightInd/>
        <w:spacing w:line="240" w:lineRule="atLeast"/>
        <w:jc w:val="center"/>
        <w:rPr>
          <w:rFonts w:hint="default" w:ascii="Times New Roman" w:hAnsi="Times New Roman" w:eastAsia="黑体" w:cs="Times New Roman"/>
          <w:b w:val="0"/>
          <w:bCs w:val="0"/>
          <w:color w:val="auto"/>
          <w:kern w:val="2"/>
          <w:sz w:val="44"/>
          <w:szCs w:val="44"/>
          <w:highlight w:val="none"/>
          <w:shd w:val="clear" w:color="auto" w:fill="FFFFFF"/>
          <w:vertAlign w:val="superscript"/>
          <w:lang w:val="en-US" w:eastAsia="zh-CN" w:bidi="ar-SA"/>
        </w:rPr>
      </w:pPr>
      <w:r>
        <w:rPr>
          <w:rFonts w:hint="eastAsia" w:ascii="黑体" w:hAnsi="黑体" w:eastAsia="黑体" w:cs="黑体"/>
          <w:b w:val="0"/>
          <w:bCs w:val="0"/>
          <w:color w:val="auto"/>
          <w:kern w:val="2"/>
          <w:sz w:val="44"/>
          <w:szCs w:val="44"/>
          <w:highlight w:val="none"/>
          <w:shd w:val="clear" w:color="auto" w:fill="FFFFFF"/>
          <w:lang w:val="en-US" w:eastAsia="zh-CN" w:bidi="ar-SA"/>
        </w:rPr>
        <w:t>附  录</w:t>
      </w:r>
      <w:r>
        <w:rPr>
          <w:rFonts w:hint="default" w:ascii="Times New Roman" w:hAnsi="Times New Roman" w:eastAsia="黑体" w:cs="Times New Roman"/>
          <w:b w:val="0"/>
          <w:bCs w:val="0"/>
          <w:color w:val="auto"/>
          <w:kern w:val="2"/>
          <w:sz w:val="44"/>
          <w:szCs w:val="44"/>
          <w:highlight w:val="none"/>
          <w:shd w:val="clear" w:color="auto" w:fill="FFFFFF"/>
          <w:vertAlign w:val="superscript"/>
          <w:lang w:val="en-US" w:eastAsia="zh-CN" w:bidi="ar-SA"/>
        </w:rPr>
        <w:footnoteReference w:id="0" w:customMarkFollows="1"/>
        <w:t>*</w:t>
      </w:r>
    </w:p>
    <w:p>
      <w:pPr>
        <w:jc w:val="both"/>
        <w:rPr>
          <w:rFonts w:hint="default" w:ascii="Times New Roman Regular" w:hAnsi="Times New Roman Regular" w:eastAsia="黑体" w:cs="Times New Roman Regular"/>
          <w:sz w:val="21"/>
          <w:szCs w:val="21"/>
          <w14:ligatures w14:val="none"/>
        </w:rPr>
      </w:pPr>
    </w:p>
    <w:p>
      <w:pPr>
        <w:spacing w:line="480" w:lineRule="auto"/>
        <w:jc w:val="center"/>
        <w:rPr>
          <w:rFonts w:hint="eastAsia" w:ascii="黑体" w:hAnsi="黑体" w:eastAsia="黑体"/>
          <w:color w:val="000000" w:themeColor="text1"/>
          <w:sz w:val="24"/>
          <w14:textFill>
            <w14:solidFill>
              <w14:schemeClr w14:val="tx1"/>
            </w14:solidFill>
          </w14:textFill>
        </w:rPr>
      </w:pPr>
      <w:r>
        <w:rPr>
          <w:rFonts w:hint="eastAsia" w:ascii="黑体" w:hAnsi="黑体" w:eastAsia="黑体"/>
          <w:color w:val="000000" w:themeColor="text1"/>
          <w:sz w:val="24"/>
          <w14:textFill>
            <w14:solidFill>
              <w14:schemeClr w14:val="tx1"/>
            </w14:solidFill>
          </w14:textFill>
        </w:rPr>
        <w:t>附录</w:t>
      </w:r>
      <w:r>
        <w:rPr>
          <w:rFonts w:hint="default" w:ascii="Times New Roman" w:hAnsi="Times New Roman" w:eastAsia="黑体" w:cs="Times New Roman"/>
          <w:color w:val="000000" w:themeColor="text1"/>
          <w:sz w:val="24"/>
          <w14:textFill>
            <w14:solidFill>
              <w14:schemeClr w14:val="tx1"/>
            </w14:solidFill>
          </w14:textFill>
        </w:rPr>
        <w:t>1</w:t>
      </w:r>
      <w:r>
        <w:rPr>
          <w:rFonts w:hint="eastAsia" w:ascii="黑体" w:hAnsi="黑体" w:eastAsia="黑体"/>
          <w:color w:val="000000" w:themeColor="text1"/>
          <w:sz w:val="24"/>
          <w14:textFill>
            <w14:solidFill>
              <w14:schemeClr w14:val="tx1"/>
            </w14:solidFill>
          </w14:textFill>
        </w:rPr>
        <w:t xml:space="preserve">  各省份相关政策及主要举措</w:t>
      </w:r>
    </w:p>
    <w:p>
      <w:pPr>
        <w:keepNext w:val="0"/>
        <w:keepLines w:val="0"/>
        <w:pageBreakBefore w:val="0"/>
        <w:widowControl w:val="0"/>
        <w:kinsoku/>
        <w:wordWrap/>
        <w:overflowPunct/>
        <w:topLinePunct w:val="0"/>
        <w:autoSpaceDE/>
        <w:autoSpaceDN/>
        <w:bidi w:val="0"/>
        <w:adjustRightInd/>
        <w:snapToGrid/>
        <w:spacing w:line="240" w:lineRule="atLeast"/>
        <w:ind w:firstLine="400" w:firstLineChars="200"/>
        <w:textAlignment w:val="auto"/>
        <w:rPr>
          <w:rFonts w:hint="eastAsia" w:ascii="黑体" w:hAnsi="黑体" w:eastAsia="黑体"/>
          <w:spacing w:val="2"/>
          <w:sz w:val="36"/>
          <w:szCs w:val="40"/>
        </w:rPr>
      </w:pPr>
      <w:r>
        <w:rPr>
          <w:rFonts w:hint="eastAsia" w:ascii="Times New Roman" w:hAnsi="Times New Roman" w:eastAsia="宋体" w:cs="Times New Roman"/>
          <w:spacing w:val="2"/>
        </w:rPr>
        <w:t>2018年</w:t>
      </w:r>
      <w:r>
        <w:rPr>
          <w:rFonts w:hint="eastAsia" w:eastAsia="宋体" w:cs="Times New Roman"/>
          <w:spacing w:val="2"/>
          <w:lang w:eastAsia="zh-CN"/>
        </w:rPr>
        <w:t>，</w:t>
      </w:r>
      <w:r>
        <w:rPr>
          <w:rFonts w:hint="eastAsia" w:ascii="Times New Roman" w:hAnsi="Times New Roman" w:eastAsia="宋体" w:cs="Times New Roman"/>
          <w:spacing w:val="2"/>
        </w:rPr>
        <w:t>湖南省在</w:t>
      </w:r>
      <w:r>
        <w:rPr>
          <w:rFonts w:ascii="Times New Roman" w:hAnsi="Times New Roman" w:eastAsia="宋体" w:cs="Times New Roman"/>
          <w:spacing w:val="2"/>
        </w:rPr>
        <w:t>湘潭</w:t>
      </w:r>
      <w:r>
        <w:rPr>
          <w:rFonts w:hint="eastAsia" w:ascii="Times New Roman" w:hAnsi="Times New Roman" w:eastAsia="宋体" w:cs="Times New Roman"/>
          <w:spacing w:val="2"/>
        </w:rPr>
        <w:t>县</w:t>
      </w:r>
      <w:r>
        <w:rPr>
          <w:rFonts w:ascii="Times New Roman" w:hAnsi="Times New Roman" w:eastAsia="宋体" w:cs="Times New Roman"/>
          <w:spacing w:val="2"/>
        </w:rPr>
        <w:t>、邵东</w:t>
      </w:r>
      <w:r>
        <w:rPr>
          <w:rFonts w:hint="eastAsia" w:ascii="Times New Roman" w:hAnsi="Times New Roman" w:eastAsia="宋体" w:cs="Times New Roman"/>
          <w:spacing w:val="2"/>
        </w:rPr>
        <w:t>县</w:t>
      </w:r>
      <w:r>
        <w:rPr>
          <w:rFonts w:ascii="Times New Roman" w:hAnsi="Times New Roman" w:eastAsia="宋体" w:cs="Times New Roman"/>
          <w:spacing w:val="2"/>
        </w:rPr>
        <w:t>和隆回</w:t>
      </w:r>
      <w:r>
        <w:rPr>
          <w:rFonts w:hint="eastAsia" w:ascii="Times New Roman" w:hAnsi="Times New Roman" w:eastAsia="宋体" w:cs="Times New Roman"/>
          <w:spacing w:val="2"/>
        </w:rPr>
        <w:t>县</w:t>
      </w:r>
      <w:r>
        <w:rPr>
          <w:rFonts w:ascii="Times New Roman" w:hAnsi="Times New Roman" w:eastAsia="宋体" w:cs="Times New Roman"/>
          <w:spacing w:val="2"/>
        </w:rPr>
        <w:t>等12个县（市、区）启动资本市场县域工程试点工作，</w:t>
      </w:r>
      <w:r>
        <w:rPr>
          <w:rFonts w:hint="eastAsia" w:ascii="Times New Roman" w:hAnsi="Times New Roman" w:eastAsia="宋体" w:cs="Times New Roman"/>
          <w:spacing w:val="2"/>
        </w:rPr>
        <w:t>支持</w:t>
      </w:r>
      <w:r>
        <w:rPr>
          <w:rFonts w:ascii="Times New Roman" w:hAnsi="Times New Roman" w:eastAsia="宋体" w:cs="Times New Roman"/>
          <w:spacing w:val="2"/>
        </w:rPr>
        <w:t>试点县域培育主导产业和龙头企业</w:t>
      </w:r>
      <w:r>
        <w:rPr>
          <w:rFonts w:hint="eastAsia" w:ascii="Times New Roman" w:hAnsi="Times New Roman" w:eastAsia="宋体" w:cs="Times New Roman"/>
          <w:spacing w:val="2"/>
        </w:rPr>
        <w:t>。</w:t>
      </w:r>
      <w:r>
        <w:rPr>
          <w:rFonts w:ascii="Times New Roman" w:hAnsi="Times New Roman" w:eastAsia="宋体" w:cs="Times New Roman"/>
          <w:spacing w:val="2"/>
        </w:rPr>
        <w:t>2020年</w:t>
      </w:r>
      <w:r>
        <w:rPr>
          <w:rFonts w:hint="eastAsia" w:ascii="Times New Roman" w:hAnsi="Times New Roman" w:eastAsia="宋体" w:cs="Times New Roman"/>
          <w:spacing w:val="2"/>
        </w:rPr>
        <w:t>印发</w:t>
      </w:r>
      <w:r>
        <w:rPr>
          <w:rFonts w:ascii="Times New Roman" w:hAnsi="Times New Roman" w:eastAsia="宋体" w:cs="Times New Roman"/>
          <w:spacing w:val="2"/>
        </w:rPr>
        <w:t>《湖南省资本市场县域工程行动计划（2020</w:t>
      </w:r>
      <w:r>
        <w:rPr>
          <w:rFonts w:hint="eastAsia" w:ascii="Times New Roman" w:hAnsi="Times New Roman" w:eastAsia="宋体" w:cs="Times New Roman"/>
          <w:b/>
          <w:bCs/>
          <w:spacing w:val="2"/>
        </w:rPr>
        <w:t>－</w:t>
      </w:r>
      <w:r>
        <w:rPr>
          <w:rFonts w:ascii="Times New Roman" w:hAnsi="Times New Roman" w:eastAsia="宋体" w:cs="Times New Roman"/>
          <w:spacing w:val="2"/>
        </w:rPr>
        <w:t>2025）》，</w:t>
      </w:r>
      <w:r>
        <w:rPr>
          <w:rFonts w:hint="eastAsia" w:ascii="Times New Roman" w:hAnsi="Times New Roman" w:eastAsia="宋体" w:cs="Times New Roman"/>
          <w:spacing w:val="2"/>
        </w:rPr>
        <w:t>在</w:t>
      </w:r>
      <w:r>
        <w:rPr>
          <w:rFonts w:ascii="Times New Roman" w:hAnsi="Times New Roman" w:eastAsia="宋体" w:cs="Times New Roman"/>
          <w:spacing w:val="2"/>
        </w:rPr>
        <w:t>全省</w:t>
      </w:r>
      <w:r>
        <w:rPr>
          <w:rFonts w:hint="eastAsia" w:ascii="Times New Roman" w:hAnsi="Times New Roman" w:eastAsia="宋体" w:cs="Times New Roman"/>
          <w:spacing w:val="2"/>
        </w:rPr>
        <w:t>范围内推广“</w:t>
      </w:r>
      <w:r>
        <w:rPr>
          <w:rFonts w:ascii="Times New Roman" w:hAnsi="Times New Roman" w:eastAsia="宋体" w:cs="Times New Roman"/>
          <w:spacing w:val="2"/>
        </w:rPr>
        <w:t>资本市场县域工程</w:t>
      </w:r>
      <w:r>
        <w:rPr>
          <w:rFonts w:hint="eastAsia" w:ascii="Times New Roman" w:hAnsi="Times New Roman" w:eastAsia="宋体" w:cs="Times New Roman"/>
          <w:spacing w:val="2"/>
        </w:rPr>
        <w:t>”政策</w:t>
      </w:r>
      <w:r>
        <w:rPr>
          <w:rFonts w:ascii="Times New Roman" w:hAnsi="Times New Roman" w:eastAsia="宋体" w:cs="Times New Roman"/>
          <w:spacing w:val="2"/>
        </w:rPr>
        <w:t>。</w:t>
      </w:r>
      <w:r>
        <w:rPr>
          <w:rFonts w:hint="eastAsia" w:ascii="Times New Roman" w:hAnsi="Times New Roman" w:eastAsia="宋体" w:cs="Times New Roman"/>
          <w:spacing w:val="2"/>
        </w:rPr>
        <w:t>山西省于</w:t>
      </w:r>
      <w:r>
        <w:rPr>
          <w:rFonts w:ascii="Times New Roman" w:hAnsi="Times New Roman" w:eastAsia="宋体" w:cs="Times New Roman"/>
          <w:spacing w:val="2"/>
        </w:rPr>
        <w:t>2019年出台《山西省资本市场县域工程试点实施方案》，将广灵</w:t>
      </w:r>
      <w:r>
        <w:rPr>
          <w:rFonts w:hint="eastAsia" w:ascii="Times New Roman" w:hAnsi="Times New Roman" w:eastAsia="宋体" w:cs="Times New Roman"/>
          <w:spacing w:val="2"/>
        </w:rPr>
        <w:t>县</w:t>
      </w:r>
      <w:r>
        <w:rPr>
          <w:rFonts w:ascii="Times New Roman" w:hAnsi="Times New Roman" w:eastAsia="宋体" w:cs="Times New Roman"/>
          <w:spacing w:val="2"/>
        </w:rPr>
        <w:t>、新荣</w:t>
      </w:r>
      <w:r>
        <w:rPr>
          <w:rFonts w:hint="eastAsia" w:ascii="Times New Roman" w:hAnsi="Times New Roman" w:eastAsia="宋体" w:cs="Times New Roman"/>
          <w:spacing w:val="2"/>
        </w:rPr>
        <w:t>区</w:t>
      </w:r>
      <w:r>
        <w:rPr>
          <w:rFonts w:ascii="Times New Roman" w:hAnsi="Times New Roman" w:eastAsia="宋体" w:cs="Times New Roman"/>
          <w:spacing w:val="2"/>
        </w:rPr>
        <w:t>和怀仁</w:t>
      </w:r>
      <w:r>
        <w:rPr>
          <w:rFonts w:hint="eastAsia" w:ascii="Times New Roman" w:hAnsi="Times New Roman" w:eastAsia="宋体" w:cs="Times New Roman"/>
          <w:spacing w:val="2"/>
        </w:rPr>
        <w:t>市</w:t>
      </w:r>
      <w:r>
        <w:rPr>
          <w:rFonts w:ascii="Times New Roman" w:hAnsi="Times New Roman" w:eastAsia="宋体" w:cs="Times New Roman"/>
          <w:spacing w:val="2"/>
        </w:rPr>
        <w:t>等16个县（市、区）作为资本市场县域工程试点</w:t>
      </w:r>
      <w:r>
        <w:rPr>
          <w:rFonts w:hint="eastAsia" w:ascii="Times New Roman" w:hAnsi="Times New Roman" w:eastAsia="宋体" w:cs="Times New Roman"/>
          <w:spacing w:val="2"/>
        </w:rPr>
        <w:t>。</w:t>
      </w:r>
      <w:r>
        <w:rPr>
          <w:rFonts w:ascii="Times New Roman" w:hAnsi="Times New Roman" w:eastAsia="宋体" w:cs="Times New Roman"/>
          <w:spacing w:val="2"/>
        </w:rPr>
        <w:t>2021年</w:t>
      </w:r>
      <w:r>
        <w:rPr>
          <w:rFonts w:hint="eastAsia" w:ascii="Times New Roman" w:hAnsi="Times New Roman" w:eastAsia="宋体" w:cs="Times New Roman"/>
          <w:spacing w:val="2"/>
        </w:rPr>
        <w:t>和2022年</w:t>
      </w:r>
      <w:r>
        <w:rPr>
          <w:rFonts w:hint="eastAsia" w:cs="Times New Roman"/>
          <w:spacing w:val="2"/>
        </w:rPr>
        <w:t>，</w:t>
      </w:r>
      <w:r>
        <w:rPr>
          <w:rFonts w:hint="eastAsia" w:ascii="Times New Roman" w:hAnsi="Times New Roman" w:eastAsia="宋体" w:cs="Times New Roman"/>
          <w:spacing w:val="2"/>
        </w:rPr>
        <w:t>又分别</w:t>
      </w:r>
      <w:r>
        <w:rPr>
          <w:rFonts w:ascii="Times New Roman" w:hAnsi="Times New Roman" w:eastAsia="宋体" w:cs="Times New Roman"/>
          <w:spacing w:val="2"/>
        </w:rPr>
        <w:t>新增了57个</w:t>
      </w:r>
      <w:r>
        <w:rPr>
          <w:rFonts w:hint="eastAsia" w:ascii="Times New Roman" w:hAnsi="Times New Roman" w:eastAsia="宋体" w:cs="Times New Roman"/>
          <w:spacing w:val="2"/>
        </w:rPr>
        <w:t>和17个</w:t>
      </w:r>
      <w:r>
        <w:rPr>
          <w:rFonts w:ascii="Times New Roman" w:hAnsi="Times New Roman" w:eastAsia="宋体" w:cs="Times New Roman"/>
          <w:spacing w:val="2"/>
        </w:rPr>
        <w:t>资本市场县域工程试点。</w:t>
      </w:r>
      <w:r>
        <w:rPr>
          <w:rFonts w:hint="eastAsia" w:ascii="Times New Roman" w:hAnsi="Times New Roman" w:eastAsia="宋体" w:cs="Times New Roman"/>
          <w:spacing w:val="2"/>
        </w:rPr>
        <w:t>山东省于2019年在</w:t>
      </w:r>
      <w:r>
        <w:rPr>
          <w:rFonts w:ascii="Times New Roman" w:hAnsi="Times New Roman" w:eastAsia="宋体" w:cs="Times New Roman"/>
          <w:spacing w:val="2"/>
        </w:rPr>
        <w:t>周村区、东营区和阳信县</w:t>
      </w:r>
      <w:r>
        <w:rPr>
          <w:rFonts w:hint="eastAsia" w:ascii="Times New Roman" w:hAnsi="Times New Roman" w:eastAsia="宋体" w:cs="Times New Roman"/>
          <w:spacing w:val="2"/>
        </w:rPr>
        <w:t>实施</w:t>
      </w:r>
      <w:r>
        <w:rPr>
          <w:rFonts w:ascii="Times New Roman" w:hAnsi="Times New Roman" w:eastAsia="宋体" w:cs="Times New Roman"/>
          <w:spacing w:val="2"/>
        </w:rPr>
        <w:t>县域资本市场工程</w:t>
      </w:r>
      <w:r>
        <w:rPr>
          <w:rFonts w:hint="eastAsia" w:ascii="Times New Roman" w:hAnsi="Times New Roman" w:eastAsia="宋体" w:cs="Times New Roman"/>
          <w:spacing w:val="2"/>
        </w:rPr>
        <w:t>，2020年</w:t>
      </w:r>
      <w:r>
        <w:rPr>
          <w:rFonts w:ascii="Times New Roman" w:hAnsi="Times New Roman" w:eastAsia="宋体" w:cs="Times New Roman"/>
          <w:spacing w:val="2"/>
        </w:rPr>
        <w:t>新增滨州市无棣县、昌邑市和德州</w:t>
      </w:r>
      <w:r>
        <w:rPr>
          <w:rFonts w:hint="eastAsia" w:ascii="Times New Roman" w:hAnsi="Times New Roman" w:eastAsia="宋体" w:cs="Times New Roman"/>
          <w:spacing w:val="2"/>
        </w:rPr>
        <w:t>市</w:t>
      </w:r>
      <w:r>
        <w:rPr>
          <w:rFonts w:ascii="Times New Roman" w:hAnsi="Times New Roman" w:eastAsia="宋体" w:cs="Times New Roman"/>
          <w:spacing w:val="2"/>
        </w:rPr>
        <w:t>齐河县等7个试点</w:t>
      </w:r>
      <w:r>
        <w:rPr>
          <w:rFonts w:hint="eastAsia" w:ascii="Times New Roman" w:hAnsi="Times New Roman" w:eastAsia="宋体" w:cs="Times New Roman"/>
          <w:spacing w:val="2"/>
        </w:rPr>
        <w:t>。广西壮族自治区于2021年在</w:t>
      </w:r>
      <w:r>
        <w:rPr>
          <w:rFonts w:ascii="Times New Roman" w:hAnsi="Times New Roman" w:eastAsia="宋体" w:cs="Times New Roman"/>
          <w:spacing w:val="2"/>
        </w:rPr>
        <w:t>南宁市</w:t>
      </w:r>
      <w:r>
        <w:rPr>
          <w:rFonts w:hint="eastAsia" w:ascii="Times New Roman" w:hAnsi="Times New Roman" w:eastAsia="宋体" w:cs="Times New Roman"/>
          <w:spacing w:val="2"/>
        </w:rPr>
        <w:t>全面实施资本市场县域融智创新工程</w:t>
      </w:r>
      <w:r>
        <w:rPr>
          <w:rFonts w:ascii="Times New Roman" w:hAnsi="Times New Roman" w:eastAsia="宋体" w:cs="Times New Roman"/>
          <w:spacing w:val="2"/>
        </w:rPr>
        <w:t>。重庆市</w:t>
      </w:r>
      <w:r>
        <w:rPr>
          <w:rFonts w:hint="eastAsia" w:ascii="Times New Roman" w:hAnsi="Times New Roman" w:eastAsia="宋体" w:cs="Times New Roman"/>
          <w:spacing w:val="2"/>
        </w:rPr>
        <w:t>于2022年</w:t>
      </w:r>
      <w:r>
        <w:rPr>
          <w:rFonts w:ascii="Times New Roman" w:hAnsi="Times New Roman" w:eastAsia="宋体" w:cs="Times New Roman"/>
          <w:spacing w:val="2"/>
        </w:rPr>
        <w:t>在渝中</w:t>
      </w:r>
      <w:r>
        <w:rPr>
          <w:rFonts w:hint="eastAsia" w:ascii="Times New Roman" w:hAnsi="Times New Roman" w:eastAsia="宋体" w:cs="Times New Roman"/>
          <w:spacing w:val="2"/>
        </w:rPr>
        <w:t>区</w:t>
      </w:r>
      <w:r>
        <w:rPr>
          <w:rFonts w:ascii="Times New Roman" w:hAnsi="Times New Roman" w:eastAsia="宋体" w:cs="Times New Roman"/>
          <w:spacing w:val="2"/>
        </w:rPr>
        <w:t>、渝北</w:t>
      </w:r>
      <w:r>
        <w:rPr>
          <w:rFonts w:hint="eastAsia" w:ascii="Times New Roman" w:hAnsi="Times New Roman" w:eastAsia="宋体" w:cs="Times New Roman"/>
          <w:spacing w:val="2"/>
        </w:rPr>
        <w:t>区</w:t>
      </w:r>
      <w:r>
        <w:rPr>
          <w:rFonts w:ascii="Times New Roman" w:hAnsi="Times New Roman" w:eastAsia="宋体" w:cs="Times New Roman"/>
          <w:spacing w:val="2"/>
        </w:rPr>
        <w:t>、綦江</w:t>
      </w:r>
      <w:r>
        <w:rPr>
          <w:rFonts w:hint="eastAsia" w:ascii="Times New Roman" w:hAnsi="Times New Roman" w:eastAsia="宋体" w:cs="Times New Roman"/>
          <w:spacing w:val="2"/>
        </w:rPr>
        <w:t>区</w:t>
      </w:r>
      <w:r>
        <w:rPr>
          <w:rFonts w:ascii="Times New Roman" w:hAnsi="Times New Roman" w:eastAsia="宋体" w:cs="Times New Roman"/>
          <w:spacing w:val="2"/>
        </w:rPr>
        <w:t>、铜梁</w:t>
      </w:r>
      <w:r>
        <w:rPr>
          <w:rFonts w:hint="eastAsia" w:ascii="Times New Roman" w:hAnsi="Times New Roman" w:eastAsia="宋体" w:cs="Times New Roman"/>
          <w:spacing w:val="2"/>
        </w:rPr>
        <w:t>区</w:t>
      </w:r>
      <w:r>
        <w:rPr>
          <w:rFonts w:ascii="Times New Roman" w:hAnsi="Times New Roman" w:eastAsia="宋体" w:cs="Times New Roman"/>
          <w:spacing w:val="2"/>
        </w:rPr>
        <w:t>和大足</w:t>
      </w:r>
      <w:r>
        <w:rPr>
          <w:rFonts w:hint="eastAsia" w:ascii="Times New Roman" w:hAnsi="Times New Roman" w:eastAsia="宋体" w:cs="Times New Roman"/>
          <w:spacing w:val="2"/>
        </w:rPr>
        <w:t>区实施县域资本市场工程。</w:t>
      </w:r>
      <w:r>
        <w:rPr>
          <w:rFonts w:ascii="Times New Roman" w:hAnsi="Times New Roman" w:eastAsia="宋体" w:cs="Times New Roman"/>
          <w:spacing w:val="2"/>
        </w:rPr>
        <w:t>浙江省</w:t>
      </w:r>
      <w:r>
        <w:rPr>
          <w:rFonts w:hint="eastAsia" w:ascii="Times New Roman" w:hAnsi="Times New Roman" w:eastAsia="宋体" w:cs="Times New Roman"/>
          <w:spacing w:val="2"/>
        </w:rPr>
        <w:t>于2022年</w:t>
      </w:r>
      <w:r>
        <w:rPr>
          <w:rFonts w:ascii="Times New Roman" w:hAnsi="Times New Roman" w:eastAsia="宋体" w:cs="Times New Roman"/>
          <w:spacing w:val="2"/>
        </w:rPr>
        <w:t>在杭州</w:t>
      </w:r>
      <w:r>
        <w:rPr>
          <w:rFonts w:hint="eastAsia" w:ascii="Times New Roman" w:hAnsi="Times New Roman" w:eastAsia="宋体" w:cs="Times New Roman"/>
          <w:spacing w:val="2"/>
        </w:rPr>
        <w:t>市</w:t>
      </w:r>
      <w:r>
        <w:rPr>
          <w:rFonts w:ascii="Times New Roman" w:hAnsi="Times New Roman" w:eastAsia="宋体" w:cs="Times New Roman"/>
          <w:spacing w:val="2"/>
        </w:rPr>
        <w:t>临平区、平阳县和德清县等10个县（市、区）</w:t>
      </w:r>
      <w:r>
        <w:rPr>
          <w:rFonts w:hint="eastAsia" w:ascii="Times New Roman" w:hAnsi="Times New Roman" w:eastAsia="宋体" w:cs="Times New Roman"/>
          <w:spacing w:val="2"/>
        </w:rPr>
        <w:t>实施资本市场普惠金融试点工程。</w:t>
      </w:r>
    </w:p>
    <w:p>
      <w:pPr>
        <w:pStyle w:val="9"/>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ascii="Times New Roman" w:hAnsi="Times New Roman" w:cs="Times New Roman"/>
          <w:sz w:val="18"/>
          <w:szCs w:val="18"/>
        </w:rPr>
      </w:pPr>
      <w:r>
        <w:rPr>
          <w:rFonts w:ascii="Times New Roman" w:hAnsi="Times New Roman" w:cs="Times New Roman"/>
          <w:sz w:val="18"/>
          <w:szCs w:val="18"/>
        </w:rPr>
        <w:t>附表</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附表 \* ARABIC </w:instrText>
      </w:r>
      <w:r>
        <w:rPr>
          <w:rFonts w:ascii="Times New Roman" w:hAnsi="Times New Roman" w:cs="Times New Roman"/>
          <w:sz w:val="18"/>
          <w:szCs w:val="18"/>
        </w:rPr>
        <w:fldChar w:fldCharType="separate"/>
      </w:r>
      <w:r>
        <w:rPr>
          <w:rFonts w:ascii="Times New Roman" w:hAnsi="Times New Roman" w:cs="Times New Roman"/>
          <w:sz w:val="18"/>
          <w:szCs w:val="18"/>
        </w:rPr>
        <w:t>1</w:t>
      </w:r>
      <w:r>
        <w:rPr>
          <w:rFonts w:ascii="Times New Roman" w:hAnsi="Times New Roman" w:cs="Times New Roman"/>
          <w:sz w:val="18"/>
          <w:szCs w:val="18"/>
        </w:rPr>
        <w:fldChar w:fldCharType="end"/>
      </w:r>
      <w:r>
        <w:rPr>
          <w:rFonts w:ascii="Times New Roman" w:hAnsi="Times New Roman" w:cs="Times New Roman"/>
          <w:sz w:val="18"/>
          <w:szCs w:val="18"/>
        </w:rPr>
        <w:t xml:space="preserve">                    </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   </w:t>
      </w:r>
      <w:r>
        <w:rPr>
          <w:rFonts w:hint="eastAsia" w:ascii="Times New Roman" w:hAnsi="Times New Roman" w:cs="Times New Roman"/>
          <w:sz w:val="18"/>
          <w:szCs w:val="18"/>
          <w:lang w:val="en-US" w:eastAsia="zh-CN"/>
        </w:rPr>
        <w:t xml:space="preserve">   </w:t>
      </w:r>
      <w:r>
        <w:rPr>
          <w:rFonts w:ascii="Times New Roman" w:hAnsi="Times New Roman" w:cs="Times New Roman"/>
          <w:sz w:val="18"/>
          <w:szCs w:val="18"/>
        </w:rPr>
        <w:t xml:space="preserve"> 资本市场服务下沉的主要措施</w:t>
      </w:r>
    </w:p>
    <w:tbl>
      <w:tblPr>
        <w:tblStyle w:val="34"/>
        <w:tblW w:w="8619" w:type="dxa"/>
        <w:tblInd w:w="108"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57"/>
        <w:gridCol w:w="1246"/>
        <w:gridCol w:w="6416"/>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957" w:type="dxa"/>
            <w:tcBorders>
              <w:top w:val="single" w:color="auto" w:sz="12" w:space="0"/>
              <w:bottom w:val="single" w:color="auto" w:sz="6" w:space="0"/>
              <w:right w:val="single" w:color="auto" w:sz="6" w:space="0"/>
            </w:tcBorders>
          </w:tcPr>
          <w:p>
            <w:pPr>
              <w:spacing w:line="300" w:lineRule="exact"/>
              <w:jc w:val="center"/>
              <w:rPr>
                <w:rFonts w:hint="eastAsia"/>
                <w:kern w:val="0"/>
                <w:sz w:val="18"/>
                <w:szCs w:val="18"/>
              </w:rPr>
            </w:pPr>
            <w:r>
              <w:rPr>
                <w:rFonts w:hint="eastAsia" w:ascii="Times New Roman" w:hAnsi="Times New Roman" w:eastAsia="宋体" w:cs="Times New Roman"/>
                <w:kern w:val="0"/>
                <w:sz w:val="18"/>
                <w:szCs w:val="18"/>
              </w:rPr>
              <w:t>省份</w:t>
            </w:r>
          </w:p>
        </w:tc>
        <w:tc>
          <w:tcPr>
            <w:tcW w:w="1246" w:type="dxa"/>
            <w:tcBorders>
              <w:top w:val="single" w:color="auto" w:sz="12" w:space="0"/>
              <w:left w:val="single" w:color="auto" w:sz="6" w:space="0"/>
              <w:bottom w:val="single" w:color="auto" w:sz="6" w:space="0"/>
              <w:right w:val="single" w:color="auto" w:sz="6" w:space="0"/>
            </w:tcBorders>
          </w:tcPr>
          <w:p>
            <w:pPr>
              <w:spacing w:line="300" w:lineRule="exact"/>
              <w:jc w:val="center"/>
              <w:rPr>
                <w:rFonts w:hint="eastAsia"/>
                <w:kern w:val="0"/>
                <w:sz w:val="18"/>
                <w:szCs w:val="18"/>
              </w:rPr>
            </w:pPr>
            <w:r>
              <w:rPr>
                <w:rFonts w:hint="eastAsia" w:ascii="Times New Roman" w:hAnsi="Times New Roman" w:eastAsia="宋体" w:cs="Times New Roman"/>
                <w:kern w:val="0"/>
                <w:sz w:val="18"/>
                <w:szCs w:val="18"/>
              </w:rPr>
              <w:t>实施政策</w:t>
            </w:r>
          </w:p>
        </w:tc>
        <w:tc>
          <w:tcPr>
            <w:tcW w:w="6416" w:type="dxa"/>
            <w:tcBorders>
              <w:top w:val="single" w:color="auto" w:sz="12" w:space="0"/>
              <w:left w:val="single" w:color="auto" w:sz="6" w:space="0"/>
              <w:bottom w:val="single" w:color="auto" w:sz="6" w:space="0"/>
            </w:tcBorders>
          </w:tcPr>
          <w:p>
            <w:pPr>
              <w:spacing w:line="300" w:lineRule="exact"/>
              <w:jc w:val="center"/>
              <w:rPr>
                <w:rFonts w:hint="eastAsia"/>
                <w:kern w:val="0"/>
                <w:sz w:val="18"/>
                <w:szCs w:val="18"/>
              </w:rPr>
            </w:pPr>
            <w:r>
              <w:rPr>
                <w:rFonts w:hint="eastAsia" w:ascii="Times New Roman" w:hAnsi="Times New Roman" w:eastAsia="宋体" w:cs="Times New Roman"/>
                <w:kern w:val="0"/>
                <w:sz w:val="18"/>
                <w:szCs w:val="18"/>
              </w:rPr>
              <w:t>主要措施</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957" w:type="dxa"/>
            <w:tcBorders>
              <w:top w:val="single" w:color="auto" w:sz="6" w:space="0"/>
              <w:bottom w:val="single" w:color="auto" w:sz="4" w:space="0"/>
              <w:right w:val="single" w:color="auto" w:sz="6" w:space="0"/>
            </w:tcBorders>
            <w:vAlign w:val="center"/>
          </w:tcPr>
          <w:p>
            <w:pPr>
              <w:spacing w:line="300" w:lineRule="exact"/>
              <w:rPr>
                <w:rFonts w:hint="eastAsia"/>
                <w:kern w:val="0"/>
                <w:sz w:val="18"/>
                <w:szCs w:val="18"/>
              </w:rPr>
            </w:pPr>
            <w:r>
              <w:rPr>
                <w:rFonts w:hint="eastAsia" w:ascii="Times New Roman" w:hAnsi="Times New Roman" w:eastAsia="宋体" w:cs="Times New Roman"/>
                <w:kern w:val="0"/>
                <w:sz w:val="18"/>
                <w:szCs w:val="18"/>
              </w:rPr>
              <w:t>湖南省</w:t>
            </w:r>
          </w:p>
        </w:tc>
        <w:tc>
          <w:tcPr>
            <w:tcW w:w="1246" w:type="dxa"/>
            <w:tcBorders>
              <w:top w:val="single" w:color="auto" w:sz="6" w:space="0"/>
              <w:left w:val="single" w:color="auto" w:sz="6" w:space="0"/>
              <w:bottom w:val="single" w:color="auto" w:sz="4" w:space="0"/>
              <w:right w:val="single" w:color="auto" w:sz="6" w:space="0"/>
            </w:tcBorders>
            <w:vAlign w:val="center"/>
          </w:tcPr>
          <w:p>
            <w:pPr>
              <w:spacing w:line="300" w:lineRule="exact"/>
              <w:rPr>
                <w:rFonts w:hint="eastAsia"/>
                <w:kern w:val="0"/>
                <w:sz w:val="18"/>
                <w:szCs w:val="18"/>
              </w:rPr>
            </w:pPr>
            <w:r>
              <w:rPr>
                <w:rFonts w:hint="eastAsia" w:ascii="Times New Roman" w:hAnsi="Times New Roman" w:eastAsia="宋体" w:cs="Times New Roman"/>
                <w:kern w:val="0"/>
                <w:sz w:val="18"/>
                <w:szCs w:val="18"/>
              </w:rPr>
              <w:t>资本市场县域工程试点</w:t>
            </w:r>
          </w:p>
        </w:tc>
        <w:tc>
          <w:tcPr>
            <w:tcW w:w="6416" w:type="dxa"/>
            <w:tcBorders>
              <w:top w:val="single" w:color="auto" w:sz="6" w:space="0"/>
              <w:left w:val="single" w:color="auto" w:sz="6" w:space="0"/>
              <w:bottom w:val="single" w:color="auto" w:sz="4" w:space="0"/>
            </w:tcBorders>
          </w:tcPr>
          <w:p>
            <w:pPr>
              <w:spacing w:line="300" w:lineRule="exact"/>
              <w:jc w:val="left"/>
              <w:rPr>
                <w:rFonts w:hint="eastAsia"/>
                <w:kern w:val="0"/>
                <w:sz w:val="18"/>
                <w:szCs w:val="18"/>
              </w:rPr>
            </w:pPr>
            <w:r>
              <w:rPr>
                <w:rFonts w:hint="eastAsia" w:ascii="Times New Roman" w:hAnsi="Times New Roman" w:eastAsia="宋体" w:cs="Times New Roman"/>
                <w:kern w:val="0"/>
                <w:sz w:val="18"/>
                <w:szCs w:val="18"/>
              </w:rPr>
              <w:t>健全与资本市场服务机构对接沟通机制；建设重点企业库；加强资本市场专业培训；加强对企业的指导支持；推动企业融资；引进资本市场相关专业机构</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957" w:type="dxa"/>
            <w:tcBorders>
              <w:top w:val="single" w:color="auto" w:sz="4" w:space="0"/>
              <w:bottom w:val="single" w:color="auto" w:sz="4" w:space="0"/>
              <w:right w:val="single" w:color="auto" w:sz="6" w:space="0"/>
            </w:tcBorders>
            <w:vAlign w:val="center"/>
          </w:tcPr>
          <w:p>
            <w:pPr>
              <w:spacing w:line="300" w:lineRule="exact"/>
              <w:rPr>
                <w:rFonts w:hint="eastAsia"/>
                <w:kern w:val="0"/>
                <w:sz w:val="18"/>
                <w:szCs w:val="18"/>
              </w:rPr>
            </w:pPr>
            <w:r>
              <w:rPr>
                <w:rFonts w:hint="eastAsia" w:ascii="Times New Roman" w:hAnsi="Times New Roman" w:eastAsia="宋体" w:cs="Times New Roman"/>
                <w:kern w:val="0"/>
                <w:sz w:val="18"/>
                <w:szCs w:val="18"/>
              </w:rPr>
              <w:t>山西省</w:t>
            </w:r>
          </w:p>
        </w:tc>
        <w:tc>
          <w:tcPr>
            <w:tcW w:w="1246" w:type="dxa"/>
            <w:tcBorders>
              <w:top w:val="single" w:color="auto" w:sz="4" w:space="0"/>
              <w:left w:val="single" w:color="auto" w:sz="6" w:space="0"/>
              <w:bottom w:val="single" w:color="auto" w:sz="4" w:space="0"/>
              <w:right w:val="single" w:color="auto" w:sz="6" w:space="0"/>
            </w:tcBorders>
            <w:vAlign w:val="center"/>
          </w:tcPr>
          <w:p>
            <w:pPr>
              <w:spacing w:line="300" w:lineRule="exact"/>
              <w:rPr>
                <w:rFonts w:hint="eastAsia"/>
                <w:kern w:val="0"/>
                <w:sz w:val="18"/>
                <w:szCs w:val="18"/>
              </w:rPr>
            </w:pPr>
            <w:r>
              <w:rPr>
                <w:rFonts w:hint="eastAsia" w:ascii="Times New Roman" w:hAnsi="Times New Roman" w:eastAsia="宋体" w:cs="Times New Roman"/>
                <w:kern w:val="0"/>
                <w:sz w:val="18"/>
                <w:szCs w:val="18"/>
              </w:rPr>
              <w:t>资本市场县域工程试点</w:t>
            </w:r>
          </w:p>
        </w:tc>
        <w:tc>
          <w:tcPr>
            <w:tcW w:w="6416" w:type="dxa"/>
            <w:tcBorders>
              <w:top w:val="single" w:color="auto" w:sz="4" w:space="0"/>
              <w:left w:val="single" w:color="auto" w:sz="6" w:space="0"/>
              <w:bottom w:val="single" w:color="auto" w:sz="4" w:space="0"/>
            </w:tcBorders>
          </w:tcPr>
          <w:p>
            <w:pPr>
              <w:spacing w:line="300" w:lineRule="exact"/>
              <w:jc w:val="left"/>
              <w:rPr>
                <w:rFonts w:hint="eastAsia"/>
                <w:kern w:val="0"/>
                <w:sz w:val="18"/>
                <w:szCs w:val="18"/>
              </w:rPr>
            </w:pPr>
            <w:r>
              <w:rPr>
                <w:rFonts w:hint="eastAsia" w:ascii="Times New Roman" w:hAnsi="Times New Roman" w:eastAsia="宋体" w:cs="Times New Roman"/>
                <w:kern w:val="0"/>
                <w:sz w:val="18"/>
                <w:szCs w:val="18"/>
              </w:rPr>
              <w:t>建立县域后备企业上市挂牌资源库，对入库企业开展培训；引导有融资意愿的企业获得直接融资；引导中介服务机构为上市挂牌企业提供持续跟踪服务；加快县域政策性担保机构建设，降低担保服务门槛，重点为拟上市挂牌企业提供担保服务；吸引产业投资基金等与县域重点龙头企业合作；做大做精“企业创新板”和“农业板”等特色板块</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957" w:type="dxa"/>
            <w:tcBorders>
              <w:top w:val="single" w:color="auto" w:sz="4" w:space="0"/>
              <w:bottom w:val="single" w:color="auto" w:sz="4" w:space="0"/>
              <w:right w:val="single" w:color="auto" w:sz="6" w:space="0"/>
            </w:tcBorders>
            <w:vAlign w:val="center"/>
          </w:tcPr>
          <w:p>
            <w:pPr>
              <w:spacing w:line="300" w:lineRule="exact"/>
              <w:rPr>
                <w:rFonts w:hint="eastAsia"/>
                <w:kern w:val="0"/>
                <w:sz w:val="18"/>
                <w:szCs w:val="18"/>
              </w:rPr>
            </w:pPr>
            <w:r>
              <w:rPr>
                <w:rFonts w:hint="eastAsia" w:ascii="Times New Roman" w:hAnsi="Times New Roman" w:eastAsia="宋体" w:cs="Times New Roman"/>
                <w:kern w:val="0"/>
                <w:sz w:val="18"/>
                <w:szCs w:val="18"/>
              </w:rPr>
              <w:t>山东省</w:t>
            </w:r>
          </w:p>
        </w:tc>
        <w:tc>
          <w:tcPr>
            <w:tcW w:w="1246" w:type="dxa"/>
            <w:tcBorders>
              <w:top w:val="single" w:color="auto" w:sz="4" w:space="0"/>
              <w:left w:val="single" w:color="auto" w:sz="6" w:space="0"/>
              <w:bottom w:val="single" w:color="auto" w:sz="4" w:space="0"/>
              <w:right w:val="single" w:color="auto" w:sz="6" w:space="0"/>
            </w:tcBorders>
            <w:vAlign w:val="center"/>
          </w:tcPr>
          <w:p>
            <w:pPr>
              <w:spacing w:line="300" w:lineRule="exact"/>
              <w:rPr>
                <w:rFonts w:hint="eastAsia"/>
                <w:kern w:val="0"/>
                <w:sz w:val="18"/>
                <w:szCs w:val="18"/>
              </w:rPr>
            </w:pPr>
            <w:r>
              <w:rPr>
                <w:rFonts w:hint="eastAsia" w:ascii="Times New Roman" w:hAnsi="Times New Roman" w:eastAsia="宋体" w:cs="Times New Roman"/>
                <w:kern w:val="0"/>
                <w:sz w:val="18"/>
                <w:szCs w:val="18"/>
              </w:rPr>
              <w:t>县域资本市场工程</w:t>
            </w:r>
          </w:p>
        </w:tc>
        <w:tc>
          <w:tcPr>
            <w:tcW w:w="6416" w:type="dxa"/>
            <w:tcBorders>
              <w:top w:val="single" w:color="auto" w:sz="4" w:space="0"/>
              <w:left w:val="single" w:color="auto" w:sz="6" w:space="0"/>
              <w:bottom w:val="single" w:color="auto" w:sz="4" w:space="0"/>
            </w:tcBorders>
          </w:tcPr>
          <w:p>
            <w:pPr>
              <w:spacing w:line="300" w:lineRule="exact"/>
              <w:jc w:val="left"/>
              <w:rPr>
                <w:rFonts w:hint="eastAsia"/>
                <w:kern w:val="0"/>
                <w:sz w:val="18"/>
                <w:szCs w:val="18"/>
              </w:rPr>
            </w:pPr>
            <w:r>
              <w:rPr>
                <w:rFonts w:hint="eastAsia" w:ascii="Times New Roman" w:hAnsi="Times New Roman" w:eastAsia="宋体" w:cs="Times New Roman"/>
                <w:kern w:val="0"/>
                <w:sz w:val="18"/>
                <w:szCs w:val="18"/>
              </w:rPr>
              <w:t>打造政府政策落地平台；搞活私募股权融资；有效利用私募可转债；建设普惠金融服务平台；积极参与县域“双招双引”；整合区域资本市场金融资源；聚集金融、财会、法律等相关专业机构；提供企业宣传推广和品牌提升服务</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957" w:type="dxa"/>
            <w:tcBorders>
              <w:top w:val="single" w:color="auto" w:sz="4" w:space="0"/>
              <w:bottom w:val="single" w:color="auto" w:sz="4" w:space="0"/>
              <w:right w:val="single" w:color="auto" w:sz="6" w:space="0"/>
            </w:tcBorders>
            <w:vAlign w:val="center"/>
          </w:tcPr>
          <w:p>
            <w:pPr>
              <w:spacing w:line="300" w:lineRule="exact"/>
              <w:rPr>
                <w:rFonts w:hint="eastAsia"/>
                <w:kern w:val="0"/>
                <w:sz w:val="18"/>
                <w:szCs w:val="18"/>
              </w:rPr>
            </w:pPr>
            <w:r>
              <w:rPr>
                <w:rFonts w:hint="eastAsia" w:ascii="Times New Roman" w:hAnsi="Times New Roman" w:eastAsia="宋体" w:cs="Times New Roman"/>
                <w:kern w:val="0"/>
                <w:sz w:val="18"/>
                <w:szCs w:val="18"/>
              </w:rPr>
              <w:t>广西壮族</w:t>
            </w:r>
          </w:p>
          <w:p>
            <w:pPr>
              <w:spacing w:line="300" w:lineRule="exact"/>
              <w:rPr>
                <w:rFonts w:hint="eastAsia"/>
                <w:kern w:val="0"/>
                <w:sz w:val="18"/>
                <w:szCs w:val="18"/>
              </w:rPr>
            </w:pPr>
            <w:r>
              <w:rPr>
                <w:rFonts w:hint="eastAsia" w:ascii="Times New Roman" w:hAnsi="Times New Roman" w:eastAsia="宋体" w:cs="Times New Roman"/>
                <w:kern w:val="0"/>
                <w:sz w:val="18"/>
                <w:szCs w:val="18"/>
              </w:rPr>
              <w:t>自治区</w:t>
            </w:r>
          </w:p>
        </w:tc>
        <w:tc>
          <w:tcPr>
            <w:tcW w:w="1246" w:type="dxa"/>
            <w:tcBorders>
              <w:top w:val="single" w:color="auto" w:sz="4" w:space="0"/>
              <w:left w:val="single" w:color="auto" w:sz="6" w:space="0"/>
              <w:bottom w:val="single" w:color="auto" w:sz="4" w:space="0"/>
              <w:right w:val="single" w:color="auto" w:sz="6" w:space="0"/>
            </w:tcBorders>
            <w:vAlign w:val="center"/>
          </w:tcPr>
          <w:p>
            <w:pPr>
              <w:spacing w:line="300" w:lineRule="exact"/>
              <w:rPr>
                <w:rFonts w:hint="eastAsia"/>
                <w:kern w:val="0"/>
                <w:sz w:val="18"/>
                <w:szCs w:val="18"/>
              </w:rPr>
            </w:pPr>
            <w:r>
              <w:rPr>
                <w:rFonts w:hint="eastAsia" w:ascii="Times New Roman" w:hAnsi="Times New Roman" w:eastAsia="宋体" w:cs="Times New Roman"/>
                <w:kern w:val="0"/>
                <w:sz w:val="18"/>
                <w:szCs w:val="18"/>
              </w:rPr>
              <w:t>资本市场县域融智创新工程</w:t>
            </w:r>
          </w:p>
        </w:tc>
        <w:tc>
          <w:tcPr>
            <w:tcW w:w="6416" w:type="dxa"/>
            <w:tcBorders>
              <w:top w:val="single" w:color="auto" w:sz="4" w:space="0"/>
              <w:left w:val="single" w:color="auto" w:sz="6" w:space="0"/>
              <w:bottom w:val="single" w:color="auto" w:sz="4" w:space="0"/>
            </w:tcBorders>
          </w:tcPr>
          <w:p>
            <w:pPr>
              <w:spacing w:line="300" w:lineRule="exact"/>
              <w:jc w:val="left"/>
              <w:rPr>
                <w:rFonts w:hint="eastAsia"/>
                <w:kern w:val="0"/>
                <w:sz w:val="18"/>
                <w:szCs w:val="18"/>
              </w:rPr>
            </w:pPr>
            <w:r>
              <w:rPr>
                <w:rFonts w:hint="eastAsia" w:ascii="Times New Roman" w:hAnsi="Times New Roman" w:eastAsia="宋体" w:cs="Times New Roman"/>
                <w:kern w:val="0"/>
                <w:sz w:val="18"/>
                <w:szCs w:val="18"/>
              </w:rPr>
              <w:t>积极组建南宁市资本市场专家服务团队，开展常态化培训；建立定位精准、梯次清晰的上市后备企业方阵；依托资本市场专家服务团队，为企业提供一对一全方位、定制化的精准金融服务</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957" w:type="dxa"/>
            <w:tcBorders>
              <w:top w:val="single" w:color="auto" w:sz="4" w:space="0"/>
              <w:bottom w:val="single" w:color="auto" w:sz="4" w:space="0"/>
              <w:right w:val="single" w:color="auto" w:sz="6" w:space="0"/>
            </w:tcBorders>
            <w:vAlign w:val="center"/>
          </w:tcPr>
          <w:p>
            <w:pPr>
              <w:spacing w:line="300" w:lineRule="exact"/>
              <w:rPr>
                <w:rFonts w:hint="eastAsia"/>
                <w:kern w:val="0"/>
                <w:sz w:val="18"/>
                <w:szCs w:val="18"/>
              </w:rPr>
            </w:pPr>
            <w:r>
              <w:rPr>
                <w:rFonts w:hint="eastAsia" w:ascii="Times New Roman" w:hAnsi="Times New Roman" w:eastAsia="宋体" w:cs="Times New Roman"/>
                <w:kern w:val="0"/>
                <w:sz w:val="18"/>
                <w:szCs w:val="18"/>
              </w:rPr>
              <w:t>浙江省</w:t>
            </w:r>
          </w:p>
        </w:tc>
        <w:tc>
          <w:tcPr>
            <w:tcW w:w="1246" w:type="dxa"/>
            <w:tcBorders>
              <w:top w:val="single" w:color="auto" w:sz="4" w:space="0"/>
              <w:left w:val="single" w:color="auto" w:sz="6" w:space="0"/>
              <w:bottom w:val="single" w:color="auto" w:sz="4" w:space="0"/>
              <w:right w:val="single" w:color="auto" w:sz="6" w:space="0"/>
            </w:tcBorders>
            <w:vAlign w:val="center"/>
          </w:tcPr>
          <w:p>
            <w:pPr>
              <w:spacing w:line="300" w:lineRule="exact"/>
              <w:rPr>
                <w:rFonts w:hint="eastAsia"/>
                <w:kern w:val="0"/>
                <w:sz w:val="18"/>
                <w:szCs w:val="18"/>
              </w:rPr>
            </w:pPr>
            <w:r>
              <w:rPr>
                <w:rFonts w:hint="eastAsia" w:ascii="Times New Roman" w:hAnsi="Times New Roman" w:eastAsia="宋体" w:cs="Times New Roman"/>
                <w:kern w:val="0"/>
                <w:sz w:val="18"/>
                <w:szCs w:val="18"/>
              </w:rPr>
              <w:t>资本市场普惠金融试点工程</w:t>
            </w:r>
          </w:p>
        </w:tc>
        <w:tc>
          <w:tcPr>
            <w:tcW w:w="6416" w:type="dxa"/>
            <w:tcBorders>
              <w:top w:val="single" w:color="auto" w:sz="4" w:space="0"/>
              <w:left w:val="single" w:color="auto" w:sz="6" w:space="0"/>
              <w:bottom w:val="single" w:color="auto" w:sz="4" w:space="0"/>
            </w:tcBorders>
          </w:tcPr>
          <w:p>
            <w:pPr>
              <w:spacing w:line="300" w:lineRule="exact"/>
              <w:jc w:val="left"/>
              <w:rPr>
                <w:rFonts w:hint="eastAsia"/>
                <w:kern w:val="0"/>
                <w:sz w:val="18"/>
                <w:szCs w:val="18"/>
              </w:rPr>
            </w:pPr>
            <w:r>
              <w:rPr>
                <w:rFonts w:hint="eastAsia" w:ascii="Times New Roman" w:hAnsi="Times New Roman" w:eastAsia="宋体" w:cs="Times New Roman"/>
                <w:kern w:val="0"/>
                <w:sz w:val="18"/>
                <w:szCs w:val="18"/>
              </w:rPr>
              <w:t>全面挖掘后备企业强基础，构建上市培育梯队企业库；通过开展“专员式”保姆服务、设立“县域资本市场工作站”、实施“顾问式”专业服务等构建省市县三级联动的企业规范培育体系；通过引进投资机构、设立产投基金构建资本市场普惠服务体系；通过建立融资担保协同机制、支持发行私募可转债等构建小微企业直接融资体系</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eastAsia" w:eastAsia="黑体"/>
          <w:sz w:val="18"/>
          <w:szCs w:val="18"/>
          <w:lang w:eastAsia="zh-CN"/>
        </w:rPr>
      </w:pPr>
      <w:r>
        <w:rPr>
          <w:rFonts w:ascii="Times New Roman" w:hAnsi="Times New Roman" w:eastAsia="黑体" w:cs="Times New Roman"/>
          <w:sz w:val="18"/>
          <w:szCs w:val="18"/>
        </w:rPr>
        <w:t>附表</w:t>
      </w:r>
      <w:r>
        <w:rPr>
          <w:rFonts w:ascii="Times New Roman" w:hAnsi="Times New Roman" w:eastAsia="黑体" w:cs="Times New Roman"/>
          <w:sz w:val="18"/>
          <w:szCs w:val="18"/>
        </w:rPr>
        <w:fldChar w:fldCharType="begin"/>
      </w:r>
      <w:r>
        <w:rPr>
          <w:rFonts w:ascii="Times New Roman" w:hAnsi="Times New Roman" w:eastAsia="黑体" w:cs="Times New Roman"/>
          <w:sz w:val="18"/>
          <w:szCs w:val="18"/>
        </w:rPr>
        <w:instrText xml:space="preserve"> SEQ 附表 \* ARABIC </w:instrText>
      </w:r>
      <w:r>
        <w:rPr>
          <w:rFonts w:ascii="Times New Roman" w:hAnsi="Times New Roman" w:eastAsia="黑体" w:cs="Times New Roman"/>
          <w:sz w:val="18"/>
          <w:szCs w:val="18"/>
        </w:rPr>
        <w:fldChar w:fldCharType="separate"/>
      </w:r>
      <w:r>
        <w:rPr>
          <w:rFonts w:ascii="Times New Roman" w:hAnsi="Times New Roman" w:eastAsia="黑体" w:cs="Times New Roman"/>
          <w:sz w:val="18"/>
          <w:szCs w:val="18"/>
        </w:rPr>
        <w:t>1</w:t>
      </w:r>
      <w:r>
        <w:rPr>
          <w:rFonts w:ascii="Times New Roman" w:hAnsi="Times New Roman" w:eastAsia="黑体" w:cs="Times New Roman"/>
          <w:sz w:val="18"/>
          <w:szCs w:val="18"/>
        </w:rPr>
        <w:fldChar w:fldCharType="end"/>
      </w:r>
      <w:r>
        <w:rPr>
          <w:rFonts w:hint="eastAsia" w:eastAsia="黑体" w:cs="Times New Roman"/>
          <w:sz w:val="18"/>
          <w:szCs w:val="18"/>
          <w:lang w:eastAsia="zh-CN"/>
        </w:rPr>
        <w:t>（</w:t>
      </w:r>
      <w:r>
        <w:rPr>
          <w:rFonts w:hint="eastAsia" w:eastAsia="黑体" w:cs="Times New Roman"/>
          <w:sz w:val="18"/>
          <w:szCs w:val="18"/>
          <w:lang w:val="en-US" w:eastAsia="zh-CN"/>
        </w:rPr>
        <w:t>续</w:t>
      </w:r>
      <w:r>
        <w:rPr>
          <w:rFonts w:hint="eastAsia" w:eastAsia="黑体" w:cs="Times New Roman"/>
          <w:sz w:val="18"/>
          <w:szCs w:val="18"/>
          <w:lang w:eastAsia="zh-CN"/>
        </w:rPr>
        <w:t>）</w:t>
      </w:r>
    </w:p>
    <w:tbl>
      <w:tblPr>
        <w:tblStyle w:val="34"/>
        <w:tblW w:w="8619" w:type="dxa"/>
        <w:tblInd w:w="108"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57"/>
        <w:gridCol w:w="1246"/>
        <w:gridCol w:w="6416"/>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957" w:type="dxa"/>
            <w:tcBorders>
              <w:top w:val="single" w:color="auto" w:sz="4" w:space="0"/>
              <w:bottom w:val="single" w:color="auto" w:sz="12" w:space="0"/>
              <w:right w:val="single" w:color="auto" w:sz="6" w:space="0"/>
            </w:tcBorders>
            <w:vAlign w:val="center"/>
          </w:tcPr>
          <w:p>
            <w:pPr>
              <w:spacing w:line="300" w:lineRule="exact"/>
              <w:rPr>
                <w:rFonts w:hint="eastAsia"/>
                <w:kern w:val="0"/>
                <w:sz w:val="18"/>
                <w:szCs w:val="18"/>
              </w:rPr>
            </w:pPr>
            <w:r>
              <w:rPr>
                <w:rFonts w:hint="eastAsia" w:ascii="Times New Roman" w:hAnsi="Times New Roman" w:eastAsia="宋体" w:cs="Times New Roman"/>
                <w:kern w:val="0"/>
                <w:sz w:val="18"/>
                <w:szCs w:val="18"/>
              </w:rPr>
              <w:t>重庆市</w:t>
            </w:r>
          </w:p>
        </w:tc>
        <w:tc>
          <w:tcPr>
            <w:tcW w:w="1246" w:type="dxa"/>
            <w:tcBorders>
              <w:top w:val="single" w:color="auto" w:sz="4" w:space="0"/>
              <w:left w:val="single" w:color="auto" w:sz="6" w:space="0"/>
              <w:bottom w:val="single" w:color="auto" w:sz="12" w:space="0"/>
              <w:right w:val="single" w:color="auto" w:sz="6" w:space="0"/>
            </w:tcBorders>
            <w:vAlign w:val="center"/>
          </w:tcPr>
          <w:p>
            <w:pPr>
              <w:spacing w:line="300" w:lineRule="exact"/>
              <w:rPr>
                <w:rFonts w:hint="eastAsia"/>
                <w:kern w:val="0"/>
                <w:sz w:val="18"/>
                <w:szCs w:val="18"/>
              </w:rPr>
            </w:pPr>
            <w:r>
              <w:rPr>
                <w:rFonts w:hint="eastAsia" w:ascii="Times New Roman" w:hAnsi="Times New Roman" w:eastAsia="宋体" w:cs="Times New Roman"/>
                <w:kern w:val="0"/>
                <w:sz w:val="18"/>
                <w:szCs w:val="18"/>
              </w:rPr>
              <w:t>区县资本市场工程</w:t>
            </w:r>
          </w:p>
        </w:tc>
        <w:tc>
          <w:tcPr>
            <w:tcW w:w="6416" w:type="dxa"/>
            <w:tcBorders>
              <w:top w:val="single" w:color="auto" w:sz="4" w:space="0"/>
              <w:left w:val="single" w:color="auto" w:sz="6" w:space="0"/>
              <w:bottom w:val="single" w:color="auto" w:sz="12" w:space="0"/>
            </w:tcBorders>
          </w:tcPr>
          <w:p>
            <w:pPr>
              <w:spacing w:line="300" w:lineRule="exact"/>
              <w:jc w:val="left"/>
              <w:rPr>
                <w:rFonts w:hint="eastAsia"/>
                <w:kern w:val="0"/>
                <w:sz w:val="18"/>
                <w:szCs w:val="18"/>
              </w:rPr>
            </w:pPr>
            <w:r>
              <w:rPr>
                <w:rFonts w:hint="eastAsia" w:ascii="Times New Roman" w:hAnsi="Times New Roman" w:eastAsia="宋体" w:cs="Times New Roman"/>
                <w:kern w:val="0"/>
                <w:sz w:val="18"/>
                <w:szCs w:val="18"/>
              </w:rPr>
              <w:t>重庆区域性股权市场联合各区县金融工作管理部门，通过资本市场意识普及等活动，引导现代化产业企业进行挂牌培育，并且，通过四大服务“直通车”积极推动区域各类资源要素合理流动、高效聚集、优化配置，帮助解决重庆区县普遍存在的资本市场服务薄弱、中小企业融资难和融资贵等问题</w:t>
            </w:r>
          </w:p>
        </w:tc>
      </w:tr>
    </w:tbl>
    <w:p>
      <w:pPr>
        <w:keepNext w:val="0"/>
        <w:keepLines w:val="0"/>
        <w:pageBreakBefore w:val="0"/>
        <w:widowControl w:val="0"/>
        <w:kinsoku/>
        <w:wordWrap/>
        <w:overflowPunct/>
        <w:topLinePunct w:val="0"/>
        <w:autoSpaceDE/>
        <w:autoSpaceDN/>
        <w:bidi w:val="0"/>
        <w:adjustRightInd/>
        <w:snapToGrid/>
        <w:spacing w:before="366" w:beforeLines="100" w:line="480" w:lineRule="auto"/>
        <w:jc w:val="center"/>
        <w:textAlignment w:val="auto"/>
        <w:rPr>
          <w:rFonts w:hint="eastAsia" w:ascii="黑体" w:hAnsi="黑体" w:eastAsia="黑体"/>
          <w:color w:val="000000" w:themeColor="text1"/>
          <w:sz w:val="24"/>
          <w14:textFill>
            <w14:solidFill>
              <w14:schemeClr w14:val="tx1"/>
            </w14:solidFill>
          </w14:textFill>
        </w:rPr>
      </w:pPr>
      <w:r>
        <w:rPr>
          <w:rFonts w:hint="eastAsia" w:ascii="黑体" w:hAnsi="黑体" w:eastAsia="黑体"/>
          <w:color w:val="000000" w:themeColor="text1"/>
          <w:sz w:val="24"/>
          <w14:textFill>
            <w14:solidFill>
              <w14:schemeClr w14:val="tx1"/>
            </w14:solidFill>
          </w14:textFill>
        </w:rPr>
        <w:t>附录二  研究样本每年的试点县域名单</w:t>
      </w:r>
    </w:p>
    <w:p>
      <w:pPr>
        <w:pStyle w:val="9"/>
        <w:keepNext/>
        <w:ind w:firstLine="332" w:firstLineChars="200"/>
        <w:rPr>
          <w:rFonts w:ascii="Times New Roman" w:hAnsi="Times New Roman" w:cs="Times New Roman"/>
          <w:sz w:val="18"/>
          <w:szCs w:val="18"/>
        </w:rPr>
      </w:pPr>
      <w:r>
        <w:rPr>
          <w:rFonts w:ascii="Times New Roman" w:hAnsi="Times New Roman" w:cs="Times New Roman"/>
          <w:sz w:val="18"/>
          <w:szCs w:val="18"/>
        </w:rPr>
        <w:t>附表</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附表 \* ARABIC </w:instrText>
      </w:r>
      <w:r>
        <w:rPr>
          <w:rFonts w:ascii="Times New Roman" w:hAnsi="Times New Roman" w:cs="Times New Roman"/>
          <w:sz w:val="18"/>
          <w:szCs w:val="18"/>
        </w:rPr>
        <w:fldChar w:fldCharType="separate"/>
      </w:r>
      <w:r>
        <w:rPr>
          <w:rFonts w:ascii="Times New Roman" w:hAnsi="Times New Roman" w:cs="Times New Roman"/>
          <w:sz w:val="18"/>
          <w:szCs w:val="18"/>
        </w:rPr>
        <w:t>2</w:t>
      </w:r>
      <w:r>
        <w:rPr>
          <w:rFonts w:ascii="Times New Roman" w:hAnsi="Times New Roman" w:cs="Times New Roman"/>
          <w:sz w:val="18"/>
          <w:szCs w:val="18"/>
        </w:rPr>
        <w:fldChar w:fldCharType="end"/>
      </w:r>
      <w:r>
        <w:rPr>
          <w:rFonts w:hint="eastAsia" w:ascii="Times New Roman" w:hAnsi="Times New Roman" w:cs="Times New Roman"/>
          <w:sz w:val="18"/>
          <w:szCs w:val="18"/>
        </w:rPr>
        <w:t xml:space="preserve">                               </w:t>
      </w:r>
      <w:r>
        <w:rPr>
          <w:rFonts w:hint="eastAsia" w:ascii="Times New Roman" w:hAnsi="Times New Roman" w:cs="Times New Roman"/>
          <w:sz w:val="18"/>
          <w:szCs w:val="18"/>
          <w:lang w:val="en-US" w:eastAsia="zh-CN"/>
        </w:rPr>
        <w:t xml:space="preserve">   </w:t>
      </w:r>
      <w:r>
        <w:rPr>
          <w:rFonts w:hint="eastAsia" w:ascii="Times New Roman" w:hAnsi="Times New Roman" w:cs="Times New Roman"/>
          <w:sz w:val="18"/>
          <w:szCs w:val="18"/>
        </w:rPr>
        <w:t xml:space="preserve">   试点县域名单</w:t>
      </w:r>
    </w:p>
    <w:tbl>
      <w:tblPr>
        <w:tblStyle w:val="95"/>
        <w:tblW w:w="8642" w:type="dxa"/>
        <w:tblInd w:w="108"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80"/>
        <w:gridCol w:w="7562"/>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trPr>
        <w:tc>
          <w:tcPr>
            <w:tcW w:w="1080" w:type="dxa"/>
            <w:tcBorders>
              <w:top w:val="single" w:color="auto" w:sz="12"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等线" w:hAnsi="等线" w:eastAsia="等线" w:cs="Times New Roman"/>
                <w:kern w:val="0"/>
                <w:sz w:val="18"/>
                <w:szCs w:val="18"/>
              </w:rPr>
            </w:pPr>
            <w:r>
              <w:rPr>
                <w:rFonts w:ascii="Times New Roman" w:hAnsi="Times New Roman" w:eastAsia="宋体" w:cs="Times New Roman"/>
                <w:kern w:val="0"/>
                <w:sz w:val="18"/>
                <w:szCs w:val="18"/>
              </w:rPr>
              <w:t>试点年份</w:t>
            </w:r>
          </w:p>
        </w:tc>
        <w:tc>
          <w:tcPr>
            <w:tcW w:w="7562" w:type="dxa"/>
            <w:tcBorders>
              <w:top w:val="single" w:color="auto" w:sz="12" w:space="0"/>
              <w:left w:val="single" w:color="auto"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等线" w:hAnsi="等线" w:eastAsia="等线" w:cs="Times New Roman"/>
                <w:kern w:val="0"/>
                <w:sz w:val="18"/>
                <w:szCs w:val="18"/>
              </w:rPr>
            </w:pPr>
            <w:r>
              <w:rPr>
                <w:rFonts w:ascii="Times New Roman" w:hAnsi="Times New Roman" w:eastAsia="宋体" w:cs="Times New Roman"/>
                <w:kern w:val="0"/>
                <w:sz w:val="18"/>
                <w:szCs w:val="18"/>
              </w:rPr>
              <w:t>试点县域</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trPr>
        <w:tc>
          <w:tcPr>
            <w:tcW w:w="1080" w:type="dxa"/>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等线" w:hAnsi="等线" w:eastAsia="等线" w:cs="Times New Roman"/>
                <w:kern w:val="0"/>
                <w:sz w:val="18"/>
                <w:szCs w:val="18"/>
              </w:rPr>
            </w:pPr>
            <w:r>
              <w:rPr>
                <w:rFonts w:ascii="Times New Roman" w:hAnsi="Times New Roman" w:eastAsia="宋体" w:cs="Times New Roman"/>
                <w:kern w:val="0"/>
                <w:sz w:val="18"/>
                <w:szCs w:val="18"/>
              </w:rPr>
              <w:t>2018年</w:t>
            </w:r>
          </w:p>
        </w:tc>
        <w:tc>
          <w:tcPr>
            <w:tcW w:w="7562" w:type="dxa"/>
            <w:tcBorders>
              <w:top w:val="single" w:color="auto" w:sz="4" w:space="0"/>
              <w:left w:val="single" w:color="auto" w:sz="4" w:space="0"/>
              <w:bottom w:val="single" w:color="auto" w:sz="4" w:space="0"/>
              <w:tl2br w:val="nil"/>
              <w:tr2bl w:val="nil"/>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等线" w:hAnsi="等线" w:eastAsia="等线" w:cs="Times New Roman"/>
                <w:kern w:val="0"/>
                <w:sz w:val="18"/>
                <w:szCs w:val="18"/>
              </w:rPr>
            </w:pPr>
            <w:r>
              <w:rPr>
                <w:rFonts w:hint="eastAsia" w:ascii="Times New Roman" w:hAnsi="Times New Roman" w:eastAsia="宋体" w:cs="Times New Roman"/>
                <w:kern w:val="0"/>
                <w:sz w:val="18"/>
                <w:szCs w:val="18"/>
              </w:rPr>
              <w:t>湘阴县、汨罗市</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trPr>
        <w:tc>
          <w:tcPr>
            <w:tcW w:w="1080" w:type="dxa"/>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等线" w:hAnsi="等线" w:eastAsia="等线" w:cs="Times New Roman"/>
                <w:kern w:val="0"/>
                <w:sz w:val="18"/>
                <w:szCs w:val="18"/>
              </w:rPr>
            </w:pPr>
            <w:r>
              <w:rPr>
                <w:rFonts w:ascii="Times New Roman" w:hAnsi="Times New Roman" w:eastAsia="宋体" w:cs="Times New Roman"/>
                <w:kern w:val="0"/>
                <w:sz w:val="18"/>
                <w:szCs w:val="18"/>
              </w:rPr>
              <w:t>2019年</w:t>
            </w:r>
          </w:p>
        </w:tc>
        <w:tc>
          <w:tcPr>
            <w:tcW w:w="7562" w:type="dxa"/>
            <w:tcBorders>
              <w:top w:val="single" w:color="auto" w:sz="4" w:space="0"/>
              <w:left w:val="single" w:color="auto" w:sz="4" w:space="0"/>
              <w:bottom w:val="single" w:color="auto" w:sz="4" w:space="0"/>
              <w:tl2br w:val="nil"/>
              <w:tr2bl w:val="nil"/>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等线" w:hAnsi="等线" w:eastAsia="等线" w:cs="Times New Roman"/>
                <w:kern w:val="0"/>
                <w:sz w:val="18"/>
                <w:szCs w:val="18"/>
              </w:rPr>
            </w:pPr>
            <w:r>
              <w:rPr>
                <w:rFonts w:ascii="Times New Roman" w:hAnsi="Times New Roman" w:eastAsia="宋体" w:cs="Times New Roman"/>
                <w:kern w:val="0"/>
                <w:sz w:val="18"/>
                <w:szCs w:val="18"/>
              </w:rPr>
              <w:t>新荣区、广灵县、平定县、潞城区、襄垣县、泽州县、右玉县、怀仁市、祁县、介休市、盐湖区、定襄县、安泽县、吉县、离石区、交城县、周村区、东营区、东昌府区、阳信县</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trPr>
        <w:tc>
          <w:tcPr>
            <w:tcW w:w="1080" w:type="dxa"/>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等线" w:hAnsi="等线" w:eastAsia="等线" w:cs="Times New Roman"/>
                <w:kern w:val="0"/>
                <w:sz w:val="18"/>
                <w:szCs w:val="18"/>
              </w:rPr>
            </w:pPr>
            <w:r>
              <w:rPr>
                <w:rFonts w:ascii="Times New Roman" w:hAnsi="Times New Roman" w:eastAsia="宋体" w:cs="Times New Roman"/>
                <w:kern w:val="0"/>
                <w:sz w:val="18"/>
                <w:szCs w:val="18"/>
              </w:rPr>
              <w:t>2020年</w:t>
            </w:r>
          </w:p>
        </w:tc>
        <w:tc>
          <w:tcPr>
            <w:tcW w:w="7562" w:type="dxa"/>
            <w:tcBorders>
              <w:top w:val="single" w:color="auto" w:sz="4" w:space="0"/>
              <w:left w:val="single" w:color="auto" w:sz="4" w:space="0"/>
              <w:bottom w:val="single" w:color="auto" w:sz="4" w:space="0"/>
              <w:tl2br w:val="nil"/>
              <w:tr2bl w:val="nil"/>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等线" w:hAnsi="等线" w:eastAsia="等线" w:cs="Times New Roman"/>
                <w:kern w:val="0"/>
                <w:sz w:val="18"/>
                <w:szCs w:val="18"/>
              </w:rPr>
            </w:pPr>
            <w:r>
              <w:rPr>
                <w:rFonts w:ascii="Times New Roman" w:hAnsi="Times New Roman" w:eastAsia="宋体" w:cs="Times New Roman"/>
                <w:kern w:val="0"/>
                <w:sz w:val="18"/>
                <w:szCs w:val="18"/>
                <w:lang w:bidi="ar"/>
              </w:rPr>
              <w:t>山亭区、河口区、福山区、昌邑市、齐河县、无棣县、蒸湘区、平江县</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trPr>
        <w:tc>
          <w:tcPr>
            <w:tcW w:w="1080" w:type="dxa"/>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等线" w:hAnsi="等线" w:eastAsia="等线" w:cs="Times New Roman"/>
                <w:kern w:val="0"/>
                <w:sz w:val="18"/>
                <w:szCs w:val="18"/>
              </w:rPr>
            </w:pPr>
            <w:r>
              <w:rPr>
                <w:rFonts w:ascii="Times New Roman" w:hAnsi="Times New Roman" w:eastAsia="宋体" w:cs="Times New Roman"/>
                <w:kern w:val="0"/>
                <w:sz w:val="18"/>
                <w:szCs w:val="18"/>
              </w:rPr>
              <w:t>2021年</w:t>
            </w:r>
          </w:p>
        </w:tc>
        <w:tc>
          <w:tcPr>
            <w:tcW w:w="7562" w:type="dxa"/>
            <w:tcBorders>
              <w:top w:val="single" w:color="auto" w:sz="4" w:space="0"/>
              <w:left w:val="single" w:color="auto" w:sz="4" w:space="0"/>
              <w:bottom w:val="single" w:color="auto" w:sz="4" w:space="0"/>
              <w:tl2br w:val="nil"/>
              <w:tr2bl w:val="nil"/>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等线" w:hAnsi="等线" w:eastAsia="等线" w:cs="Times New Roman"/>
                <w:kern w:val="0"/>
                <w:sz w:val="18"/>
                <w:szCs w:val="18"/>
              </w:rPr>
            </w:pPr>
            <w:r>
              <w:rPr>
                <w:rFonts w:ascii="Times New Roman" w:hAnsi="Times New Roman" w:eastAsia="宋体" w:cs="Times New Roman"/>
                <w:kern w:val="0"/>
                <w:sz w:val="18"/>
                <w:szCs w:val="18"/>
              </w:rPr>
              <w:t>小店区、迎泽区、杏花岭区、尖草坪区、万柏林区、晋源区、清徐县、阳曲县、平城区、云州区、阳泉市矿区、盂县、上党区、屯留区、长子县、晋城市城区、阳城县、</w:t>
            </w:r>
            <w:r>
              <w:rPr>
                <w:rFonts w:hint="eastAsia" w:ascii="Times New Roman" w:hAnsi="Times New Roman" w:eastAsia="宋体" w:cs="Times New Roman"/>
                <w:kern w:val="0"/>
                <w:sz w:val="18"/>
                <w:szCs w:val="18"/>
              </w:rPr>
              <w:t>朔城区、</w:t>
            </w:r>
            <w:r>
              <w:rPr>
                <w:rFonts w:ascii="Times New Roman" w:hAnsi="Times New Roman" w:eastAsia="宋体" w:cs="Times New Roman"/>
                <w:kern w:val="0"/>
                <w:sz w:val="18"/>
                <w:szCs w:val="18"/>
              </w:rPr>
              <w:t>应县、榆次区、太谷区、临猗县、万荣县、稷山县、芮城县、河津市、忻府区、繁峙县、河曲县、曲沃县、襄汾县、洪洞县、侯马市、文水县、孝义市、汾阳市、雁峰区、衡阳县、衡南县、衡山县、耒阳市、岳阳楼区、云溪区、君山区、岳阳县、华容县、临湘市、青秀区、西乡塘区、良庆区、邕宁区、武鸣区、隆安县、马山县、上林县、宾阳县、横县</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trPr>
        <w:tc>
          <w:tcPr>
            <w:tcW w:w="1080" w:type="dxa"/>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等线" w:hAnsi="等线" w:eastAsia="等线" w:cs="Times New Roman"/>
                <w:kern w:val="0"/>
                <w:sz w:val="18"/>
                <w:szCs w:val="18"/>
              </w:rPr>
            </w:pPr>
            <w:r>
              <w:rPr>
                <w:rFonts w:hint="eastAsia" w:ascii="Times New Roman" w:hAnsi="Times New Roman" w:eastAsia="宋体" w:cs="Times New Roman"/>
                <w:kern w:val="0"/>
                <w:sz w:val="18"/>
                <w:szCs w:val="18"/>
              </w:rPr>
              <w:t>2022年</w:t>
            </w:r>
          </w:p>
        </w:tc>
        <w:tc>
          <w:tcPr>
            <w:tcW w:w="7562" w:type="dxa"/>
            <w:tcBorders>
              <w:top w:val="single" w:color="auto" w:sz="4" w:space="0"/>
              <w:left w:val="single" w:color="auto" w:sz="4" w:space="0"/>
              <w:tl2br w:val="nil"/>
              <w:tr2bl w:val="nil"/>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等线" w:hAnsi="等线" w:eastAsia="等线" w:cs="Times New Roman"/>
                <w:kern w:val="0"/>
                <w:sz w:val="18"/>
                <w:szCs w:val="18"/>
              </w:rPr>
            </w:pPr>
            <w:r>
              <w:rPr>
                <w:rFonts w:hint="eastAsia" w:ascii="Times New Roman" w:hAnsi="Times New Roman" w:eastAsia="宋体" w:cs="Times New Roman"/>
                <w:kern w:val="0"/>
                <w:sz w:val="18"/>
                <w:szCs w:val="18"/>
              </w:rPr>
              <w:t>古交市、灵丘县、阳泉市城区、阳泉市郊区、武乡县、沁源县、沁水县、陵川县、高平市、和顺县、昔阳县、寿阳县、五台县、代县、原平市、平阳县、海宁市、德清县、长兴县、上虞区、金东区、常山县、龙游县、临海市、珠晖区、石鼓区、南岳区、衡东县、祁东县、常宁市、渝中区、綦江区、大足区、渝北区、铜梁区</w:t>
            </w:r>
          </w:p>
        </w:tc>
      </w:tr>
    </w:tbl>
    <w:p>
      <w:pPr>
        <w:keepNext w:val="0"/>
        <w:keepLines w:val="0"/>
        <w:pageBreakBefore w:val="0"/>
        <w:widowControl w:val="0"/>
        <w:kinsoku/>
        <w:wordWrap/>
        <w:overflowPunct/>
        <w:topLinePunct w:val="0"/>
        <w:autoSpaceDE/>
        <w:autoSpaceDN/>
        <w:bidi w:val="0"/>
        <w:adjustRightInd/>
        <w:snapToGrid/>
        <w:spacing w:before="366" w:beforeLines="100" w:line="480" w:lineRule="auto"/>
        <w:jc w:val="center"/>
        <w:textAlignment w:val="auto"/>
        <w:rPr>
          <w:rFonts w:hint="eastAsia" w:ascii="黑体" w:hAnsi="黑体" w:eastAsia="黑体"/>
          <w:color w:val="000000" w:themeColor="text1"/>
          <w:sz w:val="24"/>
          <w14:textFill>
            <w14:solidFill>
              <w14:schemeClr w14:val="tx1"/>
            </w14:solidFill>
          </w14:textFill>
        </w:rPr>
      </w:pPr>
      <w:r>
        <w:rPr>
          <w:rFonts w:hint="eastAsia" w:ascii="黑体" w:hAnsi="黑体" w:eastAsia="黑体"/>
          <w:color w:val="000000" w:themeColor="text1"/>
          <w:sz w:val="24"/>
          <w14:textFill>
            <w14:solidFill>
              <w14:schemeClr w14:val="tx1"/>
            </w14:solidFill>
          </w14:textFill>
        </w:rPr>
        <w:t>附录三  各省相关政策文件</w:t>
      </w:r>
    </w:p>
    <w:p>
      <w:pPr>
        <w:keepNext w:val="0"/>
        <w:keepLines w:val="0"/>
        <w:pageBreakBefore w:val="0"/>
        <w:widowControl w:val="0"/>
        <w:kinsoku/>
        <w:wordWrap w:val="0"/>
        <w:overflowPunct/>
        <w:topLinePunct w:val="0"/>
        <w:autoSpaceDE/>
        <w:autoSpaceDN/>
        <w:bidi w:val="0"/>
        <w:adjustRightInd/>
        <w:snapToGrid/>
        <w:spacing w:line="240" w:lineRule="atLeast"/>
        <w:ind w:firstLine="392" w:firstLineChars="200"/>
        <w:textAlignment w:val="auto"/>
        <w:rPr>
          <w:rFonts w:hint="eastAsia" w:ascii="Times New Roman" w:hAnsi="Times New Roman" w:eastAsia="宋体" w:cs="Times New Roman"/>
          <w:lang w:eastAsia="zh-CN"/>
        </w:rPr>
      </w:pPr>
      <w:r>
        <w:rPr>
          <w:rFonts w:hint="eastAsia" w:ascii="Times New Roman" w:hAnsi="Times New Roman" w:eastAsia="宋体" w:cs="Times New Roman"/>
        </w:rPr>
        <w:t>1.</w:t>
      </w:r>
      <w:r>
        <w:rPr>
          <w:rFonts w:ascii="Times New Roman" w:hAnsi="Times New Roman" w:eastAsia="宋体" w:cs="Times New Roman"/>
        </w:rPr>
        <w:t>《衡阳市关于做好2021年度资本市场县域工程工作的通知》，</w:t>
      </w:r>
      <w:r>
        <w:fldChar w:fldCharType="begin"/>
      </w:r>
      <w:r>
        <w:instrText xml:space="preserve">HYPERLINK "https://www.hyyfq.gov.cn/ztzl/yhyshj/zcwj/qzfb/20211015/i2509168.html"</w:instrText>
      </w:r>
      <w:r>
        <w:fldChar w:fldCharType="separate"/>
      </w:r>
      <w:r>
        <w:rPr>
          <w:rStyle w:val="26"/>
          <w:rFonts w:ascii="Times New Roman" w:hAnsi="Times New Roman" w:eastAsia="宋体" w:cs="Times New Roman"/>
        </w:rPr>
        <w:t>https://www.hyyfq.gov.cn/ztzl/yhyshj/zcwj/qzfb/20211015/i2509168.html</w:t>
      </w:r>
      <w:r>
        <w:fldChar w:fldCharType="end"/>
      </w:r>
      <w:r>
        <w:rPr>
          <w:rFonts w:hint="eastAsia"/>
          <w:lang w:eastAsia="zh-CN"/>
        </w:rPr>
        <w:t>。</w:t>
      </w:r>
    </w:p>
    <w:p>
      <w:pPr>
        <w:keepNext w:val="0"/>
        <w:keepLines w:val="0"/>
        <w:pageBreakBefore w:val="0"/>
        <w:widowControl w:val="0"/>
        <w:kinsoku/>
        <w:wordWrap w:val="0"/>
        <w:overflowPunct/>
        <w:topLinePunct w:val="0"/>
        <w:autoSpaceDE/>
        <w:autoSpaceDN/>
        <w:bidi w:val="0"/>
        <w:adjustRightInd/>
        <w:snapToGrid/>
        <w:spacing w:line="240" w:lineRule="atLeast"/>
        <w:ind w:firstLine="392" w:firstLineChars="200"/>
        <w:textAlignment w:val="auto"/>
        <w:rPr>
          <w:rFonts w:hint="eastAsia" w:ascii="Times New Roman" w:hAnsi="Times New Roman" w:eastAsia="宋体" w:cs="Times New Roman"/>
          <w:lang w:eastAsia="zh-CN"/>
        </w:rPr>
      </w:pPr>
      <w:r>
        <w:rPr>
          <w:rFonts w:hint="eastAsia" w:ascii="Times New Roman" w:hAnsi="Times New Roman" w:eastAsia="宋体" w:cs="Times New Roman"/>
        </w:rPr>
        <w:t>2.</w:t>
      </w:r>
      <w:r>
        <w:rPr>
          <w:rFonts w:ascii="Times New Roman" w:hAnsi="Times New Roman" w:eastAsia="宋体" w:cs="Times New Roman"/>
        </w:rPr>
        <w:t>《岳阳市资本市场县域工程实施规划（2020-2025）》，</w:t>
      </w:r>
      <w:r>
        <w:fldChar w:fldCharType="begin"/>
      </w:r>
      <w:r>
        <w:instrText xml:space="preserve">HYPERLINK "https://www.yueyang.gov.cn/jrb/7667/7674/content_1905415.html"</w:instrText>
      </w:r>
      <w:r>
        <w:fldChar w:fldCharType="separate"/>
      </w:r>
      <w:r>
        <w:rPr>
          <w:rStyle w:val="26"/>
          <w:rFonts w:ascii="Times New Roman" w:hAnsi="Times New Roman" w:eastAsia="宋体" w:cs="Times New Roman"/>
        </w:rPr>
        <w:t>https://www.yueyang.gov.cn/jrb/7667/7674/content_1905415.html</w:t>
      </w:r>
      <w:r>
        <w:fldChar w:fldCharType="end"/>
      </w:r>
      <w:r>
        <w:rPr>
          <w:rFonts w:ascii="Times New Roman" w:hAnsi="Times New Roman" w:eastAsia="宋体" w:cs="Times New Roman"/>
        </w:rPr>
        <w:t xml:space="preserve"> （此文件目前暂时在网上无法查阅）</w:t>
      </w:r>
      <w:r>
        <w:rPr>
          <w:rFonts w:hint="eastAsia" w:ascii="Times New Roman" w:hAnsi="Times New Roman" w:eastAsia="宋体" w:cs="Times New Roman"/>
          <w:lang w:eastAsia="zh-CN"/>
        </w:rPr>
        <w:t>。</w:t>
      </w:r>
    </w:p>
    <w:p>
      <w:pPr>
        <w:keepNext w:val="0"/>
        <w:keepLines w:val="0"/>
        <w:pageBreakBefore w:val="0"/>
        <w:widowControl w:val="0"/>
        <w:kinsoku/>
        <w:wordWrap w:val="0"/>
        <w:overflowPunct/>
        <w:topLinePunct w:val="0"/>
        <w:autoSpaceDE/>
        <w:autoSpaceDN/>
        <w:bidi w:val="0"/>
        <w:adjustRightInd/>
        <w:snapToGrid/>
        <w:spacing w:line="240" w:lineRule="atLeast"/>
        <w:ind w:firstLine="392" w:firstLineChars="200"/>
        <w:textAlignment w:val="auto"/>
        <w:rPr>
          <w:rFonts w:hint="eastAsia" w:ascii="Times New Roman" w:hAnsi="Times New Roman" w:eastAsia="宋体" w:cs="Times New Roman"/>
          <w:lang w:eastAsia="zh-CN"/>
        </w:rPr>
      </w:pPr>
      <w:r>
        <w:rPr>
          <w:rFonts w:hint="eastAsia" w:ascii="Times New Roman" w:hAnsi="Times New Roman" w:eastAsia="宋体" w:cs="Times New Roman"/>
        </w:rPr>
        <w:t>3.</w:t>
      </w:r>
      <w:r>
        <w:rPr>
          <w:rFonts w:ascii="Times New Roman" w:hAnsi="Times New Roman" w:eastAsia="宋体" w:cs="Times New Roman"/>
        </w:rPr>
        <w:t>《山西省资本市场县域工程试点实施方案》，</w:t>
      </w:r>
      <w:r>
        <w:fldChar w:fldCharType="begin"/>
      </w:r>
      <w:r>
        <w:instrText xml:space="preserve"> HYPERLINK "https://www.jcgov.gov.cn/dtxx/sxyw/201910/t20191016_508759.shtml" </w:instrText>
      </w:r>
      <w:r>
        <w:fldChar w:fldCharType="separate"/>
      </w:r>
      <w:r>
        <w:rPr>
          <w:rStyle w:val="26"/>
          <w:rFonts w:ascii="Times New Roman" w:hAnsi="Times New Roman" w:eastAsia="宋体" w:cs="Times New Roman"/>
        </w:rPr>
        <w:t>https://www</w:t>
      </w:r>
      <w:bookmarkStart w:id="1" w:name="_GoBack"/>
      <w:bookmarkEnd w:id="1"/>
      <w:r>
        <w:rPr>
          <w:rStyle w:val="26"/>
          <w:rFonts w:ascii="Times New Roman" w:hAnsi="Times New Roman" w:eastAsia="宋体" w:cs="Times New Roman"/>
        </w:rPr>
        <w:t>.jcgov.gov.cn/dtxx/sxyw/201910/t20191016_508759.shtml</w:t>
      </w:r>
      <w:r>
        <w:rPr>
          <w:rStyle w:val="26"/>
          <w:rFonts w:ascii="Times New Roman" w:hAnsi="Times New Roman" w:eastAsia="宋体" w:cs="Times New Roman"/>
        </w:rPr>
        <w:fldChar w:fldCharType="end"/>
      </w:r>
      <w:r>
        <w:rPr>
          <w:rStyle w:val="26"/>
          <w:rFonts w:hint="eastAsia" w:ascii="Times New Roman" w:hAnsi="Times New Roman" w:eastAsia="宋体" w:cs="Times New Roman"/>
          <w:lang w:eastAsia="zh-CN"/>
        </w:rPr>
        <w:t>。</w:t>
      </w:r>
    </w:p>
    <w:p>
      <w:pPr>
        <w:keepNext w:val="0"/>
        <w:keepLines w:val="0"/>
        <w:pageBreakBefore w:val="0"/>
        <w:widowControl w:val="0"/>
        <w:kinsoku/>
        <w:wordWrap w:val="0"/>
        <w:overflowPunct/>
        <w:topLinePunct w:val="0"/>
        <w:autoSpaceDE/>
        <w:autoSpaceDN/>
        <w:bidi w:val="0"/>
        <w:adjustRightInd/>
        <w:snapToGrid/>
        <w:spacing w:line="240" w:lineRule="atLeast"/>
        <w:ind w:firstLine="392" w:firstLineChars="200"/>
        <w:textAlignment w:val="auto"/>
        <w:rPr>
          <w:rFonts w:hint="eastAsia" w:ascii="Times New Roman" w:hAnsi="Times New Roman" w:eastAsia="宋体" w:cs="Times New Roman"/>
          <w:lang w:eastAsia="zh-CN"/>
        </w:rPr>
      </w:pPr>
      <w:r>
        <w:rPr>
          <w:rFonts w:hint="eastAsia" w:ascii="Times New Roman" w:hAnsi="Times New Roman" w:eastAsia="宋体" w:cs="Times New Roman"/>
        </w:rPr>
        <w:t>4.</w:t>
      </w:r>
      <w:r>
        <w:rPr>
          <w:rFonts w:ascii="Times New Roman" w:hAnsi="Times New Roman" w:eastAsia="宋体" w:cs="Times New Roman"/>
        </w:rPr>
        <w:t>《关于深化资本市场县域工程试点工作的通知》，</w:t>
      </w:r>
      <w:r>
        <w:fldChar w:fldCharType="begin"/>
      </w:r>
      <w:r>
        <w:instrText xml:space="preserve">HYPERLINK "https://jrjgj.shanxi.gov.cn/tzgg/tzgg_1760/202108/P020210806725923165751.pdf"</w:instrText>
      </w:r>
      <w:r>
        <w:fldChar w:fldCharType="separate"/>
      </w:r>
      <w:r>
        <w:rPr>
          <w:rStyle w:val="26"/>
          <w:rFonts w:ascii="Times New Roman" w:hAnsi="Times New Roman" w:eastAsia="宋体" w:cs="Times New Roman"/>
        </w:rPr>
        <w:t>https://jrjgj.shanxi.gov.cn/tzgg/tzgg_1760/202108/P020210806725923165751.pdf</w:t>
      </w:r>
      <w:r>
        <w:fldChar w:fldCharType="end"/>
      </w:r>
      <w:r>
        <w:rPr>
          <w:rFonts w:hint="eastAsia"/>
          <w:lang w:eastAsia="zh-CN"/>
        </w:rPr>
        <w:t>。</w:t>
      </w:r>
    </w:p>
    <w:p>
      <w:pPr>
        <w:keepNext w:val="0"/>
        <w:keepLines w:val="0"/>
        <w:pageBreakBefore w:val="0"/>
        <w:widowControl w:val="0"/>
        <w:kinsoku/>
        <w:wordWrap w:val="0"/>
        <w:overflowPunct/>
        <w:topLinePunct w:val="0"/>
        <w:autoSpaceDE/>
        <w:autoSpaceDN/>
        <w:bidi w:val="0"/>
        <w:adjustRightInd/>
        <w:snapToGrid/>
        <w:spacing w:line="240" w:lineRule="atLeast"/>
        <w:ind w:firstLine="392" w:firstLineChars="200"/>
        <w:textAlignment w:val="auto"/>
        <w:rPr>
          <w:rFonts w:hint="eastAsia" w:ascii="Times New Roman" w:hAnsi="Times New Roman" w:eastAsia="宋体" w:cs="Times New Roman"/>
          <w:lang w:eastAsia="zh-CN"/>
        </w:rPr>
      </w:pPr>
      <w:r>
        <w:rPr>
          <w:rFonts w:hint="eastAsia" w:ascii="Times New Roman" w:hAnsi="Times New Roman" w:eastAsia="宋体" w:cs="Times New Roman"/>
        </w:rPr>
        <w:t>5.</w:t>
      </w:r>
      <w:r>
        <w:rPr>
          <w:rFonts w:ascii="Times New Roman" w:hAnsi="Times New Roman" w:eastAsia="宋体" w:cs="Times New Roman"/>
        </w:rPr>
        <w:t>《2022年山西资本市场县域工程试点启动，新增试点县（市、区）17个，总数达到71个》，</w:t>
      </w:r>
      <w:r>
        <w:fldChar w:fldCharType="begin"/>
      </w:r>
      <w:r>
        <w:instrText xml:space="preserve">HYPERLINK "http://www.sohu.com/a/549708236_395101"</w:instrText>
      </w:r>
      <w:r>
        <w:fldChar w:fldCharType="separate"/>
      </w:r>
      <w:r>
        <w:rPr>
          <w:rStyle w:val="26"/>
          <w:rFonts w:ascii="Times New Roman" w:hAnsi="Times New Roman" w:eastAsia="宋体" w:cs="Times New Roman"/>
        </w:rPr>
        <w:t>www.sohu.com/a/549708236_395101</w:t>
      </w:r>
      <w:r>
        <w:fldChar w:fldCharType="end"/>
      </w:r>
      <w:r>
        <w:rPr>
          <w:rFonts w:hint="eastAsia"/>
          <w:lang w:eastAsia="zh-CN"/>
        </w:rPr>
        <w:t>。</w:t>
      </w:r>
    </w:p>
    <w:p>
      <w:pPr>
        <w:keepNext w:val="0"/>
        <w:keepLines w:val="0"/>
        <w:pageBreakBefore w:val="0"/>
        <w:widowControl w:val="0"/>
        <w:kinsoku/>
        <w:wordWrap w:val="0"/>
        <w:overflowPunct/>
        <w:topLinePunct w:val="0"/>
        <w:autoSpaceDE/>
        <w:autoSpaceDN/>
        <w:bidi w:val="0"/>
        <w:adjustRightInd/>
        <w:snapToGrid/>
        <w:spacing w:line="240" w:lineRule="atLeast"/>
        <w:ind w:firstLine="392" w:firstLineChars="200"/>
        <w:textAlignment w:val="auto"/>
        <w:rPr>
          <w:rFonts w:hint="eastAsia" w:ascii="Times New Roman" w:hAnsi="Times New Roman" w:eastAsia="宋体" w:cs="Times New Roman"/>
          <w:lang w:eastAsia="zh-CN"/>
        </w:rPr>
      </w:pPr>
      <w:r>
        <w:rPr>
          <w:rFonts w:hint="eastAsia" w:ascii="Times New Roman" w:hAnsi="Times New Roman" w:eastAsia="宋体" w:cs="Times New Roman"/>
        </w:rPr>
        <w:t>6.</w:t>
      </w:r>
      <w:r>
        <w:rPr>
          <w:rFonts w:ascii="Times New Roman" w:hAnsi="Times New Roman" w:eastAsia="宋体" w:cs="Times New Roman"/>
        </w:rPr>
        <w:t>在齐鲁股权交易中心官方网站中搜索县域资本市场工程，</w:t>
      </w:r>
      <w:r>
        <w:fldChar w:fldCharType="begin"/>
      </w:r>
      <w:r>
        <w:instrText xml:space="preserve">HYPERLINK "https://www.qiluguquan.com/index.php" \l "firstPage"</w:instrText>
      </w:r>
      <w:r>
        <w:fldChar w:fldCharType="separate"/>
      </w:r>
      <w:r>
        <w:rPr>
          <w:rStyle w:val="26"/>
          <w:rFonts w:ascii="Times New Roman" w:hAnsi="Times New Roman" w:eastAsia="宋体" w:cs="Times New Roman"/>
        </w:rPr>
        <w:t>https://www.qiluguquan.com/index.php#firstPage</w:t>
      </w:r>
      <w:r>
        <w:fldChar w:fldCharType="end"/>
      </w:r>
      <w:r>
        <w:rPr>
          <w:rFonts w:hint="eastAsia"/>
          <w:lang w:eastAsia="zh-CN"/>
        </w:rPr>
        <w:t>。</w:t>
      </w:r>
    </w:p>
    <w:p>
      <w:pPr>
        <w:keepNext w:val="0"/>
        <w:keepLines w:val="0"/>
        <w:pageBreakBefore w:val="0"/>
        <w:widowControl w:val="0"/>
        <w:kinsoku/>
        <w:wordWrap w:val="0"/>
        <w:overflowPunct/>
        <w:topLinePunct w:val="0"/>
        <w:autoSpaceDE/>
        <w:autoSpaceDN/>
        <w:bidi w:val="0"/>
        <w:adjustRightInd/>
        <w:snapToGrid/>
        <w:spacing w:line="240" w:lineRule="atLeast"/>
        <w:ind w:firstLine="392" w:firstLineChars="200"/>
        <w:textAlignment w:val="auto"/>
        <w:rPr>
          <w:rFonts w:hint="eastAsia" w:ascii="Times New Roman" w:hAnsi="Times New Roman" w:eastAsia="宋体" w:cs="Times New Roman"/>
          <w:lang w:eastAsia="zh-CN"/>
        </w:rPr>
      </w:pPr>
      <w:r>
        <w:rPr>
          <w:rFonts w:hint="eastAsia" w:ascii="Times New Roman" w:hAnsi="Times New Roman" w:eastAsia="宋体" w:cs="Times New Roman"/>
        </w:rPr>
        <w:t>7.</w:t>
      </w:r>
      <w:r>
        <w:rPr>
          <w:rFonts w:ascii="Times New Roman" w:hAnsi="Times New Roman" w:eastAsia="宋体" w:cs="Times New Roman"/>
        </w:rPr>
        <w:t>《</w:t>
      </w:r>
      <w:r>
        <w:rPr>
          <w:rFonts w:hint="eastAsia" w:ascii="宋体" w:hAnsi="宋体" w:eastAsia="宋体" w:cs="宋体"/>
        </w:rPr>
        <w:t>“资本市场县域融智创新工程”系列</w:t>
      </w:r>
      <w:r>
        <w:rPr>
          <w:rFonts w:ascii="Times New Roman" w:hAnsi="Times New Roman" w:eastAsia="宋体" w:cs="Times New Roman"/>
        </w:rPr>
        <w:t>活动》，</w:t>
      </w:r>
      <w:r>
        <w:fldChar w:fldCharType="begin"/>
      </w:r>
      <w:r>
        <w:instrText xml:space="preserve">HYPERLINK "https://mp.weixin.qq.com/s/CQbiCRhy1kzoUCA4SqHDsQ"</w:instrText>
      </w:r>
      <w:r>
        <w:fldChar w:fldCharType="separate"/>
      </w:r>
      <w:r>
        <w:rPr>
          <w:rStyle w:val="26"/>
          <w:rFonts w:ascii="Times New Roman" w:hAnsi="Times New Roman" w:eastAsia="宋体" w:cs="Times New Roman"/>
        </w:rPr>
        <w:t>https://mp.weixin.qq.com/s/CQbiCRhy1kzoUCA4SqHDsQ</w:t>
      </w:r>
      <w:r>
        <w:fldChar w:fldCharType="end"/>
      </w:r>
      <w:r>
        <w:rPr>
          <w:rFonts w:hint="eastAsia"/>
          <w:lang w:eastAsia="zh-CN"/>
        </w:rPr>
        <w:t>。</w:t>
      </w:r>
    </w:p>
    <w:p>
      <w:pPr>
        <w:keepNext w:val="0"/>
        <w:keepLines w:val="0"/>
        <w:pageBreakBefore w:val="0"/>
        <w:widowControl w:val="0"/>
        <w:kinsoku/>
        <w:wordWrap w:val="0"/>
        <w:overflowPunct/>
        <w:topLinePunct w:val="0"/>
        <w:autoSpaceDE/>
        <w:autoSpaceDN/>
        <w:bidi w:val="0"/>
        <w:adjustRightInd/>
        <w:snapToGrid/>
        <w:spacing w:line="240" w:lineRule="atLeast"/>
        <w:ind w:firstLine="392" w:firstLineChars="200"/>
        <w:textAlignment w:val="auto"/>
        <w:rPr>
          <w:rFonts w:hint="eastAsia" w:ascii="Times New Roman" w:hAnsi="Times New Roman" w:eastAsia="宋体" w:cs="Times New Roman"/>
          <w:lang w:eastAsia="zh-CN"/>
        </w:rPr>
      </w:pPr>
      <w:r>
        <w:rPr>
          <w:rFonts w:hint="eastAsia" w:ascii="Times New Roman" w:hAnsi="Times New Roman" w:eastAsia="宋体" w:cs="Times New Roman"/>
        </w:rPr>
        <w:t>8.</w:t>
      </w:r>
      <w:r>
        <w:rPr>
          <w:rFonts w:ascii="Times New Roman" w:hAnsi="Times New Roman" w:eastAsia="宋体" w:cs="Times New Roman"/>
        </w:rPr>
        <w:t>《南宁市人民政府办公室关于印发南宁市金融</w:t>
      </w:r>
      <w:r>
        <w:rPr>
          <w:rFonts w:hint="eastAsia" w:ascii="宋体" w:hAnsi="宋体" w:eastAsia="宋体" w:cs="宋体"/>
        </w:rPr>
        <w:t>业发展“十四五”规</w:t>
      </w:r>
      <w:r>
        <w:rPr>
          <w:rFonts w:ascii="Times New Roman" w:hAnsi="Times New Roman" w:eastAsia="宋体" w:cs="Times New Roman"/>
        </w:rPr>
        <w:t>划的通知》，</w:t>
      </w:r>
      <w:r>
        <w:fldChar w:fldCharType="begin"/>
      </w:r>
      <w:r>
        <w:instrText xml:space="preserve">HYPERLINK "https://fgw.nanning.gov.cn/fggz/fzgh/t5356394.html"</w:instrText>
      </w:r>
      <w:r>
        <w:fldChar w:fldCharType="separate"/>
      </w:r>
      <w:r>
        <w:rPr>
          <w:rStyle w:val="26"/>
          <w:rFonts w:ascii="Times New Roman" w:hAnsi="Times New Roman" w:eastAsia="宋体" w:cs="Times New Roman"/>
        </w:rPr>
        <w:t>https://fgw.nanning.gov.cn/fggz/fzgh/t5356394.html</w:t>
      </w:r>
      <w:r>
        <w:fldChar w:fldCharType="end"/>
      </w:r>
      <w:r>
        <w:rPr>
          <w:rFonts w:hint="eastAsia"/>
          <w:lang w:eastAsia="zh-CN"/>
        </w:rPr>
        <w:t>。</w:t>
      </w:r>
    </w:p>
    <w:p>
      <w:pPr>
        <w:keepNext w:val="0"/>
        <w:keepLines w:val="0"/>
        <w:pageBreakBefore w:val="0"/>
        <w:widowControl w:val="0"/>
        <w:kinsoku/>
        <w:wordWrap w:val="0"/>
        <w:overflowPunct/>
        <w:topLinePunct w:val="0"/>
        <w:autoSpaceDE/>
        <w:autoSpaceDN/>
        <w:bidi w:val="0"/>
        <w:adjustRightInd/>
        <w:snapToGrid/>
        <w:spacing w:line="240" w:lineRule="atLeast"/>
        <w:ind w:firstLine="392" w:firstLineChars="200"/>
        <w:textAlignment w:val="auto"/>
        <w:rPr>
          <w:rFonts w:hint="eastAsia" w:ascii="Times New Roman" w:hAnsi="Times New Roman" w:eastAsia="宋体" w:cs="Times New Roman"/>
          <w:lang w:eastAsia="zh-CN"/>
        </w:rPr>
      </w:pPr>
      <w:r>
        <w:rPr>
          <w:rFonts w:hint="eastAsia" w:ascii="Times New Roman" w:hAnsi="Times New Roman" w:eastAsia="宋体" w:cs="Times New Roman"/>
        </w:rPr>
        <w:t>9.</w:t>
      </w:r>
      <w:r>
        <w:rPr>
          <w:rFonts w:ascii="Times New Roman" w:hAnsi="Times New Roman" w:eastAsia="宋体" w:cs="Times New Roman"/>
        </w:rPr>
        <w:t>《省地方金融监管局关于公布区域性股权市场浙江创新试点首批试点市、县（市、区）名单的通知》（浙金管〔2022〕32号），</w:t>
      </w:r>
      <w:r>
        <w:fldChar w:fldCharType="begin"/>
      </w:r>
      <w:r>
        <w:instrText xml:space="preserve">HYPERLINK "https://gov.sohu.com/a/567668310_120180397"</w:instrText>
      </w:r>
      <w:r>
        <w:fldChar w:fldCharType="separate"/>
      </w:r>
      <w:r>
        <w:rPr>
          <w:rStyle w:val="26"/>
          <w:rFonts w:ascii="Times New Roman" w:hAnsi="Times New Roman" w:eastAsia="宋体" w:cs="Times New Roman"/>
        </w:rPr>
        <w:t>https://gov.sohu.com/a/567668310_120180397</w:t>
      </w:r>
      <w:r>
        <w:fldChar w:fldCharType="end"/>
      </w:r>
      <w:r>
        <w:rPr>
          <w:rFonts w:hint="eastAsia"/>
          <w:lang w:eastAsia="zh-CN"/>
        </w:rPr>
        <w:t>。</w:t>
      </w:r>
    </w:p>
    <w:p>
      <w:pPr>
        <w:keepNext w:val="0"/>
        <w:keepLines w:val="0"/>
        <w:pageBreakBefore w:val="0"/>
        <w:widowControl w:val="0"/>
        <w:kinsoku/>
        <w:wordWrap w:val="0"/>
        <w:overflowPunct/>
        <w:topLinePunct w:val="0"/>
        <w:autoSpaceDE/>
        <w:autoSpaceDN/>
        <w:bidi w:val="0"/>
        <w:adjustRightInd/>
        <w:snapToGrid/>
        <w:spacing w:line="240" w:lineRule="atLeast"/>
        <w:ind w:firstLine="392" w:firstLineChars="200"/>
        <w:textAlignment w:val="auto"/>
        <w:rPr>
          <w:rFonts w:hint="eastAsia" w:ascii="Times New Roman" w:hAnsi="Times New Roman" w:eastAsia="宋体" w:cs="Times New Roman"/>
          <w:lang w:eastAsia="zh-CN"/>
        </w:rPr>
      </w:pPr>
      <w:r>
        <w:rPr>
          <w:rFonts w:hint="eastAsia" w:ascii="Times New Roman" w:hAnsi="Times New Roman" w:eastAsia="宋体" w:cs="Times New Roman"/>
        </w:rPr>
        <w:t>10.</w:t>
      </w:r>
      <w:r>
        <w:rPr>
          <w:rFonts w:ascii="Times New Roman" w:hAnsi="Times New Roman" w:eastAsia="宋体" w:cs="Times New Roman"/>
        </w:rPr>
        <w:t>《北交所、全国股转系统重庆服务基地揭牌》，</w:t>
      </w:r>
      <w:r>
        <w:fldChar w:fldCharType="begin"/>
      </w:r>
      <w:r>
        <w:instrText xml:space="preserve">HYPERLINK "https://www.cs.com.cn/xwzx/hg/202205/t20220520_6270574.html"</w:instrText>
      </w:r>
      <w:r>
        <w:fldChar w:fldCharType="separate"/>
      </w:r>
      <w:r>
        <w:rPr>
          <w:rStyle w:val="26"/>
          <w:rFonts w:ascii="Times New Roman" w:hAnsi="Times New Roman" w:eastAsia="宋体" w:cs="Times New Roman"/>
        </w:rPr>
        <w:t>https://www.cs.com.cn/xwzx/hg/202205/t20220520_6270574.html</w:t>
      </w:r>
      <w:r>
        <w:fldChar w:fldCharType="end"/>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before="366" w:beforeLines="100" w:line="480" w:lineRule="auto"/>
        <w:jc w:val="center"/>
        <w:textAlignment w:val="auto"/>
        <w:rPr>
          <w:rFonts w:hint="eastAsia" w:ascii="黑体" w:hAnsi="黑体" w:eastAsia="黑体"/>
          <w:color w:val="000000" w:themeColor="text1"/>
          <w:sz w:val="24"/>
          <w14:textFill>
            <w14:solidFill>
              <w14:schemeClr w14:val="tx1"/>
            </w14:solidFill>
          </w14:textFill>
        </w:rPr>
      </w:pPr>
      <w:r>
        <w:rPr>
          <w:rFonts w:hint="eastAsia" w:ascii="黑体" w:hAnsi="黑体" w:eastAsia="黑体"/>
          <w:color w:val="000000" w:themeColor="text1"/>
          <w:sz w:val="24"/>
          <w14:textFill>
            <w14:solidFill>
              <w14:schemeClr w14:val="tx1"/>
            </w14:solidFill>
          </w14:textFill>
        </w:rPr>
        <w:t>附录四  部分变量的筛选条件</w:t>
      </w:r>
    </w:p>
    <w:p>
      <w:pPr>
        <w:spacing w:line="240" w:lineRule="atLeast"/>
        <w:ind w:firstLine="392" w:firstLineChars="200"/>
        <w:rPr>
          <w:rFonts w:hint="eastAsia" w:ascii="宋体" w:hAnsi="宋体" w:eastAsia="宋体" w:cs="宋体"/>
        </w:rPr>
      </w:pPr>
      <w:r>
        <w:rPr>
          <w:rFonts w:ascii="Times New Roman" w:hAnsi="Times New Roman" w:eastAsia="宋体" w:cs="Times New Roman"/>
        </w:rPr>
        <w:t>1.每</w:t>
      </w:r>
      <w:r>
        <w:rPr>
          <w:rFonts w:hint="eastAsia" w:ascii="宋体" w:hAnsi="宋体" w:eastAsia="宋体" w:cs="宋体"/>
        </w:rPr>
        <w:t>年新增企业数量：在“企业类型”中用“公司”进行筛选。</w:t>
      </w:r>
    </w:p>
    <w:p>
      <w:pPr>
        <w:spacing w:line="240" w:lineRule="atLeast"/>
        <w:ind w:firstLine="392" w:firstLineChars="200"/>
        <w:rPr>
          <w:rFonts w:hint="eastAsia" w:ascii="宋体" w:hAnsi="宋体" w:eastAsia="宋体" w:cs="宋体"/>
        </w:rPr>
      </w:pPr>
      <w:r>
        <w:rPr>
          <w:rFonts w:ascii="Times New Roman" w:hAnsi="Times New Roman" w:eastAsia="宋体" w:cs="Times New Roman"/>
        </w:rPr>
        <w:t>2.每年新增农林牧渔服务业工</w:t>
      </w:r>
      <w:r>
        <w:rPr>
          <w:rFonts w:hint="eastAsia" w:ascii="宋体" w:hAnsi="宋体" w:eastAsia="宋体" w:cs="宋体"/>
        </w:rPr>
        <w:t>商企业注册数量：在“所属行业”中用“农、林、牧、渔服务业”进行筛选。</w:t>
      </w:r>
    </w:p>
    <w:p>
      <w:pPr>
        <w:spacing w:line="240" w:lineRule="atLeast"/>
        <w:ind w:firstLine="392" w:firstLineChars="200"/>
        <w:rPr>
          <w:rFonts w:hint="eastAsia" w:ascii="宋体" w:hAnsi="宋体" w:eastAsia="宋体" w:cs="宋体"/>
        </w:rPr>
      </w:pPr>
      <w:r>
        <w:rPr>
          <w:rFonts w:ascii="Times New Roman" w:hAnsi="Times New Roman" w:eastAsia="宋体" w:cs="Times New Roman"/>
        </w:rPr>
        <w:t>3.每年新增农副食品加工业工商企业注册</w:t>
      </w:r>
      <w:r>
        <w:rPr>
          <w:rFonts w:hint="eastAsia" w:ascii="宋体" w:hAnsi="宋体" w:eastAsia="宋体" w:cs="宋体"/>
        </w:rPr>
        <w:t>数量：在“所属行业”中用“农副食品加工业”进行筛选。</w:t>
      </w:r>
    </w:p>
    <w:p>
      <w:pPr>
        <w:spacing w:line="240" w:lineRule="atLeast"/>
        <w:ind w:firstLine="392" w:firstLineChars="200"/>
        <w:rPr>
          <w:rFonts w:ascii="Times New Roman" w:hAnsi="Times New Roman" w:eastAsia="宋体" w:cs="Times New Roman"/>
        </w:rPr>
      </w:pPr>
      <w:r>
        <w:rPr>
          <w:rFonts w:ascii="Times New Roman" w:hAnsi="Times New Roman" w:eastAsia="宋体" w:cs="Times New Roman"/>
        </w:rPr>
        <w:t>4.每年新增个体工商户</w:t>
      </w:r>
      <w:r>
        <w:rPr>
          <w:rFonts w:hint="eastAsia" w:ascii="宋体" w:hAnsi="宋体" w:eastAsia="宋体" w:cs="宋体"/>
        </w:rPr>
        <w:t>数量：在“企业类型”中用“个体”和“个体工商户”进行筛选</w:t>
      </w:r>
      <w:r>
        <w:rPr>
          <w:rFonts w:ascii="Times New Roman" w:hAnsi="Times New Roman" w:eastAsia="宋体" w:cs="Times New Roman"/>
        </w:rPr>
        <w:t>。</w:t>
      </w:r>
    </w:p>
    <w:p>
      <w:pPr>
        <w:spacing w:line="240" w:lineRule="atLeast"/>
        <w:ind w:firstLine="392" w:firstLineChars="200"/>
        <w:rPr>
          <w:rFonts w:ascii="Times New Roman" w:hAnsi="Times New Roman" w:eastAsia="宋体" w:cs="Times New Roman"/>
        </w:rPr>
      </w:pPr>
      <w:r>
        <w:rPr>
          <w:rFonts w:ascii="Times New Roman" w:hAnsi="Times New Roman" w:eastAsia="宋体" w:cs="Times New Roman"/>
        </w:rPr>
        <w:t>5.县域当年新增股份制企业</w:t>
      </w:r>
      <w:r>
        <w:rPr>
          <w:rFonts w:hint="eastAsia" w:ascii="宋体" w:hAnsi="宋体" w:eastAsia="宋体" w:cs="宋体"/>
        </w:rPr>
        <w:t>数量：在“企业类型”中用“股份有限公司”进行</w:t>
      </w:r>
      <w:r>
        <w:rPr>
          <w:rFonts w:ascii="Times New Roman" w:hAnsi="Times New Roman" w:eastAsia="宋体" w:cs="Times New Roman"/>
        </w:rPr>
        <w:t>筛选。</w:t>
      </w:r>
    </w:p>
    <w:p>
      <w:pPr>
        <w:keepNext w:val="0"/>
        <w:keepLines w:val="0"/>
        <w:pageBreakBefore w:val="0"/>
        <w:widowControl w:val="0"/>
        <w:kinsoku/>
        <w:wordWrap/>
        <w:overflowPunct/>
        <w:topLinePunct w:val="0"/>
        <w:autoSpaceDE/>
        <w:autoSpaceDN/>
        <w:bidi w:val="0"/>
        <w:adjustRightInd/>
        <w:snapToGrid/>
        <w:spacing w:before="366" w:beforeLines="100" w:line="480" w:lineRule="auto"/>
        <w:jc w:val="center"/>
        <w:textAlignment w:val="auto"/>
        <w:rPr>
          <w:rFonts w:hint="eastAsia" w:ascii="黑体" w:hAnsi="黑体" w:eastAsia="黑体"/>
          <w:color w:val="000000" w:themeColor="text1"/>
          <w:sz w:val="24"/>
          <w14:textFill>
            <w14:solidFill>
              <w14:schemeClr w14:val="tx1"/>
            </w14:solidFill>
          </w14:textFill>
        </w:rPr>
      </w:pPr>
      <w:r>
        <w:rPr>
          <w:rFonts w:hint="eastAsia" w:ascii="黑体" w:hAnsi="黑体" w:eastAsia="黑体"/>
          <w:color w:val="000000" w:themeColor="text1"/>
          <w:sz w:val="24"/>
          <w14:textFill>
            <w14:solidFill>
              <w14:schemeClr w14:val="tx1"/>
            </w14:solidFill>
          </w14:textFill>
        </w:rPr>
        <w:t>附录五  带有控制变量结果的完整回归表格</w:t>
      </w:r>
    </w:p>
    <w:p>
      <w:pPr>
        <w:pStyle w:val="9"/>
        <w:keepNext/>
        <w:ind w:firstLine="332" w:firstLineChars="200"/>
        <w:rPr>
          <w:rFonts w:ascii="Times New Roman" w:hAnsi="Times New Roman" w:cs="Times New Roman"/>
          <w:sz w:val="18"/>
          <w:szCs w:val="18"/>
        </w:rPr>
      </w:pPr>
      <w:r>
        <w:rPr>
          <w:rFonts w:ascii="Times New Roman" w:hAnsi="Times New Roman" w:cs="Times New Roman"/>
          <w:sz w:val="18"/>
          <w:szCs w:val="18"/>
        </w:rPr>
        <w:t>附表</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附表 \* ARABIC </w:instrText>
      </w:r>
      <w:r>
        <w:rPr>
          <w:rFonts w:ascii="Times New Roman" w:hAnsi="Times New Roman" w:cs="Times New Roman"/>
          <w:sz w:val="18"/>
          <w:szCs w:val="18"/>
        </w:rPr>
        <w:fldChar w:fldCharType="separate"/>
      </w:r>
      <w:r>
        <w:rPr>
          <w:rFonts w:ascii="Times New Roman" w:hAnsi="Times New Roman" w:cs="Times New Roman"/>
          <w:sz w:val="18"/>
          <w:szCs w:val="18"/>
        </w:rPr>
        <w:t>3</w:t>
      </w:r>
      <w:r>
        <w:rPr>
          <w:rFonts w:ascii="Times New Roman" w:hAnsi="Times New Roman" w:cs="Times New Roman"/>
          <w:sz w:val="18"/>
          <w:szCs w:val="18"/>
        </w:rPr>
        <w:fldChar w:fldCharType="end"/>
      </w:r>
      <w:r>
        <w:rPr>
          <w:rFonts w:hint="eastAsia" w:ascii="Times New Roman" w:hAnsi="Times New Roman" w:cs="Times New Roman"/>
          <w:sz w:val="18"/>
          <w:szCs w:val="18"/>
        </w:rPr>
        <w:t xml:space="preserve">                资本市场服务下沉影响县域经济增长的基准回归结果</w:t>
      </w:r>
    </w:p>
    <w:tbl>
      <w:tblPr>
        <w:tblStyle w:val="34"/>
        <w:tblW w:w="8672" w:type="dxa"/>
        <w:jc w:val="center"/>
        <w:tblInd w:w="162"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57" w:type="dxa"/>
          <w:bottom w:w="0" w:type="dxa"/>
          <w:right w:w="57" w:type="dxa"/>
        </w:tblCellMar>
      </w:tblPr>
      <w:tblGrid>
        <w:gridCol w:w="1478"/>
        <w:gridCol w:w="1260"/>
        <w:gridCol w:w="1442"/>
        <w:gridCol w:w="1131"/>
        <w:gridCol w:w="1316"/>
        <w:gridCol w:w="923"/>
        <w:gridCol w:w="1122"/>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57" w:type="dxa"/>
            <w:bottom w:w="0" w:type="dxa"/>
            <w:right w:w="57" w:type="dxa"/>
          </w:tblCellMar>
        </w:tblPrEx>
        <w:trPr>
          <w:trHeight w:val="317" w:hRule="atLeast"/>
          <w:jc w:val="center"/>
        </w:trPr>
        <w:tc>
          <w:tcPr>
            <w:tcW w:w="1478" w:type="dxa"/>
            <w:vMerge w:val="restart"/>
            <w:tcBorders>
              <w:top w:val="single" w:color="auto" w:sz="12" w:space="0"/>
              <w:right w:val="single" w:color="auto" w:sz="4" w:space="0"/>
            </w:tcBorders>
            <w:vAlign w:val="center"/>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变量</w:t>
            </w:r>
          </w:p>
        </w:tc>
        <w:tc>
          <w:tcPr>
            <w:tcW w:w="1260" w:type="dxa"/>
            <w:tcBorders>
              <w:top w:val="single" w:color="auto" w:sz="12" w:space="0"/>
              <w:left w:val="single" w:color="auto" w:sz="4" w:space="0"/>
              <w:bottom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442" w:type="dxa"/>
            <w:tcBorders>
              <w:top w:val="single" w:color="auto" w:sz="12" w:space="0"/>
              <w:bottom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w:t>
            </w:r>
          </w:p>
        </w:tc>
        <w:tc>
          <w:tcPr>
            <w:tcW w:w="1131" w:type="dxa"/>
            <w:tcBorders>
              <w:top w:val="single" w:color="auto" w:sz="12" w:space="0"/>
              <w:bottom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（3）</w:t>
            </w:r>
          </w:p>
        </w:tc>
        <w:tc>
          <w:tcPr>
            <w:tcW w:w="1316" w:type="dxa"/>
            <w:tcBorders>
              <w:top w:val="single" w:color="auto" w:sz="12" w:space="0"/>
              <w:bottom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w:t>
            </w:r>
          </w:p>
        </w:tc>
        <w:tc>
          <w:tcPr>
            <w:tcW w:w="923" w:type="dxa"/>
            <w:tcBorders>
              <w:top w:val="single" w:color="auto" w:sz="12" w:space="0"/>
              <w:bottom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（5）</w:t>
            </w:r>
          </w:p>
        </w:tc>
        <w:tc>
          <w:tcPr>
            <w:tcW w:w="1122" w:type="dxa"/>
            <w:tcBorders>
              <w:top w:val="single" w:color="auto" w:sz="12" w:space="0"/>
              <w:bottom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57" w:type="dxa"/>
            <w:bottom w:w="0" w:type="dxa"/>
            <w:right w:w="57" w:type="dxa"/>
          </w:tblCellMar>
        </w:tblPrEx>
        <w:trPr>
          <w:trHeight w:val="317" w:hRule="atLeast"/>
          <w:jc w:val="center"/>
        </w:trPr>
        <w:tc>
          <w:tcPr>
            <w:tcW w:w="1478" w:type="dxa"/>
            <w:vMerge w:val="continue"/>
            <w:tcBorders>
              <w:bottom w:val="single" w:color="auto" w:sz="6" w:space="0"/>
              <w:right w:val="single" w:color="auto" w:sz="4" w:space="0"/>
            </w:tcBorders>
          </w:tcPr>
          <w:p>
            <w:pPr>
              <w:spacing w:line="300" w:lineRule="exact"/>
              <w:jc w:val="center"/>
              <w:rPr>
                <w:rFonts w:ascii="Times New Roman" w:hAnsi="Times New Roman" w:eastAsia="宋体" w:cs="Times New Roman"/>
                <w:kern w:val="0"/>
                <w:sz w:val="18"/>
                <w:szCs w:val="18"/>
              </w:rPr>
            </w:pPr>
          </w:p>
        </w:tc>
        <w:tc>
          <w:tcPr>
            <w:tcW w:w="1260" w:type="dxa"/>
            <w:tcBorders>
              <w:top w:val="nil"/>
              <w:left w:val="single" w:color="auto" w:sz="4" w:space="0"/>
              <w:bottom w:val="single" w:color="auto" w:sz="6"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县域经济</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发展水平</w:t>
            </w:r>
          </w:p>
        </w:tc>
        <w:tc>
          <w:tcPr>
            <w:tcW w:w="1442" w:type="dxa"/>
            <w:tcBorders>
              <w:top w:val="nil"/>
              <w:bottom w:val="single" w:color="auto" w:sz="6"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未来一期的县域</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经济发展水平</w:t>
            </w:r>
          </w:p>
        </w:tc>
        <w:tc>
          <w:tcPr>
            <w:tcW w:w="1131" w:type="dxa"/>
            <w:tcBorders>
              <w:top w:val="nil"/>
              <w:bottom w:val="single" w:color="auto" w:sz="6"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工业发展水平</w:t>
            </w:r>
          </w:p>
        </w:tc>
        <w:tc>
          <w:tcPr>
            <w:tcW w:w="1316" w:type="dxa"/>
            <w:tcBorders>
              <w:top w:val="nil"/>
              <w:bottom w:val="single" w:color="auto" w:sz="6"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未来一期的工业产业发展水平</w:t>
            </w:r>
          </w:p>
        </w:tc>
        <w:tc>
          <w:tcPr>
            <w:tcW w:w="923" w:type="dxa"/>
            <w:tcBorders>
              <w:top w:val="nil"/>
              <w:bottom w:val="single" w:color="auto" w:sz="6"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农业发展</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水平</w:t>
            </w:r>
          </w:p>
        </w:tc>
        <w:tc>
          <w:tcPr>
            <w:tcW w:w="1122" w:type="dxa"/>
            <w:tcBorders>
              <w:top w:val="nil"/>
              <w:bottom w:val="single" w:color="auto" w:sz="6"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未来一期的</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农业发展水平</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57" w:type="dxa"/>
            <w:bottom w:w="0" w:type="dxa"/>
            <w:right w:w="57" w:type="dxa"/>
          </w:tblCellMar>
        </w:tblPrEx>
        <w:trPr>
          <w:trHeight w:val="317" w:hRule="atLeast"/>
          <w:jc w:val="center"/>
        </w:trPr>
        <w:tc>
          <w:tcPr>
            <w:tcW w:w="1478" w:type="dxa"/>
            <w:tcBorders>
              <w:top w:val="single" w:color="auto" w:sz="6" w:space="0"/>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资本市场服务下沉</w:t>
            </w:r>
          </w:p>
        </w:tc>
        <w:tc>
          <w:tcPr>
            <w:tcW w:w="1260" w:type="dxa"/>
            <w:tcBorders>
              <w:top w:val="single" w:color="auto" w:sz="6" w:space="0"/>
              <w:left w:val="single" w:color="auto" w:sz="4" w:space="0"/>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0.163</w:t>
            </w:r>
            <w:r>
              <w:rPr>
                <w:rFonts w:hint="eastAsia" w:ascii="Times New Roman" w:hAnsi="Times New Roman" w:eastAsia="宋体" w:cs="Times New Roman"/>
                <w:kern w:val="0"/>
                <w:sz w:val="18"/>
                <w:szCs w:val="18"/>
              </w:rPr>
              <w:t>5</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（0.032</w:t>
            </w:r>
            <w:r>
              <w:rPr>
                <w:rFonts w:hint="eastAsia" w:ascii="Times New Roman" w:hAnsi="Times New Roman" w:eastAsia="宋体" w:cs="Times New Roman"/>
                <w:kern w:val="0"/>
                <w:sz w:val="18"/>
                <w:szCs w:val="18"/>
              </w:rPr>
              <w:t>8</w:t>
            </w:r>
            <w:r>
              <w:rPr>
                <w:rFonts w:ascii="Times New Roman" w:hAnsi="Times New Roman" w:eastAsia="宋体" w:cs="Times New Roman"/>
                <w:kern w:val="0"/>
                <w:sz w:val="18"/>
                <w:szCs w:val="18"/>
              </w:rPr>
              <w:t>）</w:t>
            </w:r>
          </w:p>
        </w:tc>
        <w:tc>
          <w:tcPr>
            <w:tcW w:w="1442" w:type="dxa"/>
            <w:tcBorders>
              <w:top w:val="single" w:color="auto" w:sz="6" w:space="0"/>
            </w:tcBorders>
          </w:tcPr>
          <w:p>
            <w:pPr>
              <w:spacing w:line="300" w:lineRule="exact"/>
              <w:jc w:val="center"/>
              <w:rPr>
                <w:rFonts w:hint="eastAsia"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0.1645</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（0.0356）</w:t>
            </w:r>
          </w:p>
        </w:tc>
        <w:tc>
          <w:tcPr>
            <w:tcW w:w="1131" w:type="dxa"/>
            <w:tcBorders>
              <w:top w:val="single" w:color="auto" w:sz="6" w:space="0"/>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0.079</w:t>
            </w:r>
            <w:r>
              <w:rPr>
                <w:rFonts w:hint="eastAsia" w:ascii="Times New Roman" w:hAnsi="Times New Roman" w:eastAsia="宋体" w:cs="Times New Roman"/>
                <w:kern w:val="0"/>
                <w:sz w:val="18"/>
                <w:szCs w:val="18"/>
              </w:rPr>
              <w:t>5</w:t>
            </w:r>
            <w:r>
              <w:rPr>
                <w:rFonts w:hint="eastAsia"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（0.038</w:t>
            </w:r>
            <w:r>
              <w:rPr>
                <w:rFonts w:hint="eastAsia" w:ascii="Times New Roman" w:hAnsi="Times New Roman" w:eastAsia="宋体" w:cs="Times New Roman"/>
                <w:kern w:val="0"/>
                <w:sz w:val="18"/>
                <w:szCs w:val="18"/>
              </w:rPr>
              <w:t>8</w:t>
            </w:r>
            <w:r>
              <w:rPr>
                <w:rFonts w:ascii="Times New Roman" w:hAnsi="Times New Roman" w:eastAsia="宋体" w:cs="Times New Roman"/>
                <w:kern w:val="0"/>
                <w:sz w:val="18"/>
                <w:szCs w:val="18"/>
              </w:rPr>
              <w:t>）</w:t>
            </w:r>
          </w:p>
        </w:tc>
        <w:tc>
          <w:tcPr>
            <w:tcW w:w="1316" w:type="dxa"/>
            <w:tcBorders>
              <w:top w:val="single" w:color="auto" w:sz="6" w:space="0"/>
            </w:tcBorders>
          </w:tcPr>
          <w:p>
            <w:pPr>
              <w:spacing w:line="300" w:lineRule="exact"/>
              <w:jc w:val="center"/>
              <w:rPr>
                <w:rFonts w:hint="eastAsia"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0.0736</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（0.0373）</w:t>
            </w:r>
          </w:p>
        </w:tc>
        <w:tc>
          <w:tcPr>
            <w:tcW w:w="923" w:type="dxa"/>
            <w:tcBorders>
              <w:top w:val="single" w:color="auto" w:sz="6" w:space="0"/>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0.104</w:t>
            </w:r>
            <w:r>
              <w:rPr>
                <w:rFonts w:hint="eastAsia" w:ascii="Times New Roman" w:hAnsi="Times New Roman" w:eastAsia="宋体" w:cs="Times New Roman"/>
                <w:kern w:val="0"/>
                <w:sz w:val="18"/>
                <w:szCs w:val="18"/>
              </w:rPr>
              <w:t>6</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（0.029</w:t>
            </w:r>
            <w:r>
              <w:rPr>
                <w:rFonts w:hint="eastAsia" w:ascii="Times New Roman" w:hAnsi="Times New Roman" w:eastAsia="宋体" w:cs="Times New Roman"/>
                <w:kern w:val="0"/>
                <w:sz w:val="18"/>
                <w:szCs w:val="18"/>
              </w:rPr>
              <w:t>6</w:t>
            </w:r>
            <w:r>
              <w:rPr>
                <w:rFonts w:ascii="Times New Roman" w:hAnsi="Times New Roman" w:eastAsia="宋体" w:cs="Times New Roman"/>
                <w:kern w:val="0"/>
                <w:sz w:val="18"/>
                <w:szCs w:val="18"/>
              </w:rPr>
              <w:t>）</w:t>
            </w:r>
          </w:p>
        </w:tc>
        <w:tc>
          <w:tcPr>
            <w:tcW w:w="1122" w:type="dxa"/>
            <w:tcBorders>
              <w:top w:val="single" w:color="auto" w:sz="6" w:space="0"/>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0.0859</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（0.0282）</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57" w:type="dxa"/>
            <w:bottom w:w="0" w:type="dxa"/>
            <w:right w:w="57" w:type="dxa"/>
          </w:tblCellMar>
        </w:tblPrEx>
        <w:trPr>
          <w:trHeight w:val="317" w:hRule="atLeast"/>
          <w:jc w:val="center"/>
        </w:trPr>
        <w:tc>
          <w:tcPr>
            <w:tcW w:w="1478" w:type="dxa"/>
            <w:tcBorders>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农民收入水平</w:t>
            </w:r>
          </w:p>
        </w:tc>
        <w:tc>
          <w:tcPr>
            <w:tcW w:w="1260" w:type="dxa"/>
            <w:tcBorders>
              <w:left w:val="single" w:color="auto" w:sz="4" w:space="0"/>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0.4565</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（0.088</w:t>
            </w:r>
            <w:r>
              <w:rPr>
                <w:rFonts w:hint="eastAsia" w:ascii="Times New Roman" w:hAnsi="Times New Roman" w:eastAsia="宋体" w:cs="Times New Roman"/>
                <w:kern w:val="0"/>
                <w:sz w:val="18"/>
                <w:szCs w:val="18"/>
              </w:rPr>
              <w:t>1</w:t>
            </w:r>
            <w:r>
              <w:rPr>
                <w:rFonts w:ascii="Times New Roman" w:hAnsi="Times New Roman" w:eastAsia="宋体" w:cs="Times New Roman"/>
                <w:kern w:val="0"/>
                <w:sz w:val="18"/>
                <w:szCs w:val="18"/>
              </w:rPr>
              <w:t>）</w:t>
            </w:r>
          </w:p>
        </w:tc>
        <w:tc>
          <w:tcPr>
            <w:tcW w:w="1442" w:type="dxa"/>
          </w:tcPr>
          <w:p>
            <w:pPr>
              <w:spacing w:line="300" w:lineRule="exact"/>
              <w:jc w:val="center"/>
              <w:rPr>
                <w:rFonts w:hint="eastAsia"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0.3375</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（0.0904）</w:t>
            </w:r>
          </w:p>
        </w:tc>
        <w:tc>
          <w:tcPr>
            <w:tcW w:w="1131" w:type="dxa"/>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0.224</w:t>
            </w:r>
            <w:r>
              <w:rPr>
                <w:rFonts w:hint="eastAsia" w:ascii="Times New Roman" w:hAnsi="Times New Roman" w:eastAsia="宋体" w:cs="Times New Roman"/>
                <w:kern w:val="0"/>
                <w:sz w:val="18"/>
                <w:szCs w:val="18"/>
              </w:rPr>
              <w:t>5</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（0.2034）</w:t>
            </w:r>
          </w:p>
        </w:tc>
        <w:tc>
          <w:tcPr>
            <w:tcW w:w="1316" w:type="dxa"/>
          </w:tcPr>
          <w:p>
            <w:pPr>
              <w:spacing w:line="300" w:lineRule="exact"/>
              <w:jc w:val="center"/>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0.2335</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（0.1910）</w:t>
            </w:r>
          </w:p>
        </w:tc>
        <w:tc>
          <w:tcPr>
            <w:tcW w:w="923" w:type="dxa"/>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0.336</w:t>
            </w:r>
            <w:r>
              <w:rPr>
                <w:rFonts w:hint="eastAsia" w:ascii="Times New Roman" w:hAnsi="Times New Roman" w:eastAsia="宋体" w:cs="Times New Roman"/>
                <w:kern w:val="0"/>
                <w:sz w:val="18"/>
                <w:szCs w:val="18"/>
              </w:rPr>
              <w:t>5</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（0.108</w:t>
            </w:r>
            <w:r>
              <w:rPr>
                <w:rFonts w:hint="eastAsia" w:ascii="Times New Roman" w:hAnsi="Times New Roman" w:eastAsia="宋体" w:cs="Times New Roman"/>
                <w:kern w:val="0"/>
                <w:sz w:val="18"/>
                <w:szCs w:val="18"/>
              </w:rPr>
              <w:t>2</w:t>
            </w:r>
            <w:r>
              <w:rPr>
                <w:rFonts w:ascii="Times New Roman" w:hAnsi="Times New Roman" w:eastAsia="宋体" w:cs="Times New Roman"/>
                <w:kern w:val="0"/>
                <w:sz w:val="18"/>
                <w:szCs w:val="18"/>
              </w:rPr>
              <w:t>）</w:t>
            </w:r>
          </w:p>
        </w:tc>
        <w:tc>
          <w:tcPr>
            <w:tcW w:w="1122" w:type="dxa"/>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0.3077</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（0.1044）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57" w:type="dxa"/>
            <w:bottom w:w="0" w:type="dxa"/>
            <w:right w:w="57" w:type="dxa"/>
          </w:tblCellMar>
        </w:tblPrEx>
        <w:trPr>
          <w:trHeight w:val="317" w:hRule="atLeast"/>
          <w:jc w:val="center"/>
        </w:trPr>
        <w:tc>
          <w:tcPr>
            <w:tcW w:w="1478" w:type="dxa"/>
            <w:tcBorders>
              <w:bottom w:val="single" w:color="auto" w:sz="4" w:space="0"/>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存款水平</w:t>
            </w:r>
          </w:p>
        </w:tc>
        <w:tc>
          <w:tcPr>
            <w:tcW w:w="1260" w:type="dxa"/>
            <w:tcBorders>
              <w:left w:val="single" w:color="auto" w:sz="4" w:space="0"/>
              <w:bottom w:val="single" w:color="auto" w:sz="4" w:space="0"/>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0.1723</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（0.061</w:t>
            </w:r>
            <w:r>
              <w:rPr>
                <w:rFonts w:hint="eastAsia" w:ascii="Times New Roman" w:hAnsi="Times New Roman" w:eastAsia="宋体" w:cs="Times New Roman"/>
                <w:kern w:val="0"/>
                <w:sz w:val="18"/>
                <w:szCs w:val="18"/>
              </w:rPr>
              <w:t>4</w:t>
            </w:r>
            <w:r>
              <w:rPr>
                <w:rFonts w:ascii="Times New Roman" w:hAnsi="Times New Roman" w:eastAsia="宋体" w:cs="Times New Roman"/>
                <w:kern w:val="0"/>
                <w:sz w:val="18"/>
                <w:szCs w:val="18"/>
              </w:rPr>
              <w:t>）</w:t>
            </w:r>
          </w:p>
        </w:tc>
        <w:tc>
          <w:tcPr>
            <w:tcW w:w="1442" w:type="dxa"/>
            <w:tcBorders>
              <w:bottom w:val="single" w:color="auto" w:sz="4" w:space="0"/>
            </w:tcBorders>
          </w:tcPr>
          <w:p>
            <w:pPr>
              <w:spacing w:line="300" w:lineRule="exact"/>
              <w:jc w:val="center"/>
              <w:rPr>
                <w:rFonts w:hint="eastAsia"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0.1317</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（0.0556）</w:t>
            </w:r>
          </w:p>
        </w:tc>
        <w:tc>
          <w:tcPr>
            <w:tcW w:w="1131" w:type="dxa"/>
            <w:tcBorders>
              <w:bottom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0.000</w:t>
            </w:r>
            <w:r>
              <w:rPr>
                <w:rFonts w:hint="eastAsia" w:ascii="Times New Roman" w:hAnsi="Times New Roman" w:eastAsia="宋体" w:cs="Times New Roman"/>
                <w:kern w:val="0"/>
                <w:sz w:val="18"/>
                <w:szCs w:val="18"/>
              </w:rPr>
              <w:t>5</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（0.0589）</w:t>
            </w:r>
          </w:p>
        </w:tc>
        <w:tc>
          <w:tcPr>
            <w:tcW w:w="1316" w:type="dxa"/>
            <w:tcBorders>
              <w:bottom w:val="single" w:color="auto" w:sz="4" w:space="0"/>
            </w:tcBorders>
          </w:tcPr>
          <w:p>
            <w:pPr>
              <w:spacing w:line="300" w:lineRule="exact"/>
              <w:jc w:val="center"/>
              <w:rPr>
                <w:rFonts w:hint="eastAsia"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0.0036</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（0.0585）</w:t>
            </w:r>
          </w:p>
        </w:tc>
        <w:tc>
          <w:tcPr>
            <w:tcW w:w="923" w:type="dxa"/>
            <w:tcBorders>
              <w:bottom w:val="single" w:color="auto" w:sz="4" w:space="0"/>
            </w:tcBorders>
          </w:tcPr>
          <w:p>
            <w:pPr>
              <w:spacing w:line="300" w:lineRule="exact"/>
              <w:jc w:val="center"/>
              <w:rPr>
                <w:rFonts w:ascii="Times New Roman" w:hAnsi="Times New Roman" w:eastAsia="宋体" w:cs="Times New Roman"/>
                <w:kern w:val="0"/>
                <w:sz w:val="18"/>
                <w:szCs w:val="18"/>
                <w:vertAlign w:val="superscript"/>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.1525</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（0.0736）</w:t>
            </w:r>
          </w:p>
        </w:tc>
        <w:tc>
          <w:tcPr>
            <w:tcW w:w="1122" w:type="dxa"/>
            <w:tcBorders>
              <w:bottom w:val="single" w:color="auto" w:sz="4" w:space="0"/>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0.1520</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（0.0721）</w:t>
            </w:r>
          </w:p>
        </w:tc>
      </w:tr>
    </w:tbl>
    <w:p/>
    <w:p>
      <w:pPr>
        <w:pStyle w:val="2"/>
        <w:keepNext w:val="0"/>
        <w:keepLines w:val="0"/>
        <w:pageBreakBefore w:val="0"/>
        <w:widowControl w:val="0"/>
        <w:kinsoku/>
        <w:wordWrap/>
        <w:overflowPunct/>
        <w:topLinePunct w:val="0"/>
        <w:autoSpaceDE/>
        <w:autoSpaceDN/>
        <w:bidi w:val="0"/>
        <w:adjustRightInd/>
        <w:snapToGrid/>
        <w:spacing w:line="240" w:lineRule="atLeast"/>
        <w:ind w:firstLine="0"/>
        <w:textAlignment w:val="auto"/>
        <w:rPr>
          <w:rFonts w:ascii="Times New Roman" w:hAnsi="Times New Roman" w:eastAsia="黑体" w:cs="Times New Roman"/>
          <w:sz w:val="18"/>
        </w:rPr>
      </w:pPr>
      <w:r>
        <w:rPr>
          <w:rFonts w:ascii="Times New Roman" w:hAnsi="Times New Roman" w:eastAsia="黑体" w:cs="Times New Roman"/>
          <w:sz w:val="18"/>
          <w:szCs w:val="18"/>
        </w:rPr>
        <w:t>附表</w:t>
      </w:r>
      <w:r>
        <w:rPr>
          <w:rFonts w:ascii="Times New Roman" w:hAnsi="Times New Roman" w:eastAsia="黑体" w:cs="Times New Roman"/>
          <w:sz w:val="18"/>
          <w:szCs w:val="18"/>
        </w:rPr>
        <w:fldChar w:fldCharType="begin"/>
      </w:r>
      <w:r>
        <w:rPr>
          <w:rFonts w:ascii="Times New Roman" w:hAnsi="Times New Roman" w:eastAsia="黑体" w:cs="Times New Roman"/>
          <w:sz w:val="18"/>
          <w:szCs w:val="18"/>
        </w:rPr>
        <w:instrText xml:space="preserve"> SEQ 附表 \* ARABIC </w:instrText>
      </w:r>
      <w:r>
        <w:rPr>
          <w:rFonts w:ascii="Times New Roman" w:hAnsi="Times New Roman" w:eastAsia="黑体" w:cs="Times New Roman"/>
          <w:sz w:val="18"/>
          <w:szCs w:val="18"/>
        </w:rPr>
        <w:fldChar w:fldCharType="separate"/>
      </w:r>
      <w:r>
        <w:rPr>
          <w:rFonts w:ascii="Times New Roman" w:hAnsi="Times New Roman" w:eastAsia="黑体" w:cs="Times New Roman"/>
          <w:sz w:val="18"/>
          <w:szCs w:val="18"/>
        </w:rPr>
        <w:t>3</w:t>
      </w:r>
      <w:r>
        <w:rPr>
          <w:rFonts w:ascii="Times New Roman" w:hAnsi="Times New Roman" w:eastAsia="黑体" w:cs="Times New Roman"/>
          <w:sz w:val="18"/>
          <w:szCs w:val="18"/>
        </w:rPr>
        <w:fldChar w:fldCharType="end"/>
      </w:r>
    </w:p>
    <w:tbl>
      <w:tblPr>
        <w:tblStyle w:val="34"/>
        <w:tblW w:w="8672" w:type="dxa"/>
        <w:jc w:val="center"/>
        <w:tblInd w:w="162"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57" w:type="dxa"/>
          <w:bottom w:w="0" w:type="dxa"/>
          <w:right w:w="57" w:type="dxa"/>
        </w:tblCellMar>
      </w:tblPr>
      <w:tblGrid>
        <w:gridCol w:w="1478"/>
        <w:gridCol w:w="1260"/>
        <w:gridCol w:w="1442"/>
        <w:gridCol w:w="1131"/>
        <w:gridCol w:w="1316"/>
        <w:gridCol w:w="923"/>
        <w:gridCol w:w="1122"/>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57" w:type="dxa"/>
            <w:bottom w:w="0" w:type="dxa"/>
            <w:right w:w="57" w:type="dxa"/>
          </w:tblCellMar>
        </w:tblPrEx>
        <w:trPr>
          <w:trHeight w:val="317" w:hRule="atLeast"/>
          <w:jc w:val="center"/>
        </w:trPr>
        <w:tc>
          <w:tcPr>
            <w:tcW w:w="1478" w:type="dxa"/>
            <w:tcBorders>
              <w:top w:val="single" w:color="auto" w:sz="4" w:space="0"/>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贷款水平</w:t>
            </w:r>
          </w:p>
        </w:tc>
        <w:tc>
          <w:tcPr>
            <w:tcW w:w="1260" w:type="dxa"/>
            <w:tcBorders>
              <w:top w:val="single" w:color="auto" w:sz="4" w:space="0"/>
              <w:lef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0.0045</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（0.034</w:t>
            </w:r>
            <w:r>
              <w:rPr>
                <w:rFonts w:hint="eastAsia" w:ascii="Times New Roman" w:hAnsi="Times New Roman" w:eastAsia="宋体" w:cs="Times New Roman"/>
                <w:kern w:val="0"/>
                <w:sz w:val="18"/>
                <w:szCs w:val="18"/>
              </w:rPr>
              <w:t>1</w:t>
            </w:r>
            <w:r>
              <w:rPr>
                <w:rFonts w:ascii="Times New Roman" w:hAnsi="Times New Roman" w:eastAsia="宋体" w:cs="Times New Roman"/>
                <w:kern w:val="0"/>
                <w:sz w:val="18"/>
                <w:szCs w:val="18"/>
              </w:rPr>
              <w:t>）</w:t>
            </w:r>
          </w:p>
        </w:tc>
        <w:tc>
          <w:tcPr>
            <w:tcW w:w="1442" w:type="dxa"/>
            <w:tcBorders>
              <w:top w:val="single" w:color="auto" w:sz="4" w:space="0"/>
            </w:tcBorders>
          </w:tcPr>
          <w:p>
            <w:pPr>
              <w:spacing w:line="300" w:lineRule="exact"/>
              <w:jc w:val="center"/>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0.0224</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（0.0363）</w:t>
            </w:r>
          </w:p>
        </w:tc>
        <w:tc>
          <w:tcPr>
            <w:tcW w:w="1131" w:type="dxa"/>
            <w:tcBorders>
              <w:top w:val="single" w:color="auto" w:sz="4" w:space="0"/>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.078</w:t>
            </w:r>
            <w:r>
              <w:rPr>
                <w:rFonts w:hint="eastAsia" w:ascii="Times New Roman" w:hAnsi="Times New Roman" w:eastAsia="宋体" w:cs="Times New Roman"/>
                <w:kern w:val="0"/>
                <w:sz w:val="18"/>
                <w:szCs w:val="18"/>
              </w:rPr>
              <w:t>7</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（0.047</w:t>
            </w:r>
            <w:r>
              <w:rPr>
                <w:rFonts w:hint="eastAsia" w:ascii="Times New Roman" w:hAnsi="Times New Roman" w:eastAsia="宋体" w:cs="Times New Roman"/>
                <w:kern w:val="0"/>
                <w:sz w:val="18"/>
                <w:szCs w:val="18"/>
              </w:rPr>
              <w:t>8</w:t>
            </w:r>
            <w:r>
              <w:rPr>
                <w:rFonts w:ascii="Times New Roman" w:hAnsi="Times New Roman" w:eastAsia="宋体" w:cs="Times New Roman"/>
                <w:kern w:val="0"/>
                <w:sz w:val="18"/>
                <w:szCs w:val="18"/>
              </w:rPr>
              <w:t>）</w:t>
            </w:r>
          </w:p>
        </w:tc>
        <w:tc>
          <w:tcPr>
            <w:tcW w:w="1316" w:type="dxa"/>
            <w:tcBorders>
              <w:top w:val="single" w:color="auto" w:sz="4" w:space="0"/>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0.1248</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（0.0539）</w:t>
            </w:r>
          </w:p>
        </w:tc>
        <w:tc>
          <w:tcPr>
            <w:tcW w:w="923" w:type="dxa"/>
            <w:tcBorders>
              <w:top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0.0220</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（0.038</w:t>
            </w:r>
            <w:r>
              <w:rPr>
                <w:rFonts w:hint="eastAsia" w:ascii="Times New Roman" w:hAnsi="Times New Roman" w:eastAsia="宋体" w:cs="Times New Roman"/>
                <w:kern w:val="0"/>
                <w:sz w:val="18"/>
                <w:szCs w:val="18"/>
              </w:rPr>
              <w:t>9</w:t>
            </w:r>
            <w:r>
              <w:rPr>
                <w:rFonts w:ascii="Times New Roman" w:hAnsi="Times New Roman" w:eastAsia="宋体" w:cs="Times New Roman"/>
                <w:kern w:val="0"/>
                <w:sz w:val="18"/>
                <w:szCs w:val="18"/>
              </w:rPr>
              <w:t>）</w:t>
            </w:r>
          </w:p>
        </w:tc>
        <w:tc>
          <w:tcPr>
            <w:tcW w:w="1122" w:type="dxa"/>
            <w:tcBorders>
              <w:top w:val="single" w:color="auto" w:sz="4" w:space="0"/>
            </w:tcBorders>
          </w:tcPr>
          <w:p>
            <w:pPr>
              <w:spacing w:line="300" w:lineRule="exact"/>
              <w:jc w:val="center"/>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0.0433</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（0.0393）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57" w:type="dxa"/>
            <w:bottom w:w="0" w:type="dxa"/>
            <w:right w:w="57" w:type="dxa"/>
          </w:tblCellMar>
        </w:tblPrEx>
        <w:trPr>
          <w:trHeight w:val="317" w:hRule="atLeast"/>
          <w:jc w:val="center"/>
        </w:trPr>
        <w:tc>
          <w:tcPr>
            <w:tcW w:w="1478" w:type="dxa"/>
            <w:tcBorders>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医疗水平</w:t>
            </w:r>
          </w:p>
        </w:tc>
        <w:tc>
          <w:tcPr>
            <w:tcW w:w="1260" w:type="dxa"/>
            <w:tcBorders>
              <w:left w:val="single" w:color="auto" w:sz="4" w:space="0"/>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.0206</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（0.0312）</w:t>
            </w:r>
          </w:p>
        </w:tc>
        <w:tc>
          <w:tcPr>
            <w:tcW w:w="1442" w:type="dxa"/>
          </w:tcPr>
          <w:p>
            <w:pPr>
              <w:spacing w:line="300" w:lineRule="exact"/>
              <w:jc w:val="center"/>
              <w:rPr>
                <w:rFonts w:hint="eastAsia"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0.0287</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（0.0304）</w:t>
            </w:r>
          </w:p>
        </w:tc>
        <w:tc>
          <w:tcPr>
            <w:tcW w:w="1131" w:type="dxa"/>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0.0990</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（0.054</w:t>
            </w:r>
            <w:r>
              <w:rPr>
                <w:rFonts w:hint="eastAsia" w:ascii="Times New Roman" w:hAnsi="Times New Roman" w:eastAsia="宋体" w:cs="Times New Roman"/>
                <w:kern w:val="0"/>
                <w:sz w:val="18"/>
                <w:szCs w:val="18"/>
              </w:rPr>
              <w:t>7</w:t>
            </w:r>
            <w:r>
              <w:rPr>
                <w:rFonts w:ascii="Times New Roman" w:hAnsi="Times New Roman" w:eastAsia="宋体" w:cs="Times New Roman"/>
                <w:kern w:val="0"/>
                <w:sz w:val="18"/>
                <w:szCs w:val="18"/>
              </w:rPr>
              <w:t>）</w:t>
            </w:r>
          </w:p>
        </w:tc>
        <w:tc>
          <w:tcPr>
            <w:tcW w:w="1316" w:type="dxa"/>
          </w:tcPr>
          <w:p>
            <w:pPr>
              <w:spacing w:line="300" w:lineRule="exact"/>
              <w:jc w:val="center"/>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0.0046</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（0.0474）</w:t>
            </w:r>
          </w:p>
        </w:tc>
        <w:tc>
          <w:tcPr>
            <w:tcW w:w="923" w:type="dxa"/>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.010</w:t>
            </w:r>
            <w:r>
              <w:rPr>
                <w:rFonts w:hint="eastAsia" w:ascii="Times New Roman" w:hAnsi="Times New Roman" w:eastAsia="宋体" w:cs="Times New Roman"/>
                <w:kern w:val="0"/>
                <w:sz w:val="18"/>
                <w:szCs w:val="18"/>
              </w:rPr>
              <w:t>9</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（0.040</w:t>
            </w:r>
            <w:r>
              <w:rPr>
                <w:rFonts w:hint="eastAsia" w:ascii="Times New Roman" w:hAnsi="Times New Roman" w:eastAsia="宋体" w:cs="Times New Roman"/>
                <w:kern w:val="0"/>
                <w:sz w:val="18"/>
                <w:szCs w:val="18"/>
              </w:rPr>
              <w:t>6</w:t>
            </w:r>
            <w:r>
              <w:rPr>
                <w:rFonts w:ascii="Times New Roman" w:hAnsi="Times New Roman" w:eastAsia="宋体" w:cs="Times New Roman"/>
                <w:kern w:val="0"/>
                <w:sz w:val="18"/>
                <w:szCs w:val="18"/>
              </w:rPr>
              <w:t>）</w:t>
            </w:r>
          </w:p>
        </w:tc>
        <w:tc>
          <w:tcPr>
            <w:tcW w:w="1122" w:type="dxa"/>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0.0243（0.0316）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57" w:type="dxa"/>
            <w:bottom w:w="0" w:type="dxa"/>
            <w:right w:w="57" w:type="dxa"/>
          </w:tblCellMar>
        </w:tblPrEx>
        <w:trPr>
          <w:trHeight w:val="317" w:hRule="atLeast"/>
          <w:jc w:val="center"/>
        </w:trPr>
        <w:tc>
          <w:tcPr>
            <w:tcW w:w="1478" w:type="dxa"/>
            <w:tcBorders>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教育水平</w:t>
            </w:r>
          </w:p>
        </w:tc>
        <w:tc>
          <w:tcPr>
            <w:tcW w:w="1260" w:type="dxa"/>
            <w:tcBorders>
              <w:left w:val="single" w:color="auto" w:sz="4" w:space="0"/>
            </w:tcBorders>
          </w:tcPr>
          <w:p>
            <w:pPr>
              <w:spacing w:line="300" w:lineRule="exact"/>
              <w:jc w:val="center"/>
              <w:rPr>
                <w:rFonts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.169</w:t>
            </w:r>
            <w:r>
              <w:rPr>
                <w:rFonts w:hint="eastAsia" w:ascii="Times New Roman" w:hAnsi="Times New Roman" w:eastAsia="宋体" w:cs="Times New Roman"/>
                <w:kern w:val="0"/>
                <w:sz w:val="18"/>
                <w:szCs w:val="18"/>
              </w:rPr>
              <w:t>4</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（0.044</w:t>
            </w:r>
            <w:r>
              <w:rPr>
                <w:rFonts w:hint="eastAsia" w:ascii="Times New Roman" w:hAnsi="Times New Roman" w:eastAsia="宋体" w:cs="Times New Roman"/>
                <w:kern w:val="0"/>
                <w:sz w:val="18"/>
                <w:szCs w:val="18"/>
              </w:rPr>
              <w:t>2</w:t>
            </w:r>
            <w:r>
              <w:rPr>
                <w:rFonts w:ascii="Times New Roman" w:hAnsi="Times New Roman" w:eastAsia="宋体" w:cs="Times New Roman"/>
                <w:kern w:val="0"/>
                <w:sz w:val="18"/>
                <w:szCs w:val="18"/>
              </w:rPr>
              <w:t>）</w:t>
            </w:r>
          </w:p>
        </w:tc>
        <w:tc>
          <w:tcPr>
            <w:tcW w:w="1442" w:type="dxa"/>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0.2350</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（0.0452）</w:t>
            </w:r>
          </w:p>
        </w:tc>
        <w:tc>
          <w:tcPr>
            <w:tcW w:w="1131" w:type="dxa"/>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.0007</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（0.051</w:t>
            </w:r>
            <w:r>
              <w:rPr>
                <w:rFonts w:hint="eastAsia" w:ascii="Times New Roman" w:hAnsi="Times New Roman" w:eastAsia="宋体" w:cs="Times New Roman"/>
                <w:kern w:val="0"/>
                <w:sz w:val="18"/>
                <w:szCs w:val="18"/>
              </w:rPr>
              <w:t>3</w:t>
            </w:r>
            <w:r>
              <w:rPr>
                <w:rFonts w:ascii="Times New Roman" w:hAnsi="Times New Roman" w:eastAsia="宋体" w:cs="Times New Roman"/>
                <w:kern w:val="0"/>
                <w:sz w:val="18"/>
                <w:szCs w:val="18"/>
              </w:rPr>
              <w:t>）</w:t>
            </w:r>
          </w:p>
        </w:tc>
        <w:tc>
          <w:tcPr>
            <w:tcW w:w="1316" w:type="dxa"/>
          </w:tcPr>
          <w:p>
            <w:pPr>
              <w:spacing w:line="300" w:lineRule="exact"/>
              <w:jc w:val="center"/>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0.0827</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（0.0608）</w:t>
            </w:r>
          </w:p>
        </w:tc>
        <w:tc>
          <w:tcPr>
            <w:tcW w:w="923" w:type="dxa"/>
          </w:tcPr>
          <w:p>
            <w:pPr>
              <w:spacing w:line="300" w:lineRule="exact"/>
              <w:jc w:val="center"/>
              <w:rPr>
                <w:rFonts w:ascii="Times New Roman" w:hAnsi="Times New Roman" w:eastAsia="宋体" w:cs="Times New Roman"/>
                <w:kern w:val="0"/>
                <w:sz w:val="18"/>
                <w:szCs w:val="18"/>
                <w:vertAlign w:val="superscript"/>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.1499</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（0.0420）</w:t>
            </w:r>
          </w:p>
        </w:tc>
        <w:tc>
          <w:tcPr>
            <w:tcW w:w="1122" w:type="dxa"/>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0.1553</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（0.0374）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57" w:type="dxa"/>
            <w:bottom w:w="0" w:type="dxa"/>
            <w:right w:w="57" w:type="dxa"/>
          </w:tblCellMar>
        </w:tblPrEx>
        <w:trPr>
          <w:trHeight w:val="317" w:hRule="atLeast"/>
          <w:jc w:val="center"/>
        </w:trPr>
        <w:tc>
          <w:tcPr>
            <w:tcW w:w="1478" w:type="dxa"/>
            <w:tcBorders>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设施农业发展水平</w:t>
            </w:r>
          </w:p>
        </w:tc>
        <w:tc>
          <w:tcPr>
            <w:tcW w:w="1260" w:type="dxa"/>
            <w:tcBorders>
              <w:left w:val="single" w:color="auto" w:sz="4" w:space="0"/>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.003</w:t>
            </w:r>
            <w:r>
              <w:rPr>
                <w:rFonts w:hint="eastAsia" w:ascii="Times New Roman" w:hAnsi="Times New Roman" w:eastAsia="宋体" w:cs="Times New Roman"/>
                <w:kern w:val="0"/>
                <w:sz w:val="18"/>
                <w:szCs w:val="18"/>
              </w:rPr>
              <w:t>1</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（0.0073）</w:t>
            </w:r>
          </w:p>
        </w:tc>
        <w:tc>
          <w:tcPr>
            <w:tcW w:w="1442" w:type="dxa"/>
          </w:tcPr>
          <w:p>
            <w:pPr>
              <w:spacing w:line="300" w:lineRule="exact"/>
              <w:jc w:val="center"/>
              <w:rPr>
                <w:rFonts w:hint="eastAsia"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0.0101</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（0.0080）</w:t>
            </w:r>
          </w:p>
        </w:tc>
        <w:tc>
          <w:tcPr>
            <w:tcW w:w="1131" w:type="dxa"/>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.0036</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（0.008</w:t>
            </w:r>
            <w:r>
              <w:rPr>
                <w:rFonts w:hint="eastAsia" w:ascii="Times New Roman" w:hAnsi="Times New Roman" w:eastAsia="宋体" w:cs="Times New Roman"/>
                <w:kern w:val="0"/>
                <w:sz w:val="18"/>
                <w:szCs w:val="18"/>
              </w:rPr>
              <w:t>7</w:t>
            </w:r>
            <w:r>
              <w:rPr>
                <w:rFonts w:ascii="Times New Roman" w:hAnsi="Times New Roman" w:eastAsia="宋体" w:cs="Times New Roman"/>
                <w:kern w:val="0"/>
                <w:sz w:val="18"/>
                <w:szCs w:val="18"/>
              </w:rPr>
              <w:t>）</w:t>
            </w:r>
          </w:p>
        </w:tc>
        <w:tc>
          <w:tcPr>
            <w:tcW w:w="1316" w:type="dxa"/>
          </w:tcPr>
          <w:p>
            <w:pPr>
              <w:spacing w:line="300" w:lineRule="exact"/>
              <w:jc w:val="center"/>
              <w:rPr>
                <w:rFonts w:hint="eastAsia"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0.0040</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（0.0085）</w:t>
            </w:r>
          </w:p>
        </w:tc>
        <w:tc>
          <w:tcPr>
            <w:tcW w:w="923" w:type="dxa"/>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.004</w:t>
            </w:r>
            <w:r>
              <w:rPr>
                <w:rFonts w:hint="eastAsia" w:ascii="Times New Roman" w:hAnsi="Times New Roman" w:eastAsia="宋体" w:cs="Times New Roman"/>
                <w:kern w:val="0"/>
                <w:sz w:val="18"/>
                <w:szCs w:val="18"/>
              </w:rPr>
              <w:t>3</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（0.0052）</w:t>
            </w:r>
          </w:p>
        </w:tc>
        <w:tc>
          <w:tcPr>
            <w:tcW w:w="1122" w:type="dxa"/>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0.0027（0.0051）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57" w:type="dxa"/>
            <w:bottom w:w="0" w:type="dxa"/>
            <w:right w:w="57" w:type="dxa"/>
          </w:tblCellMar>
        </w:tblPrEx>
        <w:trPr>
          <w:trHeight w:val="317" w:hRule="atLeast"/>
          <w:jc w:val="center"/>
        </w:trPr>
        <w:tc>
          <w:tcPr>
            <w:tcW w:w="1478" w:type="dxa"/>
            <w:tcBorders>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政府干预水平</w:t>
            </w:r>
          </w:p>
        </w:tc>
        <w:tc>
          <w:tcPr>
            <w:tcW w:w="1260" w:type="dxa"/>
            <w:tcBorders>
              <w:left w:val="single" w:color="auto" w:sz="4" w:space="0"/>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0.242</w:t>
            </w:r>
            <w:r>
              <w:rPr>
                <w:rFonts w:hint="eastAsia" w:ascii="Times New Roman" w:hAnsi="Times New Roman" w:eastAsia="宋体" w:cs="Times New Roman"/>
                <w:kern w:val="0"/>
                <w:sz w:val="18"/>
                <w:szCs w:val="18"/>
              </w:rPr>
              <w:t>8</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（0.0504）</w:t>
            </w:r>
          </w:p>
        </w:tc>
        <w:tc>
          <w:tcPr>
            <w:tcW w:w="1442" w:type="dxa"/>
          </w:tcPr>
          <w:p>
            <w:pPr>
              <w:spacing w:line="300" w:lineRule="exact"/>
              <w:jc w:val="center"/>
              <w:rPr>
                <w:rFonts w:hint="eastAsia"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0.2372</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（0.0545）</w:t>
            </w:r>
          </w:p>
        </w:tc>
        <w:tc>
          <w:tcPr>
            <w:tcW w:w="1131" w:type="dxa"/>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.0064</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（0.080</w:t>
            </w:r>
            <w:r>
              <w:rPr>
                <w:rFonts w:hint="eastAsia" w:ascii="Times New Roman" w:hAnsi="Times New Roman" w:eastAsia="宋体" w:cs="Times New Roman"/>
                <w:kern w:val="0"/>
                <w:sz w:val="18"/>
                <w:szCs w:val="18"/>
              </w:rPr>
              <w:t>2</w:t>
            </w:r>
            <w:r>
              <w:rPr>
                <w:rFonts w:ascii="Times New Roman" w:hAnsi="Times New Roman" w:eastAsia="宋体" w:cs="Times New Roman"/>
                <w:kern w:val="0"/>
                <w:sz w:val="18"/>
                <w:szCs w:val="18"/>
              </w:rPr>
              <w:t>）</w:t>
            </w:r>
          </w:p>
        </w:tc>
        <w:tc>
          <w:tcPr>
            <w:tcW w:w="1316" w:type="dxa"/>
          </w:tcPr>
          <w:p>
            <w:pPr>
              <w:spacing w:line="300" w:lineRule="exact"/>
              <w:jc w:val="center"/>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0.0072</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（0.0829）</w:t>
            </w:r>
          </w:p>
        </w:tc>
        <w:tc>
          <w:tcPr>
            <w:tcW w:w="923" w:type="dxa"/>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.0436</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（0.0355）</w:t>
            </w:r>
          </w:p>
        </w:tc>
        <w:tc>
          <w:tcPr>
            <w:tcW w:w="1122" w:type="dxa"/>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0.0373（0.0379）</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57" w:type="dxa"/>
            <w:bottom w:w="0" w:type="dxa"/>
            <w:right w:w="57" w:type="dxa"/>
          </w:tblCellMar>
        </w:tblPrEx>
        <w:trPr>
          <w:trHeight w:val="317" w:hRule="atLeast"/>
          <w:jc w:val="center"/>
        </w:trPr>
        <w:tc>
          <w:tcPr>
            <w:tcW w:w="1478" w:type="dxa"/>
            <w:tcBorders>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消费水平</w:t>
            </w:r>
          </w:p>
        </w:tc>
        <w:tc>
          <w:tcPr>
            <w:tcW w:w="1260" w:type="dxa"/>
            <w:tcBorders>
              <w:left w:val="single" w:color="auto" w:sz="4" w:space="0"/>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0.185</w:t>
            </w:r>
            <w:r>
              <w:rPr>
                <w:rFonts w:hint="eastAsia" w:ascii="Times New Roman" w:hAnsi="Times New Roman" w:eastAsia="宋体" w:cs="Times New Roman"/>
                <w:kern w:val="0"/>
                <w:sz w:val="18"/>
                <w:szCs w:val="18"/>
              </w:rPr>
              <w:t>6</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（0.034</w:t>
            </w:r>
            <w:r>
              <w:rPr>
                <w:rFonts w:hint="eastAsia" w:ascii="Times New Roman" w:hAnsi="Times New Roman" w:eastAsia="宋体" w:cs="Times New Roman"/>
                <w:kern w:val="0"/>
                <w:sz w:val="18"/>
                <w:szCs w:val="18"/>
              </w:rPr>
              <w:t>3</w:t>
            </w:r>
            <w:r>
              <w:rPr>
                <w:rFonts w:ascii="Times New Roman" w:hAnsi="Times New Roman" w:eastAsia="宋体" w:cs="Times New Roman"/>
                <w:kern w:val="0"/>
                <w:sz w:val="18"/>
                <w:szCs w:val="18"/>
              </w:rPr>
              <w:t>）</w:t>
            </w:r>
          </w:p>
        </w:tc>
        <w:tc>
          <w:tcPr>
            <w:tcW w:w="1442" w:type="dxa"/>
          </w:tcPr>
          <w:p>
            <w:pPr>
              <w:spacing w:line="300" w:lineRule="exact"/>
              <w:jc w:val="center"/>
              <w:rPr>
                <w:rFonts w:hint="eastAsia"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0.1791</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（0.0392）</w:t>
            </w:r>
          </w:p>
        </w:tc>
        <w:tc>
          <w:tcPr>
            <w:tcW w:w="1131" w:type="dxa"/>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0.297</w:t>
            </w:r>
            <w:r>
              <w:rPr>
                <w:rFonts w:hint="eastAsia" w:ascii="Times New Roman" w:hAnsi="Times New Roman" w:eastAsia="宋体" w:cs="Times New Roman"/>
                <w:kern w:val="0"/>
                <w:sz w:val="18"/>
                <w:szCs w:val="18"/>
              </w:rPr>
              <w:t>7</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（0.079</w:t>
            </w:r>
            <w:r>
              <w:rPr>
                <w:rFonts w:hint="eastAsia" w:ascii="Times New Roman" w:hAnsi="Times New Roman" w:eastAsia="宋体" w:cs="Times New Roman"/>
                <w:kern w:val="0"/>
                <w:sz w:val="18"/>
                <w:szCs w:val="18"/>
              </w:rPr>
              <w:t>8</w:t>
            </w:r>
            <w:r>
              <w:rPr>
                <w:rFonts w:ascii="Times New Roman" w:hAnsi="Times New Roman" w:eastAsia="宋体" w:cs="Times New Roman"/>
                <w:kern w:val="0"/>
                <w:sz w:val="18"/>
                <w:szCs w:val="18"/>
              </w:rPr>
              <w:t>）</w:t>
            </w:r>
          </w:p>
        </w:tc>
        <w:tc>
          <w:tcPr>
            <w:tcW w:w="1316" w:type="dxa"/>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0.2852</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（0.0792）</w:t>
            </w:r>
          </w:p>
        </w:tc>
        <w:tc>
          <w:tcPr>
            <w:tcW w:w="923" w:type="dxa"/>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0.030</w:t>
            </w:r>
            <w:r>
              <w:rPr>
                <w:rFonts w:hint="eastAsia" w:ascii="Times New Roman" w:hAnsi="Times New Roman" w:eastAsia="宋体" w:cs="Times New Roman"/>
                <w:kern w:val="0"/>
                <w:sz w:val="18"/>
                <w:szCs w:val="18"/>
              </w:rPr>
              <w:t>5</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（0.043</w:t>
            </w:r>
            <w:r>
              <w:rPr>
                <w:rFonts w:hint="eastAsia" w:ascii="Times New Roman" w:hAnsi="Times New Roman" w:eastAsia="宋体" w:cs="Times New Roman"/>
                <w:kern w:val="0"/>
                <w:sz w:val="18"/>
                <w:szCs w:val="18"/>
              </w:rPr>
              <w:t>9</w:t>
            </w:r>
            <w:r>
              <w:rPr>
                <w:rFonts w:ascii="Times New Roman" w:hAnsi="Times New Roman" w:eastAsia="宋体" w:cs="Times New Roman"/>
                <w:kern w:val="0"/>
                <w:sz w:val="18"/>
                <w:szCs w:val="18"/>
              </w:rPr>
              <w:t>）</w:t>
            </w:r>
          </w:p>
        </w:tc>
        <w:tc>
          <w:tcPr>
            <w:tcW w:w="1122" w:type="dxa"/>
          </w:tcPr>
          <w:p>
            <w:pPr>
              <w:spacing w:line="300" w:lineRule="exact"/>
              <w:jc w:val="center"/>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0.0393</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（0.0341）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57" w:type="dxa"/>
            <w:bottom w:w="0" w:type="dxa"/>
            <w:right w:w="57" w:type="dxa"/>
          </w:tblCellMar>
        </w:tblPrEx>
        <w:trPr>
          <w:trHeight w:val="317" w:hRule="atLeast"/>
          <w:jc w:val="center"/>
        </w:trPr>
        <w:tc>
          <w:tcPr>
            <w:tcW w:w="1478" w:type="dxa"/>
            <w:tcBorders>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常数项</w:t>
            </w:r>
          </w:p>
        </w:tc>
        <w:tc>
          <w:tcPr>
            <w:tcW w:w="1260" w:type="dxa"/>
            <w:tcBorders>
              <w:lef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0.1234</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（1.2295）</w:t>
            </w:r>
          </w:p>
        </w:tc>
        <w:tc>
          <w:tcPr>
            <w:tcW w:w="1442" w:type="dxa"/>
          </w:tcPr>
          <w:p>
            <w:pPr>
              <w:spacing w:line="300" w:lineRule="exact"/>
              <w:jc w:val="center"/>
              <w:rPr>
                <w:rFonts w:hint="eastAsia"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2.6005</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（1.2618）</w:t>
            </w:r>
          </w:p>
        </w:tc>
        <w:tc>
          <w:tcPr>
            <w:tcW w:w="1131" w:type="dxa"/>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7.5221</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（2.9378）</w:t>
            </w:r>
          </w:p>
        </w:tc>
        <w:tc>
          <w:tcPr>
            <w:tcW w:w="1316" w:type="dxa"/>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8.0394</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（2.5873）</w:t>
            </w:r>
          </w:p>
        </w:tc>
        <w:tc>
          <w:tcPr>
            <w:tcW w:w="923" w:type="dxa"/>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12.9570</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（1.107</w:t>
            </w:r>
            <w:r>
              <w:rPr>
                <w:rFonts w:hint="eastAsia" w:ascii="Times New Roman" w:hAnsi="Times New Roman" w:eastAsia="宋体" w:cs="Times New Roman"/>
                <w:kern w:val="0"/>
                <w:sz w:val="18"/>
                <w:szCs w:val="18"/>
              </w:rPr>
              <w:t>9</w:t>
            </w:r>
            <w:r>
              <w:rPr>
                <w:rFonts w:ascii="Times New Roman" w:hAnsi="Times New Roman" w:eastAsia="宋体" w:cs="Times New Roman"/>
                <w:kern w:val="0"/>
                <w:sz w:val="18"/>
                <w:szCs w:val="18"/>
              </w:rPr>
              <w:t>）</w:t>
            </w:r>
          </w:p>
        </w:tc>
        <w:tc>
          <w:tcPr>
            <w:tcW w:w="1122" w:type="dxa"/>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12.8949</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（1.0530）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57" w:type="dxa"/>
            <w:bottom w:w="0" w:type="dxa"/>
            <w:right w:w="57" w:type="dxa"/>
          </w:tblCellMar>
        </w:tblPrEx>
        <w:trPr>
          <w:trHeight w:val="317" w:hRule="atLeast"/>
          <w:jc w:val="center"/>
        </w:trPr>
        <w:tc>
          <w:tcPr>
            <w:tcW w:w="1478" w:type="dxa"/>
            <w:tcBorders>
              <w:right w:val="single" w:color="auto" w:sz="4" w:space="0"/>
            </w:tcBorders>
          </w:tcPr>
          <w:p>
            <w:pPr>
              <w:spacing w:line="300" w:lineRule="exact"/>
              <w:jc w:val="lef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县域</w:t>
            </w:r>
            <w:r>
              <w:rPr>
                <w:rFonts w:ascii="Times New Roman" w:hAnsi="Times New Roman" w:eastAsia="宋体" w:cs="Times New Roman"/>
                <w:kern w:val="0"/>
                <w:sz w:val="18"/>
                <w:szCs w:val="18"/>
              </w:rPr>
              <w:t>固定效应</w:t>
            </w:r>
          </w:p>
        </w:tc>
        <w:tc>
          <w:tcPr>
            <w:tcW w:w="1260" w:type="dxa"/>
            <w:tcBorders>
              <w:lef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442" w:type="dxa"/>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131" w:type="dxa"/>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316" w:type="dxa"/>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923" w:type="dxa"/>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122" w:type="dxa"/>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57" w:type="dxa"/>
            <w:bottom w:w="0" w:type="dxa"/>
            <w:right w:w="57" w:type="dxa"/>
          </w:tblCellMar>
        </w:tblPrEx>
        <w:trPr>
          <w:trHeight w:val="317" w:hRule="atLeast"/>
          <w:jc w:val="center"/>
        </w:trPr>
        <w:tc>
          <w:tcPr>
            <w:tcW w:w="1478" w:type="dxa"/>
            <w:tcBorders>
              <w:bottom w:val="single" w:color="auto" w:sz="4" w:space="0"/>
              <w:right w:val="single" w:color="auto" w:sz="4" w:space="0"/>
            </w:tcBorders>
          </w:tcPr>
          <w:p>
            <w:pPr>
              <w:spacing w:line="300" w:lineRule="exact"/>
              <w:jc w:val="lef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年份</w:t>
            </w:r>
            <w:r>
              <w:rPr>
                <w:rFonts w:ascii="Times New Roman" w:hAnsi="Times New Roman" w:eastAsia="宋体" w:cs="Times New Roman"/>
                <w:kern w:val="0"/>
                <w:sz w:val="18"/>
                <w:szCs w:val="18"/>
              </w:rPr>
              <w:t>固定效应</w:t>
            </w:r>
          </w:p>
        </w:tc>
        <w:tc>
          <w:tcPr>
            <w:tcW w:w="1260" w:type="dxa"/>
            <w:tcBorders>
              <w:left w:val="single" w:color="auto" w:sz="4" w:space="0"/>
              <w:bottom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442" w:type="dxa"/>
            <w:tcBorders>
              <w:bottom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131" w:type="dxa"/>
            <w:tcBorders>
              <w:bottom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316" w:type="dxa"/>
            <w:tcBorders>
              <w:bottom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923" w:type="dxa"/>
            <w:tcBorders>
              <w:bottom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122" w:type="dxa"/>
            <w:tcBorders>
              <w:bottom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57" w:type="dxa"/>
            <w:bottom w:w="0" w:type="dxa"/>
            <w:right w:w="57" w:type="dxa"/>
          </w:tblCellMar>
        </w:tblPrEx>
        <w:trPr>
          <w:trHeight w:val="317" w:hRule="atLeast"/>
          <w:jc w:val="center"/>
        </w:trPr>
        <w:tc>
          <w:tcPr>
            <w:tcW w:w="1478" w:type="dxa"/>
            <w:tcBorders>
              <w:top w:val="single" w:color="auto" w:sz="4" w:space="0"/>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观测值数</w:t>
            </w:r>
          </w:p>
        </w:tc>
        <w:tc>
          <w:tcPr>
            <w:tcW w:w="1260" w:type="dxa"/>
            <w:tcBorders>
              <w:top w:val="single" w:color="auto" w:sz="4" w:space="0"/>
              <w:lef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4563</w:t>
            </w:r>
          </w:p>
        </w:tc>
        <w:tc>
          <w:tcPr>
            <w:tcW w:w="1442" w:type="dxa"/>
            <w:tcBorders>
              <w:top w:val="single" w:color="auto" w:sz="4" w:space="0"/>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4208</w:t>
            </w:r>
          </w:p>
        </w:tc>
        <w:tc>
          <w:tcPr>
            <w:tcW w:w="1131" w:type="dxa"/>
            <w:tcBorders>
              <w:top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3371</w:t>
            </w:r>
          </w:p>
        </w:tc>
        <w:tc>
          <w:tcPr>
            <w:tcW w:w="1316" w:type="dxa"/>
            <w:tcBorders>
              <w:top w:val="single" w:color="auto" w:sz="4" w:space="0"/>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3101</w:t>
            </w:r>
          </w:p>
        </w:tc>
        <w:tc>
          <w:tcPr>
            <w:tcW w:w="923" w:type="dxa"/>
            <w:tcBorders>
              <w:top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4543</w:t>
            </w:r>
          </w:p>
        </w:tc>
        <w:tc>
          <w:tcPr>
            <w:tcW w:w="1122" w:type="dxa"/>
            <w:tcBorders>
              <w:top w:val="single" w:color="auto" w:sz="4" w:space="0"/>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4189</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57" w:type="dxa"/>
            <w:bottom w:w="0" w:type="dxa"/>
            <w:right w:w="57" w:type="dxa"/>
          </w:tblCellMar>
        </w:tblPrEx>
        <w:trPr>
          <w:trHeight w:val="317" w:hRule="atLeast"/>
          <w:jc w:val="center"/>
        </w:trPr>
        <w:tc>
          <w:tcPr>
            <w:tcW w:w="1478" w:type="dxa"/>
            <w:tcBorders>
              <w:bottom w:val="single" w:color="auto" w:sz="12" w:space="0"/>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R</w:t>
            </w:r>
            <w:r>
              <w:rPr>
                <w:rFonts w:ascii="Times New Roman" w:hAnsi="Times New Roman" w:eastAsia="宋体" w:cs="Times New Roman"/>
                <w:kern w:val="0"/>
                <w:sz w:val="18"/>
                <w:szCs w:val="18"/>
                <w:vertAlign w:val="superscript"/>
              </w:rPr>
              <w:t>2</w:t>
            </w:r>
          </w:p>
        </w:tc>
        <w:tc>
          <w:tcPr>
            <w:tcW w:w="1260" w:type="dxa"/>
            <w:tcBorders>
              <w:lef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0.905</w:t>
            </w:r>
            <w:r>
              <w:rPr>
                <w:rFonts w:hint="eastAsia" w:ascii="Times New Roman" w:hAnsi="Times New Roman" w:eastAsia="宋体" w:cs="Times New Roman"/>
                <w:kern w:val="0"/>
                <w:sz w:val="18"/>
                <w:szCs w:val="18"/>
              </w:rPr>
              <w:t>1</w:t>
            </w:r>
          </w:p>
        </w:tc>
        <w:tc>
          <w:tcPr>
            <w:tcW w:w="1442" w:type="dxa"/>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0.8989</w:t>
            </w:r>
          </w:p>
        </w:tc>
        <w:tc>
          <w:tcPr>
            <w:tcW w:w="1131" w:type="dxa"/>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0.9646</w:t>
            </w:r>
          </w:p>
        </w:tc>
        <w:tc>
          <w:tcPr>
            <w:tcW w:w="1316" w:type="dxa"/>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0.9669</w:t>
            </w:r>
          </w:p>
        </w:tc>
        <w:tc>
          <w:tcPr>
            <w:tcW w:w="923" w:type="dxa"/>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0.9559</w:t>
            </w:r>
          </w:p>
        </w:tc>
        <w:tc>
          <w:tcPr>
            <w:tcW w:w="1122" w:type="dxa"/>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0.9598</w:t>
            </w:r>
          </w:p>
        </w:tc>
      </w:tr>
    </w:tbl>
    <w:p>
      <w:pPr>
        <w:ind w:firstLine="332" w:firstLineChars="200"/>
        <w:rPr>
          <w:rFonts w:hint="eastAsia"/>
        </w:rPr>
      </w:pPr>
      <w:r>
        <w:rPr>
          <w:rFonts w:ascii="宋体" w:hAnsi="宋体" w:eastAsia="宋体" w:cs="Times New Roman"/>
          <w:sz w:val="18"/>
          <w:szCs w:val="18"/>
        </w:rPr>
        <w:t>注：</w:t>
      </w:r>
      <w:r>
        <w:rPr>
          <w:rFonts w:hint="eastAsia" w:ascii="宋体" w:hAnsi="宋体" w:eastAsia="宋体" w:cs="Times New Roman"/>
          <w:sz w:val="18"/>
          <w:szCs w:val="18"/>
        </w:rPr>
        <w:t>①</w:t>
      </w:r>
      <w:r>
        <w:rPr>
          <w:rFonts w:ascii="Times New Roman" w:hAnsi="Times New Roman" w:eastAsia="宋体" w:cs="Times New Roman"/>
          <w:sz w:val="18"/>
          <w:szCs w:val="18"/>
        </w:rPr>
        <w:t>***</w:t>
      </w:r>
      <w:r>
        <w:rPr>
          <w:rFonts w:ascii="宋体" w:hAnsi="宋体" w:eastAsia="宋体" w:cs="Times New Roman"/>
          <w:sz w:val="18"/>
          <w:szCs w:val="18"/>
        </w:rPr>
        <w:t>、</w:t>
      </w:r>
      <w:r>
        <w:rPr>
          <w:rFonts w:ascii="Times New Roman" w:hAnsi="Times New Roman" w:eastAsia="宋体" w:cs="Times New Roman"/>
          <w:sz w:val="18"/>
          <w:szCs w:val="18"/>
        </w:rPr>
        <w:t>**</w:t>
      </w:r>
      <w:r>
        <w:rPr>
          <w:rFonts w:ascii="宋体" w:hAnsi="宋体" w:eastAsia="宋体" w:cs="Times New Roman"/>
          <w:sz w:val="18"/>
          <w:szCs w:val="18"/>
        </w:rPr>
        <w:t>和</w:t>
      </w:r>
      <w:r>
        <w:rPr>
          <w:rFonts w:ascii="Times New Roman" w:hAnsi="Times New Roman" w:eastAsia="宋体" w:cs="Times New Roman"/>
          <w:sz w:val="18"/>
          <w:szCs w:val="18"/>
        </w:rPr>
        <w:t>*</w:t>
      </w:r>
      <w:r>
        <w:rPr>
          <w:rFonts w:ascii="宋体" w:hAnsi="宋体" w:eastAsia="宋体" w:cs="Times New Roman"/>
          <w:sz w:val="18"/>
          <w:szCs w:val="18"/>
        </w:rPr>
        <w:t>分别表示</w:t>
      </w:r>
      <w:r>
        <w:rPr>
          <w:rFonts w:ascii="Times New Roman" w:hAnsi="Times New Roman" w:eastAsia="宋体" w:cs="Times New Roman"/>
          <w:sz w:val="18"/>
          <w:szCs w:val="18"/>
        </w:rPr>
        <w:t>1%</w:t>
      </w:r>
      <w:r>
        <w:rPr>
          <w:rFonts w:ascii="宋体" w:hAnsi="宋体" w:eastAsia="宋体" w:cs="Times New Roman"/>
          <w:sz w:val="18"/>
          <w:szCs w:val="18"/>
        </w:rPr>
        <w:t>、</w:t>
      </w:r>
      <w:r>
        <w:rPr>
          <w:rFonts w:ascii="Times New Roman" w:hAnsi="Times New Roman" w:eastAsia="宋体" w:cs="Times New Roman"/>
          <w:sz w:val="18"/>
          <w:szCs w:val="18"/>
        </w:rPr>
        <w:t>5%</w:t>
      </w:r>
      <w:r>
        <w:rPr>
          <w:rFonts w:ascii="宋体" w:hAnsi="宋体" w:eastAsia="宋体" w:cs="Times New Roman"/>
          <w:sz w:val="18"/>
          <w:szCs w:val="18"/>
        </w:rPr>
        <w:t>和</w:t>
      </w:r>
      <w:r>
        <w:rPr>
          <w:rFonts w:ascii="Times New Roman" w:hAnsi="Times New Roman" w:eastAsia="宋体" w:cs="Times New Roman"/>
          <w:sz w:val="18"/>
          <w:szCs w:val="18"/>
        </w:rPr>
        <w:t>10%</w:t>
      </w:r>
      <w:r>
        <w:rPr>
          <w:rFonts w:ascii="宋体" w:hAnsi="宋体" w:eastAsia="宋体" w:cs="Times New Roman"/>
          <w:sz w:val="18"/>
          <w:szCs w:val="18"/>
        </w:rPr>
        <w:t>的显著性水平；</w:t>
      </w:r>
      <w:r>
        <w:rPr>
          <w:rFonts w:hint="eastAsia" w:ascii="宋体" w:hAnsi="宋体" w:eastAsia="宋体" w:cs="Times New Roman"/>
          <w:sz w:val="18"/>
          <w:szCs w:val="18"/>
        </w:rPr>
        <w:t>②</w:t>
      </w:r>
      <w:r>
        <w:rPr>
          <w:rFonts w:ascii="宋体" w:hAnsi="宋体" w:eastAsia="宋体" w:cs="Times New Roman"/>
          <w:sz w:val="18"/>
          <w:szCs w:val="18"/>
        </w:rPr>
        <w:t>括号中的数值为聚类到县域层面的稳健标准误。</w:t>
      </w:r>
    </w:p>
    <w:p>
      <w:pPr>
        <w:pStyle w:val="9"/>
        <w:keepNext/>
        <w:ind w:firstLine="332" w:firstLineChars="200"/>
        <w:rPr>
          <w:rFonts w:ascii="Times New Roman" w:hAnsi="Times New Roman" w:cs="Times New Roman"/>
          <w:sz w:val="18"/>
          <w:szCs w:val="18"/>
        </w:rPr>
      </w:pPr>
      <w:r>
        <w:rPr>
          <w:rFonts w:ascii="Times New Roman" w:hAnsi="Times New Roman" w:cs="Times New Roman"/>
          <w:sz w:val="18"/>
          <w:szCs w:val="18"/>
        </w:rPr>
        <w:t>附表</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附表 \* ARABIC </w:instrText>
      </w:r>
      <w:r>
        <w:rPr>
          <w:rFonts w:ascii="Times New Roman" w:hAnsi="Times New Roman" w:cs="Times New Roman"/>
          <w:sz w:val="18"/>
          <w:szCs w:val="18"/>
        </w:rPr>
        <w:fldChar w:fldCharType="separate"/>
      </w:r>
      <w:r>
        <w:rPr>
          <w:rFonts w:ascii="Times New Roman" w:hAnsi="Times New Roman" w:cs="Times New Roman"/>
          <w:sz w:val="18"/>
          <w:szCs w:val="18"/>
        </w:rPr>
        <w:t>4</w:t>
      </w:r>
      <w:r>
        <w:rPr>
          <w:rFonts w:ascii="Times New Roman" w:hAnsi="Times New Roman" w:cs="Times New Roman"/>
          <w:sz w:val="18"/>
          <w:szCs w:val="18"/>
        </w:rPr>
        <w:fldChar w:fldCharType="end"/>
      </w:r>
      <w:r>
        <w:rPr>
          <w:rFonts w:hint="eastAsia" w:ascii="Times New Roman" w:hAnsi="Times New Roman" w:cs="Times New Roman"/>
          <w:sz w:val="18"/>
          <w:szCs w:val="18"/>
        </w:rPr>
        <w:t xml:space="preserve">              资本市场服务下沉影响县域经济增长的工具变量法回归结果</w:t>
      </w:r>
    </w:p>
    <w:tbl>
      <w:tblPr>
        <w:tblStyle w:val="34"/>
        <w:tblW w:w="8608" w:type="dxa"/>
        <w:tblInd w:w="119"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669"/>
        <w:gridCol w:w="2469"/>
        <w:gridCol w:w="2470"/>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669" w:type="dxa"/>
            <w:vMerge w:val="restart"/>
            <w:tcBorders>
              <w:top w:val="single" w:color="auto" w:sz="12" w:space="0"/>
              <w:right w:val="single" w:color="auto" w:sz="4" w:space="0"/>
            </w:tcBorders>
            <w:vAlign w:val="center"/>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变量</w:t>
            </w:r>
          </w:p>
        </w:tc>
        <w:tc>
          <w:tcPr>
            <w:tcW w:w="2469" w:type="dxa"/>
            <w:tcBorders>
              <w:top w:val="single" w:color="auto" w:sz="12" w:space="0"/>
              <w:left w:val="single" w:color="auto" w:sz="4" w:space="0"/>
              <w:righ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2470" w:type="dxa"/>
            <w:tcBorders>
              <w:lef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669" w:type="dxa"/>
            <w:vMerge w:val="continue"/>
            <w:tcBorders>
              <w:bottom w:val="single" w:color="auto" w:sz="6" w:space="0"/>
              <w:right w:val="single" w:color="auto" w:sz="4" w:space="0"/>
            </w:tcBorders>
          </w:tcPr>
          <w:p>
            <w:pPr>
              <w:spacing w:line="300" w:lineRule="exact"/>
              <w:jc w:val="center"/>
              <w:rPr>
                <w:rFonts w:ascii="Times New Roman" w:hAnsi="Times New Roman" w:eastAsia="宋体" w:cs="Times New Roman"/>
                <w:kern w:val="0"/>
                <w:sz w:val="18"/>
                <w:szCs w:val="18"/>
              </w:rPr>
            </w:pPr>
          </w:p>
        </w:tc>
        <w:tc>
          <w:tcPr>
            <w:tcW w:w="2469" w:type="dxa"/>
            <w:tcBorders>
              <w:left w:val="single" w:color="auto" w:sz="4" w:space="0"/>
              <w:bottom w:val="single" w:color="auto" w:sz="6" w:space="0"/>
              <w:righ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资本市场服务下沉</w:t>
            </w:r>
          </w:p>
        </w:tc>
        <w:tc>
          <w:tcPr>
            <w:tcW w:w="2470" w:type="dxa"/>
            <w:tcBorders>
              <w:left w:val="single" w:color="auto" w:sz="4" w:space="0"/>
              <w:bottom w:val="single" w:color="auto" w:sz="6"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县域经济增长</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669" w:type="dxa"/>
            <w:tcBorders>
              <w:top w:val="single" w:color="auto" w:sz="6" w:space="0"/>
              <w:right w:val="single" w:color="auto" w:sz="4" w:space="0"/>
              <w:tl2br w:val="nil"/>
              <w:tr2bl w:val="nil"/>
            </w:tcBorders>
          </w:tcPr>
          <w:p>
            <w:pPr>
              <w:spacing w:line="300" w:lineRule="exact"/>
              <w:jc w:val="lef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工具变量</w:t>
            </w:r>
          </w:p>
        </w:tc>
        <w:tc>
          <w:tcPr>
            <w:tcW w:w="2469" w:type="dxa"/>
            <w:tcBorders>
              <w:top w:val="single" w:color="auto" w:sz="6" w:space="0"/>
              <w:left w:val="single" w:color="auto" w:sz="4" w:space="0"/>
              <w:right w:val="single" w:color="auto" w:sz="4" w:space="0"/>
              <w:tl2br w:val="nil"/>
              <w:tr2bl w:val="nil"/>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.0013</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（0.000</w:t>
            </w:r>
            <w:r>
              <w:rPr>
                <w:rFonts w:hint="eastAsia" w:ascii="Times New Roman" w:hAnsi="Times New Roman" w:eastAsia="宋体" w:cs="Times New Roman"/>
                <w:kern w:val="0"/>
                <w:sz w:val="18"/>
                <w:szCs w:val="18"/>
              </w:rPr>
              <w:t>2</w:t>
            </w:r>
            <w:r>
              <w:rPr>
                <w:rFonts w:ascii="Times New Roman" w:hAnsi="Times New Roman" w:eastAsia="宋体" w:cs="Times New Roman"/>
                <w:kern w:val="0"/>
                <w:sz w:val="18"/>
                <w:szCs w:val="18"/>
              </w:rPr>
              <w:t>）</w:t>
            </w:r>
          </w:p>
        </w:tc>
        <w:tc>
          <w:tcPr>
            <w:tcW w:w="2470" w:type="dxa"/>
            <w:tcBorders>
              <w:top w:val="single" w:color="auto" w:sz="6" w:space="0"/>
              <w:left w:val="single" w:color="auto" w:sz="4" w:space="0"/>
              <w:tl2br w:val="nil"/>
              <w:tr2bl w:val="nil"/>
            </w:tcBorders>
          </w:tcPr>
          <w:p>
            <w:pPr>
              <w:spacing w:line="300" w:lineRule="exact"/>
              <w:jc w:val="center"/>
              <w:rPr>
                <w:rFonts w:ascii="Times New Roman" w:hAnsi="Times New Roman" w:eastAsia="宋体" w:cs="Times New Roman"/>
                <w:kern w:val="0"/>
                <w:sz w:val="18"/>
                <w:szCs w:val="18"/>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669" w:type="dxa"/>
            <w:tcBorders>
              <w:right w:val="single" w:color="auto" w:sz="4" w:space="0"/>
              <w:tl2br w:val="nil"/>
              <w:tr2bl w:val="nil"/>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资本市场服务下沉</w:t>
            </w:r>
          </w:p>
        </w:tc>
        <w:tc>
          <w:tcPr>
            <w:tcW w:w="2469" w:type="dxa"/>
            <w:tcBorders>
              <w:left w:val="single" w:color="auto" w:sz="4" w:space="0"/>
              <w:right w:val="single" w:color="auto" w:sz="4" w:space="0"/>
              <w:tl2br w:val="nil"/>
              <w:tr2bl w:val="nil"/>
            </w:tcBorders>
          </w:tcPr>
          <w:p>
            <w:pPr>
              <w:spacing w:line="300" w:lineRule="exact"/>
              <w:jc w:val="center"/>
              <w:rPr>
                <w:rFonts w:ascii="Times New Roman" w:hAnsi="Times New Roman" w:eastAsia="宋体" w:cs="Times New Roman"/>
                <w:kern w:val="0"/>
                <w:sz w:val="18"/>
                <w:szCs w:val="18"/>
              </w:rPr>
            </w:pPr>
          </w:p>
        </w:tc>
        <w:tc>
          <w:tcPr>
            <w:tcW w:w="2470" w:type="dxa"/>
            <w:tcBorders>
              <w:left w:val="single" w:color="auto" w:sz="4" w:space="0"/>
              <w:tl2br w:val="nil"/>
              <w:tr2bl w:val="nil"/>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0.1</w:t>
            </w:r>
            <w:r>
              <w:rPr>
                <w:rFonts w:hint="eastAsia" w:ascii="Times New Roman" w:hAnsi="Times New Roman" w:eastAsia="宋体" w:cs="Times New Roman"/>
                <w:kern w:val="0"/>
                <w:sz w:val="18"/>
                <w:szCs w:val="18"/>
              </w:rPr>
              <w:t>720</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w:t>
            </w:r>
            <w:r>
              <w:rPr>
                <w:rFonts w:hint="eastAsia" w:ascii="Times New Roman" w:hAnsi="Times New Roman" w:eastAsia="宋体" w:cs="Times New Roman"/>
                <w:kern w:val="0"/>
                <w:sz w:val="18"/>
                <w:szCs w:val="18"/>
              </w:rPr>
              <w:t>328</w:t>
            </w:r>
            <w:r>
              <w:rPr>
                <w:rFonts w:ascii="Times New Roman" w:hAnsi="Times New Roman" w:eastAsia="宋体" w:cs="Times New Roman"/>
                <w:kern w:val="0"/>
                <w:sz w:val="18"/>
                <w:szCs w:val="18"/>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669" w:type="dxa"/>
            <w:tcBorders>
              <w:right w:val="single" w:color="auto" w:sz="4" w:space="0"/>
              <w:tl2br w:val="nil"/>
              <w:tr2bl w:val="nil"/>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农民收入水平</w:t>
            </w:r>
          </w:p>
        </w:tc>
        <w:tc>
          <w:tcPr>
            <w:tcW w:w="2469" w:type="dxa"/>
            <w:tcBorders>
              <w:left w:val="single" w:color="auto" w:sz="4" w:space="0"/>
              <w:right w:val="single" w:color="auto" w:sz="4" w:space="0"/>
              <w:tl2br w:val="nil"/>
              <w:tr2bl w:val="nil"/>
            </w:tcBorders>
          </w:tcPr>
          <w:p>
            <w:pPr>
              <w:spacing w:line="300" w:lineRule="exact"/>
              <w:jc w:val="center"/>
              <w:rPr>
                <w:rFonts w:ascii="Times New Roman" w:hAnsi="Times New Roman" w:eastAsia="宋体" w:cs="Times New Roman"/>
                <w:kern w:val="0"/>
                <w:sz w:val="18"/>
                <w:szCs w:val="18"/>
                <w:vertAlign w:val="superscript"/>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0.0545</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.0271</w:t>
            </w:r>
            <w:r>
              <w:rPr>
                <w:rFonts w:ascii="Times New Roman" w:hAnsi="Times New Roman" w:eastAsia="宋体" w:cs="Times New Roman"/>
                <w:kern w:val="0"/>
                <w:sz w:val="18"/>
                <w:szCs w:val="18"/>
              </w:rPr>
              <w:t>）</w:t>
            </w:r>
          </w:p>
        </w:tc>
        <w:tc>
          <w:tcPr>
            <w:tcW w:w="2470" w:type="dxa"/>
            <w:tcBorders>
              <w:left w:val="single" w:color="auto" w:sz="4" w:space="0"/>
              <w:tl2br w:val="nil"/>
              <w:tr2bl w:val="nil"/>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0.45</w:t>
            </w:r>
            <w:r>
              <w:rPr>
                <w:rFonts w:hint="eastAsia" w:ascii="Times New Roman" w:hAnsi="Times New Roman" w:eastAsia="宋体" w:cs="Times New Roman"/>
                <w:kern w:val="0"/>
                <w:sz w:val="18"/>
                <w:szCs w:val="18"/>
              </w:rPr>
              <w:t>74</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（0.08</w:t>
            </w:r>
            <w:r>
              <w:rPr>
                <w:rFonts w:hint="eastAsia" w:ascii="Times New Roman" w:hAnsi="Times New Roman" w:eastAsia="宋体" w:cs="Times New Roman"/>
                <w:kern w:val="0"/>
                <w:sz w:val="18"/>
                <w:szCs w:val="18"/>
              </w:rPr>
              <w:t>78</w:t>
            </w:r>
            <w:r>
              <w:rPr>
                <w:rFonts w:ascii="Times New Roman" w:hAnsi="Times New Roman" w:eastAsia="宋体" w:cs="Times New Roman"/>
                <w:kern w:val="0"/>
                <w:sz w:val="18"/>
                <w:szCs w:val="18"/>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669" w:type="dxa"/>
            <w:tcBorders>
              <w:right w:val="single" w:color="auto" w:sz="4" w:space="0"/>
              <w:tl2br w:val="nil"/>
              <w:tr2bl w:val="nil"/>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存款水平</w:t>
            </w:r>
          </w:p>
        </w:tc>
        <w:tc>
          <w:tcPr>
            <w:tcW w:w="2469" w:type="dxa"/>
            <w:tcBorders>
              <w:left w:val="single" w:color="auto" w:sz="4" w:space="0"/>
              <w:right w:val="single" w:color="auto" w:sz="4" w:space="0"/>
              <w:tl2br w:val="nil"/>
              <w:tr2bl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0434</w:t>
            </w:r>
            <w:r>
              <w:rPr>
                <w:rFonts w:ascii="Times New Roman" w:hAnsi="Times New Roman" w:eastAsia="宋体" w:cs="Times New Roman"/>
                <w:kern w:val="0"/>
                <w:sz w:val="18"/>
                <w:szCs w:val="18"/>
              </w:rPr>
              <w:t>（0.03</w:t>
            </w:r>
            <w:r>
              <w:rPr>
                <w:rFonts w:hint="eastAsia" w:ascii="Times New Roman" w:hAnsi="Times New Roman" w:eastAsia="宋体" w:cs="Times New Roman"/>
                <w:kern w:val="0"/>
                <w:sz w:val="18"/>
                <w:szCs w:val="18"/>
              </w:rPr>
              <w:t>00</w:t>
            </w:r>
            <w:r>
              <w:rPr>
                <w:rFonts w:ascii="Times New Roman" w:hAnsi="Times New Roman" w:eastAsia="宋体" w:cs="Times New Roman"/>
                <w:kern w:val="0"/>
                <w:sz w:val="18"/>
                <w:szCs w:val="18"/>
              </w:rPr>
              <w:t>）</w:t>
            </w:r>
          </w:p>
        </w:tc>
        <w:tc>
          <w:tcPr>
            <w:tcW w:w="2470" w:type="dxa"/>
            <w:tcBorders>
              <w:left w:val="single" w:color="auto" w:sz="4" w:space="0"/>
              <w:tl2br w:val="nil"/>
              <w:tr2bl w:val="nil"/>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0.172</w:t>
            </w:r>
            <w:r>
              <w:rPr>
                <w:rFonts w:hint="eastAsia" w:ascii="Times New Roman" w:hAnsi="Times New Roman" w:eastAsia="宋体" w:cs="Times New Roman"/>
                <w:kern w:val="0"/>
                <w:sz w:val="18"/>
                <w:szCs w:val="18"/>
              </w:rPr>
              <w:t>8</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（0.0612）</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669" w:type="dxa"/>
            <w:tcBorders>
              <w:right w:val="single" w:color="auto" w:sz="4" w:space="0"/>
              <w:tl2br w:val="nil"/>
              <w:tr2bl w:val="nil"/>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贷款水平</w:t>
            </w:r>
          </w:p>
        </w:tc>
        <w:tc>
          <w:tcPr>
            <w:tcW w:w="2469" w:type="dxa"/>
            <w:tcBorders>
              <w:left w:val="single" w:color="auto" w:sz="4" w:space="0"/>
              <w:right w:val="single" w:color="auto" w:sz="4" w:space="0"/>
              <w:tl2br w:val="nil"/>
              <w:tr2bl w:val="nil"/>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0.0</w:t>
            </w:r>
            <w:r>
              <w:rPr>
                <w:rFonts w:hint="eastAsia" w:ascii="Times New Roman" w:hAnsi="Times New Roman" w:eastAsia="宋体" w:cs="Times New Roman"/>
                <w:kern w:val="0"/>
                <w:sz w:val="18"/>
                <w:szCs w:val="18"/>
              </w:rPr>
              <w:t>405</w:t>
            </w:r>
            <w:r>
              <w:rPr>
                <w:rFonts w:hint="eastAsia"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w:t>
            </w:r>
            <w:r>
              <w:rPr>
                <w:rFonts w:hint="eastAsia" w:ascii="Times New Roman" w:hAnsi="Times New Roman" w:eastAsia="宋体" w:cs="Times New Roman"/>
                <w:kern w:val="0"/>
                <w:sz w:val="18"/>
                <w:szCs w:val="18"/>
              </w:rPr>
              <w:t>136</w:t>
            </w:r>
            <w:r>
              <w:rPr>
                <w:rFonts w:ascii="Times New Roman" w:hAnsi="Times New Roman" w:eastAsia="宋体" w:cs="Times New Roman"/>
                <w:kern w:val="0"/>
                <w:sz w:val="18"/>
                <w:szCs w:val="18"/>
              </w:rPr>
              <w:t>）</w:t>
            </w:r>
          </w:p>
        </w:tc>
        <w:tc>
          <w:tcPr>
            <w:tcW w:w="2470" w:type="dxa"/>
            <w:tcBorders>
              <w:left w:val="single" w:color="auto" w:sz="4" w:space="0"/>
              <w:tl2br w:val="nil"/>
              <w:tr2bl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0.00</w:t>
            </w:r>
            <w:r>
              <w:rPr>
                <w:rFonts w:hint="eastAsia" w:ascii="Times New Roman" w:hAnsi="Times New Roman" w:eastAsia="宋体" w:cs="Times New Roman"/>
                <w:kern w:val="0"/>
                <w:sz w:val="18"/>
                <w:szCs w:val="18"/>
              </w:rPr>
              <w:t>42</w:t>
            </w:r>
            <w:r>
              <w:rPr>
                <w:rFonts w:ascii="Times New Roman" w:hAnsi="Times New Roman" w:eastAsia="宋体" w:cs="Times New Roman"/>
                <w:kern w:val="0"/>
                <w:sz w:val="18"/>
                <w:szCs w:val="18"/>
              </w:rPr>
              <w:t>（0.033</w:t>
            </w:r>
            <w:r>
              <w:rPr>
                <w:rFonts w:hint="eastAsia" w:ascii="Times New Roman" w:hAnsi="Times New Roman" w:eastAsia="宋体" w:cs="Times New Roman"/>
                <w:kern w:val="0"/>
                <w:sz w:val="18"/>
                <w:szCs w:val="18"/>
              </w:rPr>
              <w:t>9</w:t>
            </w:r>
            <w:r>
              <w:rPr>
                <w:rFonts w:ascii="Times New Roman" w:hAnsi="Times New Roman" w:eastAsia="宋体" w:cs="Times New Roman"/>
                <w:kern w:val="0"/>
                <w:sz w:val="18"/>
                <w:szCs w:val="18"/>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669" w:type="dxa"/>
            <w:tcBorders>
              <w:right w:val="single" w:color="auto" w:sz="4" w:space="0"/>
              <w:tl2br w:val="nil"/>
              <w:tr2bl w:val="nil"/>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医疗水平</w:t>
            </w:r>
          </w:p>
        </w:tc>
        <w:tc>
          <w:tcPr>
            <w:tcW w:w="2469" w:type="dxa"/>
            <w:tcBorders>
              <w:left w:val="single" w:color="auto" w:sz="4" w:space="0"/>
              <w:right w:val="single" w:color="auto" w:sz="4" w:space="0"/>
              <w:tl2br w:val="nil"/>
              <w:tr2bl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w:t>
            </w:r>
            <w:r>
              <w:rPr>
                <w:rFonts w:hint="eastAsia" w:ascii="Times New Roman" w:hAnsi="Times New Roman" w:eastAsia="宋体" w:cs="Times New Roman"/>
                <w:kern w:val="0"/>
                <w:sz w:val="18"/>
                <w:szCs w:val="18"/>
              </w:rPr>
              <w:t>058</w:t>
            </w:r>
            <w:r>
              <w:rPr>
                <w:rFonts w:ascii="Times New Roman" w:hAnsi="Times New Roman" w:eastAsia="宋体" w:cs="Times New Roman"/>
                <w:kern w:val="0"/>
                <w:sz w:val="18"/>
                <w:szCs w:val="18"/>
              </w:rPr>
              <w:t>（0.01</w:t>
            </w:r>
            <w:r>
              <w:rPr>
                <w:rFonts w:hint="eastAsia" w:ascii="Times New Roman" w:hAnsi="Times New Roman" w:eastAsia="宋体" w:cs="Times New Roman"/>
                <w:kern w:val="0"/>
                <w:sz w:val="18"/>
                <w:szCs w:val="18"/>
              </w:rPr>
              <w:t>16</w:t>
            </w:r>
            <w:r>
              <w:rPr>
                <w:rFonts w:ascii="Times New Roman" w:hAnsi="Times New Roman" w:eastAsia="宋体" w:cs="Times New Roman"/>
                <w:kern w:val="0"/>
                <w:sz w:val="18"/>
                <w:szCs w:val="18"/>
              </w:rPr>
              <w:t>）</w:t>
            </w:r>
          </w:p>
        </w:tc>
        <w:tc>
          <w:tcPr>
            <w:tcW w:w="2470" w:type="dxa"/>
            <w:tcBorders>
              <w:left w:val="single" w:color="auto" w:sz="4" w:space="0"/>
              <w:tl2br w:val="nil"/>
              <w:tr2bl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.020</w:t>
            </w:r>
            <w:r>
              <w:rPr>
                <w:rFonts w:hint="eastAsia" w:ascii="Times New Roman" w:hAnsi="Times New Roman" w:eastAsia="宋体" w:cs="Times New Roman"/>
                <w:kern w:val="0"/>
                <w:sz w:val="18"/>
                <w:szCs w:val="18"/>
              </w:rPr>
              <w:t>7</w:t>
            </w:r>
            <w:r>
              <w:rPr>
                <w:rFonts w:ascii="Times New Roman" w:hAnsi="Times New Roman" w:eastAsia="宋体" w:cs="Times New Roman"/>
                <w:kern w:val="0"/>
                <w:sz w:val="18"/>
                <w:szCs w:val="18"/>
              </w:rPr>
              <w:t>（0.031</w:t>
            </w:r>
            <w:r>
              <w:rPr>
                <w:rFonts w:hint="eastAsia" w:ascii="Times New Roman" w:hAnsi="Times New Roman" w:eastAsia="宋体" w:cs="Times New Roman"/>
                <w:kern w:val="0"/>
                <w:sz w:val="18"/>
                <w:szCs w:val="18"/>
              </w:rPr>
              <w:t>1</w:t>
            </w:r>
            <w:r>
              <w:rPr>
                <w:rFonts w:ascii="Times New Roman" w:hAnsi="Times New Roman" w:eastAsia="宋体" w:cs="Times New Roman"/>
                <w:kern w:val="0"/>
                <w:sz w:val="18"/>
                <w:szCs w:val="18"/>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669" w:type="dxa"/>
            <w:tcBorders>
              <w:right w:val="single" w:color="auto" w:sz="4" w:space="0"/>
              <w:tl2br w:val="nil"/>
              <w:tr2bl w:val="nil"/>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教育水平</w:t>
            </w:r>
          </w:p>
        </w:tc>
        <w:tc>
          <w:tcPr>
            <w:tcW w:w="2469" w:type="dxa"/>
            <w:tcBorders>
              <w:left w:val="single" w:color="auto" w:sz="4" w:space="0"/>
              <w:right w:val="single" w:color="auto" w:sz="4" w:space="0"/>
              <w:tl2br w:val="nil"/>
              <w:tr2bl w:val="nil"/>
            </w:tcBorders>
          </w:tcPr>
          <w:p>
            <w:pPr>
              <w:spacing w:line="300" w:lineRule="exact"/>
              <w:jc w:val="center"/>
              <w:rPr>
                <w:rFonts w:ascii="Times New Roman" w:hAnsi="Times New Roman" w:eastAsia="宋体" w:cs="Times New Roman"/>
                <w:kern w:val="0"/>
                <w:sz w:val="18"/>
                <w:szCs w:val="18"/>
                <w:vertAlign w:val="superscript"/>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529</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（0.01</w:t>
            </w:r>
            <w:r>
              <w:rPr>
                <w:rFonts w:hint="eastAsia" w:ascii="Times New Roman" w:hAnsi="Times New Roman" w:eastAsia="宋体" w:cs="Times New Roman"/>
                <w:kern w:val="0"/>
                <w:sz w:val="18"/>
                <w:szCs w:val="18"/>
              </w:rPr>
              <w:t>58</w:t>
            </w:r>
            <w:r>
              <w:rPr>
                <w:rFonts w:ascii="Times New Roman" w:hAnsi="Times New Roman" w:eastAsia="宋体" w:cs="Times New Roman"/>
                <w:kern w:val="0"/>
                <w:sz w:val="18"/>
                <w:szCs w:val="18"/>
              </w:rPr>
              <w:t>）</w:t>
            </w:r>
          </w:p>
        </w:tc>
        <w:tc>
          <w:tcPr>
            <w:tcW w:w="2470" w:type="dxa"/>
            <w:tcBorders>
              <w:left w:val="single" w:color="auto" w:sz="4" w:space="0"/>
              <w:tl2br w:val="nil"/>
              <w:tr2bl w:val="nil"/>
            </w:tcBorders>
          </w:tcPr>
          <w:p>
            <w:pPr>
              <w:spacing w:line="300" w:lineRule="exact"/>
              <w:jc w:val="center"/>
              <w:rPr>
                <w:rFonts w:ascii="Times New Roman" w:hAnsi="Times New Roman" w:eastAsia="宋体" w:cs="Times New Roman"/>
                <w:kern w:val="0"/>
                <w:sz w:val="18"/>
                <w:szCs w:val="18"/>
                <w:vertAlign w:val="superscript"/>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.16</w:t>
            </w:r>
            <w:r>
              <w:rPr>
                <w:rFonts w:hint="eastAsia" w:ascii="Times New Roman" w:hAnsi="Times New Roman" w:eastAsia="宋体" w:cs="Times New Roman"/>
                <w:kern w:val="0"/>
                <w:sz w:val="18"/>
                <w:szCs w:val="18"/>
              </w:rPr>
              <w:t>85</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（0.04</w:t>
            </w:r>
            <w:r>
              <w:rPr>
                <w:rFonts w:hint="eastAsia" w:ascii="Times New Roman" w:hAnsi="Times New Roman" w:eastAsia="宋体" w:cs="Times New Roman"/>
                <w:kern w:val="0"/>
                <w:sz w:val="18"/>
                <w:szCs w:val="18"/>
              </w:rPr>
              <w:t>39</w:t>
            </w:r>
            <w:r>
              <w:rPr>
                <w:rFonts w:ascii="Times New Roman" w:hAnsi="Times New Roman" w:eastAsia="宋体" w:cs="Times New Roman"/>
                <w:kern w:val="0"/>
                <w:sz w:val="18"/>
                <w:szCs w:val="18"/>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669" w:type="dxa"/>
            <w:tcBorders>
              <w:right w:val="single" w:color="auto" w:sz="4" w:space="0"/>
              <w:tl2br w:val="nil"/>
              <w:tr2bl w:val="nil"/>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设施农业发展水平</w:t>
            </w:r>
          </w:p>
        </w:tc>
        <w:tc>
          <w:tcPr>
            <w:tcW w:w="2469" w:type="dxa"/>
            <w:tcBorders>
              <w:left w:val="single" w:color="auto" w:sz="4" w:space="0"/>
              <w:right w:val="single" w:color="auto" w:sz="4" w:space="0"/>
              <w:tl2br w:val="nil"/>
              <w:tr2bl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0.0050</w:t>
            </w:r>
            <w:r>
              <w:rPr>
                <w:rFonts w:ascii="Times New Roman" w:hAnsi="Times New Roman" w:eastAsia="宋体" w:cs="Times New Roman"/>
                <w:kern w:val="0"/>
                <w:sz w:val="18"/>
                <w:szCs w:val="18"/>
              </w:rPr>
              <w:t>（0.00</w:t>
            </w:r>
            <w:r>
              <w:rPr>
                <w:rFonts w:hint="eastAsia" w:ascii="Times New Roman" w:hAnsi="Times New Roman" w:eastAsia="宋体" w:cs="Times New Roman"/>
                <w:kern w:val="0"/>
                <w:sz w:val="18"/>
                <w:szCs w:val="18"/>
              </w:rPr>
              <w:t>34</w:t>
            </w:r>
            <w:r>
              <w:rPr>
                <w:rFonts w:ascii="Times New Roman" w:hAnsi="Times New Roman" w:eastAsia="宋体" w:cs="Times New Roman"/>
                <w:kern w:val="0"/>
                <w:sz w:val="18"/>
                <w:szCs w:val="18"/>
              </w:rPr>
              <w:t>）</w:t>
            </w:r>
          </w:p>
        </w:tc>
        <w:tc>
          <w:tcPr>
            <w:tcW w:w="2470" w:type="dxa"/>
            <w:tcBorders>
              <w:left w:val="single" w:color="auto" w:sz="4" w:space="0"/>
              <w:tl2br w:val="nil"/>
              <w:tr2bl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.0030（0.0073）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669" w:type="dxa"/>
            <w:tcBorders>
              <w:right w:val="single" w:color="auto" w:sz="4" w:space="0"/>
              <w:tl2br w:val="nil"/>
              <w:tr2bl w:val="nil"/>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政府干预水平</w:t>
            </w:r>
          </w:p>
        </w:tc>
        <w:tc>
          <w:tcPr>
            <w:tcW w:w="2469" w:type="dxa"/>
            <w:tcBorders>
              <w:left w:val="single" w:color="auto" w:sz="4" w:space="0"/>
              <w:right w:val="single" w:color="auto" w:sz="4" w:space="0"/>
              <w:tl2br w:val="nil"/>
              <w:tr2bl w:val="nil"/>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0.0</w:t>
            </w:r>
            <w:r>
              <w:rPr>
                <w:rFonts w:hint="eastAsia" w:ascii="Times New Roman" w:hAnsi="Times New Roman" w:eastAsia="宋体" w:cs="Times New Roman"/>
                <w:kern w:val="0"/>
                <w:sz w:val="18"/>
                <w:szCs w:val="18"/>
              </w:rPr>
              <w:t>609</w:t>
            </w:r>
            <w:r>
              <w:rPr>
                <w:rFonts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（0.01</w:t>
            </w:r>
            <w:r>
              <w:rPr>
                <w:rFonts w:hint="eastAsia" w:ascii="Times New Roman" w:hAnsi="Times New Roman" w:eastAsia="宋体" w:cs="Times New Roman"/>
                <w:kern w:val="0"/>
                <w:sz w:val="18"/>
                <w:szCs w:val="18"/>
              </w:rPr>
              <w:t>98</w:t>
            </w:r>
            <w:r>
              <w:rPr>
                <w:rFonts w:ascii="Times New Roman" w:hAnsi="Times New Roman" w:eastAsia="宋体" w:cs="Times New Roman"/>
                <w:kern w:val="0"/>
                <w:sz w:val="18"/>
                <w:szCs w:val="18"/>
              </w:rPr>
              <w:t>）</w:t>
            </w:r>
          </w:p>
        </w:tc>
        <w:tc>
          <w:tcPr>
            <w:tcW w:w="2470" w:type="dxa"/>
            <w:tcBorders>
              <w:left w:val="single" w:color="auto" w:sz="4" w:space="0"/>
              <w:tl2br w:val="nil"/>
              <w:tr2bl w:val="nil"/>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0.242</w:t>
            </w:r>
            <w:r>
              <w:rPr>
                <w:rFonts w:hint="eastAsia" w:ascii="Times New Roman" w:hAnsi="Times New Roman" w:eastAsia="宋体" w:cs="Times New Roman"/>
                <w:kern w:val="0"/>
                <w:sz w:val="18"/>
                <w:szCs w:val="18"/>
              </w:rPr>
              <w:t>1</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（0.050</w:t>
            </w:r>
            <w:r>
              <w:rPr>
                <w:rFonts w:hint="eastAsia" w:ascii="Times New Roman" w:hAnsi="Times New Roman" w:eastAsia="宋体" w:cs="Times New Roman"/>
                <w:kern w:val="0"/>
                <w:sz w:val="18"/>
                <w:szCs w:val="18"/>
              </w:rPr>
              <w:t>2</w:t>
            </w:r>
            <w:r>
              <w:rPr>
                <w:rFonts w:ascii="Times New Roman" w:hAnsi="Times New Roman" w:eastAsia="宋体" w:cs="Times New Roman"/>
                <w:kern w:val="0"/>
                <w:sz w:val="18"/>
                <w:szCs w:val="18"/>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669" w:type="dxa"/>
            <w:tcBorders>
              <w:right w:val="single" w:color="auto" w:sz="4" w:space="0"/>
              <w:tl2br w:val="nil"/>
              <w:tr2bl w:val="nil"/>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消费水平</w:t>
            </w:r>
          </w:p>
        </w:tc>
        <w:tc>
          <w:tcPr>
            <w:tcW w:w="2469" w:type="dxa"/>
            <w:tcBorders>
              <w:left w:val="single" w:color="auto" w:sz="4" w:space="0"/>
              <w:right w:val="single" w:color="auto" w:sz="4" w:space="0"/>
              <w:tl2br w:val="nil"/>
              <w:tr2bl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0.0180</w:t>
            </w:r>
            <w:r>
              <w:rPr>
                <w:rFonts w:ascii="Times New Roman" w:hAnsi="Times New Roman" w:eastAsia="宋体" w:cs="Times New Roman"/>
                <w:kern w:val="0"/>
                <w:sz w:val="18"/>
                <w:szCs w:val="18"/>
              </w:rPr>
              <w:t>（0.01</w:t>
            </w:r>
            <w:r>
              <w:rPr>
                <w:rFonts w:hint="eastAsia" w:ascii="Times New Roman" w:hAnsi="Times New Roman" w:eastAsia="宋体" w:cs="Times New Roman"/>
                <w:kern w:val="0"/>
                <w:sz w:val="18"/>
                <w:szCs w:val="18"/>
              </w:rPr>
              <w:t>56</w:t>
            </w:r>
            <w:r>
              <w:rPr>
                <w:rFonts w:ascii="Times New Roman" w:hAnsi="Times New Roman" w:eastAsia="宋体" w:cs="Times New Roman"/>
                <w:kern w:val="0"/>
                <w:sz w:val="18"/>
                <w:szCs w:val="18"/>
              </w:rPr>
              <w:t>）</w:t>
            </w:r>
          </w:p>
        </w:tc>
        <w:tc>
          <w:tcPr>
            <w:tcW w:w="2470" w:type="dxa"/>
            <w:tcBorders>
              <w:left w:val="single" w:color="auto" w:sz="4" w:space="0"/>
              <w:tl2br w:val="nil"/>
              <w:tr2bl w:val="nil"/>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0.185</w:t>
            </w:r>
            <w:r>
              <w:rPr>
                <w:rFonts w:hint="eastAsia" w:ascii="Times New Roman" w:hAnsi="Times New Roman" w:eastAsia="宋体" w:cs="Times New Roman"/>
                <w:kern w:val="0"/>
                <w:sz w:val="18"/>
                <w:szCs w:val="18"/>
              </w:rPr>
              <w:t>7</w:t>
            </w:r>
            <w:r>
              <w:rPr>
                <w:rFonts w:ascii="Times New Roman" w:hAnsi="Times New Roman" w:eastAsia="宋体" w:cs="Times New Roman"/>
                <w:kern w:val="0"/>
                <w:sz w:val="18"/>
                <w:szCs w:val="18"/>
                <w:vertAlign w:val="superscript"/>
              </w:rPr>
              <w:t xml:space="preserve"> ***</w:t>
            </w:r>
            <w:r>
              <w:rPr>
                <w:rFonts w:ascii="Times New Roman" w:hAnsi="Times New Roman" w:eastAsia="宋体" w:cs="Times New Roman"/>
                <w:kern w:val="0"/>
                <w:sz w:val="18"/>
                <w:szCs w:val="18"/>
              </w:rPr>
              <w:t>（0.034</w:t>
            </w:r>
            <w:r>
              <w:rPr>
                <w:rFonts w:hint="eastAsia" w:ascii="Times New Roman" w:hAnsi="Times New Roman" w:eastAsia="宋体" w:cs="Times New Roman"/>
                <w:kern w:val="0"/>
                <w:sz w:val="18"/>
                <w:szCs w:val="18"/>
              </w:rPr>
              <w:t>2</w:t>
            </w:r>
            <w:r>
              <w:rPr>
                <w:rFonts w:ascii="Times New Roman" w:hAnsi="Times New Roman" w:eastAsia="宋体" w:cs="Times New Roman"/>
                <w:kern w:val="0"/>
                <w:sz w:val="18"/>
                <w:szCs w:val="18"/>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669" w:type="dxa"/>
            <w:tcBorders>
              <w:right w:val="single" w:color="auto" w:sz="4" w:space="0"/>
              <w:tl2br w:val="nil"/>
              <w:tr2bl w:val="nil"/>
            </w:tcBorders>
          </w:tcPr>
          <w:p>
            <w:pPr>
              <w:spacing w:line="300" w:lineRule="exact"/>
              <w:jc w:val="lef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县域</w:t>
            </w:r>
            <w:r>
              <w:rPr>
                <w:rFonts w:ascii="Times New Roman" w:hAnsi="Times New Roman" w:eastAsia="宋体" w:cs="Times New Roman"/>
                <w:kern w:val="0"/>
                <w:sz w:val="18"/>
                <w:szCs w:val="18"/>
              </w:rPr>
              <w:t>固定效应</w:t>
            </w:r>
          </w:p>
        </w:tc>
        <w:tc>
          <w:tcPr>
            <w:tcW w:w="2469" w:type="dxa"/>
            <w:tcBorders>
              <w:left w:val="single" w:color="auto" w:sz="4" w:space="0"/>
              <w:right w:val="single" w:color="auto" w:sz="4" w:space="0"/>
              <w:tl2br w:val="nil"/>
              <w:tr2bl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2470" w:type="dxa"/>
            <w:tcBorders>
              <w:left w:val="single" w:color="auto" w:sz="4" w:space="0"/>
              <w:tl2br w:val="nil"/>
              <w:tr2bl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669" w:type="dxa"/>
            <w:tcBorders>
              <w:bottom w:val="single" w:color="auto" w:sz="4" w:space="0"/>
              <w:right w:val="single" w:color="auto" w:sz="4" w:space="0"/>
              <w:tl2br w:val="nil"/>
              <w:tr2bl w:val="nil"/>
            </w:tcBorders>
          </w:tcPr>
          <w:p>
            <w:pPr>
              <w:spacing w:line="300" w:lineRule="exact"/>
              <w:jc w:val="lef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年份</w:t>
            </w:r>
            <w:r>
              <w:rPr>
                <w:rFonts w:ascii="Times New Roman" w:hAnsi="Times New Roman" w:eastAsia="宋体" w:cs="Times New Roman"/>
                <w:kern w:val="0"/>
                <w:sz w:val="18"/>
                <w:szCs w:val="18"/>
              </w:rPr>
              <w:t>固定效应</w:t>
            </w:r>
          </w:p>
        </w:tc>
        <w:tc>
          <w:tcPr>
            <w:tcW w:w="2469" w:type="dxa"/>
            <w:tcBorders>
              <w:left w:val="single" w:color="auto" w:sz="4" w:space="0"/>
              <w:bottom w:val="single" w:color="auto" w:sz="4" w:space="0"/>
              <w:right w:val="single" w:color="auto" w:sz="4" w:space="0"/>
              <w:tl2br w:val="nil"/>
              <w:tr2bl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2470" w:type="dxa"/>
            <w:tcBorders>
              <w:left w:val="single" w:color="auto" w:sz="4" w:space="0"/>
              <w:bottom w:val="single" w:color="auto" w:sz="4" w:space="0"/>
              <w:tl2br w:val="nil"/>
              <w:tr2bl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669" w:type="dxa"/>
            <w:tcBorders>
              <w:top w:val="single" w:color="auto" w:sz="4" w:space="0"/>
              <w:right w:val="single" w:color="auto" w:sz="4" w:space="0"/>
              <w:tl2br w:val="nil"/>
              <w:tr2bl w:val="nil"/>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观测值数</w:t>
            </w:r>
          </w:p>
        </w:tc>
        <w:tc>
          <w:tcPr>
            <w:tcW w:w="2469" w:type="dxa"/>
            <w:tcBorders>
              <w:top w:val="single" w:color="auto" w:sz="4" w:space="0"/>
              <w:left w:val="single" w:color="auto" w:sz="4" w:space="0"/>
              <w:right w:val="single" w:color="auto" w:sz="4" w:space="0"/>
              <w:tl2br w:val="nil"/>
              <w:tr2bl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45</w:t>
            </w:r>
            <w:r>
              <w:rPr>
                <w:rFonts w:hint="eastAsia" w:ascii="Times New Roman" w:hAnsi="Times New Roman" w:eastAsia="宋体" w:cs="Times New Roman"/>
                <w:kern w:val="0"/>
                <w:sz w:val="18"/>
                <w:szCs w:val="18"/>
              </w:rPr>
              <w:t>63</w:t>
            </w:r>
          </w:p>
        </w:tc>
        <w:tc>
          <w:tcPr>
            <w:tcW w:w="2470" w:type="dxa"/>
            <w:tcBorders>
              <w:top w:val="single" w:color="auto" w:sz="4" w:space="0"/>
              <w:left w:val="single" w:color="auto" w:sz="4" w:space="0"/>
              <w:tl2br w:val="nil"/>
              <w:tr2bl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45</w:t>
            </w:r>
            <w:r>
              <w:rPr>
                <w:rFonts w:hint="eastAsia" w:ascii="Times New Roman" w:hAnsi="Times New Roman" w:eastAsia="宋体" w:cs="Times New Roman"/>
                <w:kern w:val="0"/>
                <w:sz w:val="18"/>
                <w:szCs w:val="18"/>
              </w:rPr>
              <w:t>63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669" w:type="dxa"/>
            <w:tcBorders>
              <w:bottom w:val="single" w:color="auto" w:sz="4" w:space="0"/>
              <w:right w:val="single" w:color="auto" w:sz="4" w:space="0"/>
              <w:tl2br w:val="nil"/>
              <w:tr2bl w:val="nil"/>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Kleibergen-Paap rk LM 统计量和Chi-sq(1) P-val</w:t>
            </w:r>
          </w:p>
        </w:tc>
        <w:tc>
          <w:tcPr>
            <w:tcW w:w="2469" w:type="dxa"/>
            <w:tcBorders>
              <w:left w:val="single" w:color="auto" w:sz="4" w:space="0"/>
              <w:bottom w:val="single" w:color="auto" w:sz="4" w:space="0"/>
              <w:right w:val="single" w:color="auto" w:sz="4" w:space="0"/>
              <w:tl2br w:val="nil"/>
              <w:tr2bl w:val="nil"/>
            </w:tcBorders>
          </w:tcPr>
          <w:p>
            <w:pPr>
              <w:spacing w:line="300" w:lineRule="exact"/>
              <w:jc w:val="center"/>
              <w:rPr>
                <w:rFonts w:ascii="Times New Roman" w:hAnsi="Times New Roman" w:eastAsia="宋体" w:cs="Times New Roman"/>
                <w:kern w:val="0"/>
                <w:sz w:val="18"/>
                <w:szCs w:val="18"/>
              </w:rPr>
            </w:pPr>
          </w:p>
        </w:tc>
        <w:tc>
          <w:tcPr>
            <w:tcW w:w="2470" w:type="dxa"/>
            <w:tcBorders>
              <w:left w:val="single" w:color="auto" w:sz="4" w:space="0"/>
              <w:bottom w:val="single" w:color="auto" w:sz="4" w:space="0"/>
              <w:tl2br w:val="nil"/>
              <w:tr2bl w:val="nil"/>
            </w:tcBorders>
          </w:tcPr>
          <w:p>
            <w:pPr>
              <w:spacing w:line="300" w:lineRule="exact"/>
              <w:jc w:val="center"/>
              <w:rPr>
                <w:rFonts w:hint="eastAsia" w:ascii="宋体" w:hAnsi="宋体" w:eastAsia="宋体" w:cs="宋体"/>
                <w:kern w:val="0"/>
                <w:sz w:val="18"/>
                <w:szCs w:val="18"/>
              </w:rPr>
            </w:pPr>
            <w:r>
              <w:rPr>
                <w:rFonts w:hint="eastAsia" w:ascii="Times New Roman" w:hAnsi="Times New Roman" w:eastAsia="宋体" w:cs="Times New Roman"/>
                <w:kern w:val="0"/>
                <w:sz w:val="18"/>
                <w:szCs w:val="18"/>
              </w:rPr>
              <w:t>63.340</w:t>
            </w:r>
            <w:r>
              <w:rPr>
                <w:rFonts w:ascii="Times New Roman" w:hAnsi="Times New Roman" w:eastAsia="宋体" w:cs="Times New Roman"/>
                <w:kern w:val="0"/>
                <w:sz w:val="18"/>
                <w:szCs w:val="18"/>
              </w:rPr>
              <w:t>0</w:t>
            </w:r>
            <w:r>
              <w:rPr>
                <w:rFonts w:hint="eastAsia" w:ascii="宋体" w:hAnsi="宋体" w:eastAsia="宋体" w:cs="Times New Roman"/>
                <w:sz w:val="18"/>
                <w:szCs w:val="18"/>
              </w:rPr>
              <w:t xml:space="preserve"> </w:t>
            </w:r>
            <w:r>
              <w:rPr>
                <w:rFonts w:hint="eastAsia" w:ascii="宋体" w:hAnsi="宋体" w:eastAsia="宋体" w:cs="宋体"/>
                <w:kern w:val="0"/>
                <w:sz w:val="18"/>
                <w:szCs w:val="18"/>
              </w:rPr>
              <w:t>[</w:t>
            </w:r>
            <w:r>
              <w:rPr>
                <w:rFonts w:ascii="Times New Roman" w:hAnsi="Times New Roman" w:eastAsia="宋体" w:cs="Times New Roman"/>
                <w:kern w:val="0"/>
                <w:sz w:val="18"/>
                <w:szCs w:val="18"/>
              </w:rPr>
              <w:t>0.0000</w:t>
            </w:r>
            <w:r>
              <w:rPr>
                <w:rFonts w:hint="eastAsia" w:ascii="宋体" w:hAnsi="宋体" w:eastAsia="宋体" w:cs="宋体"/>
                <w:kern w:val="0"/>
                <w:sz w:val="18"/>
                <w:szCs w:val="18"/>
              </w:rPr>
              <w:t>]</w:t>
            </w:r>
          </w:p>
          <w:p>
            <w:pPr>
              <w:spacing w:line="300" w:lineRule="exact"/>
              <w:jc w:val="center"/>
              <w:rPr>
                <w:rFonts w:ascii="Times New Roman" w:hAnsi="Times New Roman" w:eastAsia="宋体" w:cs="Times New Roman"/>
                <w:kern w:val="0"/>
                <w:sz w:val="18"/>
                <w:szCs w:val="18"/>
              </w:rPr>
            </w:pPr>
          </w:p>
        </w:tc>
      </w:tr>
    </w:tbl>
    <w:p/>
    <w:p>
      <w:pPr>
        <w:pStyle w:val="2"/>
        <w:keepNext w:val="0"/>
        <w:keepLines w:val="0"/>
        <w:pageBreakBefore w:val="0"/>
        <w:widowControl w:val="0"/>
        <w:kinsoku/>
        <w:wordWrap/>
        <w:overflowPunct/>
        <w:topLinePunct w:val="0"/>
        <w:autoSpaceDE/>
        <w:autoSpaceDN/>
        <w:bidi w:val="0"/>
        <w:adjustRightInd/>
        <w:snapToGrid/>
        <w:spacing w:line="240" w:lineRule="atLeast"/>
        <w:ind w:firstLine="0"/>
        <w:textAlignment w:val="auto"/>
        <w:rPr>
          <w:rFonts w:ascii="Times New Roman" w:hAnsi="Times New Roman" w:eastAsia="黑体" w:cs="Times New Roman"/>
          <w:sz w:val="18"/>
          <w:szCs w:val="18"/>
        </w:rPr>
      </w:pPr>
      <w:r>
        <w:rPr>
          <w:rFonts w:ascii="Times New Roman" w:hAnsi="Times New Roman" w:eastAsia="黑体" w:cs="Times New Roman"/>
          <w:sz w:val="18"/>
          <w:szCs w:val="18"/>
        </w:rPr>
        <w:t>附表</w:t>
      </w:r>
      <w:r>
        <w:rPr>
          <w:rFonts w:ascii="Times New Roman" w:hAnsi="Times New Roman" w:eastAsia="黑体" w:cs="Times New Roman"/>
          <w:sz w:val="18"/>
          <w:szCs w:val="18"/>
        </w:rPr>
        <w:fldChar w:fldCharType="begin"/>
      </w:r>
      <w:r>
        <w:rPr>
          <w:rFonts w:ascii="Times New Roman" w:hAnsi="Times New Roman" w:eastAsia="黑体" w:cs="Times New Roman"/>
          <w:sz w:val="18"/>
          <w:szCs w:val="18"/>
        </w:rPr>
        <w:instrText xml:space="preserve"> SEQ 附表 \* ARABIC </w:instrText>
      </w:r>
      <w:r>
        <w:rPr>
          <w:rFonts w:ascii="Times New Roman" w:hAnsi="Times New Roman" w:eastAsia="黑体" w:cs="Times New Roman"/>
          <w:sz w:val="18"/>
          <w:szCs w:val="18"/>
        </w:rPr>
        <w:fldChar w:fldCharType="separate"/>
      </w:r>
      <w:r>
        <w:rPr>
          <w:rFonts w:ascii="Times New Roman" w:hAnsi="Times New Roman" w:eastAsia="黑体" w:cs="Times New Roman"/>
          <w:sz w:val="18"/>
          <w:szCs w:val="18"/>
        </w:rPr>
        <w:t>4</w:t>
      </w:r>
      <w:r>
        <w:rPr>
          <w:rFonts w:ascii="Times New Roman" w:hAnsi="Times New Roman" w:eastAsia="黑体" w:cs="Times New Roman"/>
          <w:sz w:val="18"/>
          <w:szCs w:val="18"/>
        </w:rPr>
        <w:fldChar w:fldCharType="end"/>
      </w:r>
    </w:p>
    <w:tbl>
      <w:tblPr>
        <w:tblStyle w:val="34"/>
        <w:tblW w:w="8608" w:type="dxa"/>
        <w:tblInd w:w="119"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669"/>
        <w:gridCol w:w="2469"/>
        <w:gridCol w:w="2470"/>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669" w:type="dxa"/>
            <w:tcBorders>
              <w:top w:val="single" w:color="auto" w:sz="4" w:space="0"/>
              <w:right w:val="single" w:color="auto" w:sz="4" w:space="0"/>
              <w:tl2br w:val="nil"/>
              <w:tr2bl w:val="nil"/>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Cragg-Donald Wald F 统计量</w:t>
            </w:r>
          </w:p>
        </w:tc>
        <w:tc>
          <w:tcPr>
            <w:tcW w:w="2469" w:type="dxa"/>
            <w:tcBorders>
              <w:top w:val="single" w:color="auto" w:sz="4" w:space="0"/>
              <w:left w:val="single" w:color="auto" w:sz="4" w:space="0"/>
              <w:right w:val="single" w:color="auto" w:sz="4" w:space="0"/>
              <w:tl2br w:val="nil"/>
              <w:tr2bl w:val="nil"/>
            </w:tcBorders>
          </w:tcPr>
          <w:p>
            <w:pPr>
              <w:spacing w:line="300" w:lineRule="exact"/>
              <w:jc w:val="center"/>
              <w:rPr>
                <w:rFonts w:ascii="Times New Roman" w:hAnsi="Times New Roman" w:eastAsia="宋体" w:cs="Times New Roman"/>
                <w:kern w:val="0"/>
                <w:sz w:val="18"/>
                <w:szCs w:val="18"/>
              </w:rPr>
            </w:pPr>
          </w:p>
        </w:tc>
        <w:tc>
          <w:tcPr>
            <w:tcW w:w="2470" w:type="dxa"/>
            <w:tcBorders>
              <w:top w:val="single" w:color="auto" w:sz="4" w:space="0"/>
              <w:left w:val="single" w:color="auto" w:sz="4" w:space="0"/>
              <w:tl2br w:val="nil"/>
              <w:tr2bl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5414.5880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669" w:type="dxa"/>
            <w:tcBorders>
              <w:right w:val="single" w:color="auto" w:sz="4" w:space="0"/>
              <w:tl2br w:val="nil"/>
              <w:tr2bl w:val="nil"/>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Anderson-Rubin Wald test和p值</w:t>
            </w:r>
          </w:p>
        </w:tc>
        <w:tc>
          <w:tcPr>
            <w:tcW w:w="2469" w:type="dxa"/>
            <w:tcBorders>
              <w:left w:val="single" w:color="auto" w:sz="4" w:space="0"/>
              <w:right w:val="single" w:color="auto" w:sz="4" w:space="0"/>
              <w:tl2br w:val="nil"/>
              <w:tr2bl w:val="nil"/>
            </w:tcBorders>
          </w:tcPr>
          <w:p>
            <w:pPr>
              <w:spacing w:line="300" w:lineRule="exact"/>
              <w:jc w:val="center"/>
              <w:rPr>
                <w:rFonts w:ascii="Times New Roman" w:hAnsi="Times New Roman" w:eastAsia="宋体" w:cs="Times New Roman"/>
                <w:kern w:val="0"/>
                <w:sz w:val="18"/>
                <w:szCs w:val="18"/>
              </w:rPr>
            </w:pPr>
          </w:p>
        </w:tc>
        <w:tc>
          <w:tcPr>
            <w:tcW w:w="2470" w:type="dxa"/>
            <w:tcBorders>
              <w:left w:val="single" w:color="auto" w:sz="4" w:space="0"/>
              <w:tl2br w:val="nil"/>
              <w:tr2bl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15.87</w:t>
            </w:r>
            <w:r>
              <w:rPr>
                <w:rFonts w:ascii="Times New Roman" w:hAnsi="Times New Roman" w:eastAsia="宋体" w:cs="Times New Roman"/>
                <w:kern w:val="0"/>
                <w:sz w:val="18"/>
                <w:szCs w:val="18"/>
              </w:rPr>
              <w:t>00</w:t>
            </w:r>
            <w:r>
              <w:rPr>
                <w:rFonts w:hint="eastAsia" w:ascii="宋体" w:hAnsi="宋体" w:eastAsia="宋体" w:cs="Times New Roman"/>
                <w:sz w:val="18"/>
                <w:szCs w:val="18"/>
              </w:rPr>
              <w:t xml:space="preserve"> </w:t>
            </w:r>
            <w:r>
              <w:rPr>
                <w:rFonts w:hint="eastAsia" w:ascii="宋体" w:hAnsi="宋体" w:eastAsia="宋体" w:cs="宋体"/>
                <w:kern w:val="0"/>
                <w:sz w:val="18"/>
                <w:szCs w:val="18"/>
              </w:rPr>
              <w:t>[</w:t>
            </w:r>
            <w:r>
              <w:rPr>
                <w:rFonts w:ascii="Times New Roman" w:hAnsi="Times New Roman" w:eastAsia="宋体" w:cs="Times New Roman"/>
                <w:kern w:val="0"/>
                <w:sz w:val="18"/>
                <w:szCs w:val="18"/>
              </w:rPr>
              <w:t>0.000</w:t>
            </w:r>
            <w:r>
              <w:rPr>
                <w:rFonts w:hint="eastAsia" w:ascii="Times New Roman" w:hAnsi="Times New Roman" w:eastAsia="宋体" w:cs="Times New Roman"/>
                <w:kern w:val="0"/>
                <w:sz w:val="18"/>
                <w:szCs w:val="18"/>
              </w:rPr>
              <w:t>1</w:t>
            </w:r>
            <w:r>
              <w:rPr>
                <w:rFonts w:hint="eastAsia" w:ascii="宋体" w:hAnsi="宋体" w:eastAsia="宋体" w:cs="宋体"/>
                <w:kern w:val="0"/>
                <w:sz w:val="18"/>
                <w:szCs w:val="18"/>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669" w:type="dxa"/>
            <w:tcBorders>
              <w:bottom w:val="single" w:color="auto" w:sz="12" w:space="0"/>
              <w:right w:val="single" w:color="auto" w:sz="4" w:space="0"/>
              <w:tl2br w:val="nil"/>
              <w:tr2bl w:val="nil"/>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R</w:t>
            </w:r>
            <w:r>
              <w:rPr>
                <w:rFonts w:ascii="Times New Roman" w:hAnsi="Times New Roman" w:eastAsia="宋体" w:cs="Times New Roman"/>
                <w:kern w:val="0"/>
                <w:sz w:val="18"/>
                <w:szCs w:val="18"/>
                <w:vertAlign w:val="superscript"/>
              </w:rPr>
              <w:t>2</w:t>
            </w:r>
          </w:p>
        </w:tc>
        <w:tc>
          <w:tcPr>
            <w:tcW w:w="2469" w:type="dxa"/>
            <w:tcBorders>
              <w:left w:val="single" w:color="auto" w:sz="4" w:space="0"/>
              <w:bottom w:val="single" w:color="auto" w:sz="12" w:space="0"/>
              <w:right w:val="single" w:color="auto" w:sz="4" w:space="0"/>
              <w:tl2br w:val="nil"/>
              <w:tr2bl w:val="nil"/>
            </w:tcBorders>
          </w:tcPr>
          <w:p>
            <w:pPr>
              <w:spacing w:line="300" w:lineRule="exact"/>
              <w:jc w:val="center"/>
              <w:rPr>
                <w:rFonts w:ascii="Times New Roman" w:hAnsi="Times New Roman" w:eastAsia="宋体" w:cs="Times New Roman"/>
                <w:kern w:val="0"/>
                <w:sz w:val="18"/>
                <w:szCs w:val="18"/>
              </w:rPr>
            </w:pPr>
          </w:p>
        </w:tc>
        <w:tc>
          <w:tcPr>
            <w:tcW w:w="2470" w:type="dxa"/>
            <w:tcBorders>
              <w:left w:val="single" w:color="auto" w:sz="4" w:space="0"/>
              <w:tl2br w:val="nil"/>
              <w:tr2bl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0.6306</w:t>
            </w:r>
          </w:p>
        </w:tc>
      </w:tr>
    </w:tbl>
    <w:p>
      <w:pPr>
        <w:ind w:firstLine="332" w:firstLineChars="200"/>
        <w:rPr>
          <w:rFonts w:hint="eastAsia"/>
        </w:rPr>
      </w:pPr>
      <w:r>
        <w:rPr>
          <w:rFonts w:ascii="Times New Roman" w:hAnsi="Times New Roman" w:eastAsia="宋体" w:cs="Times New Roman"/>
          <w:sz w:val="18"/>
          <w:szCs w:val="18"/>
        </w:rPr>
        <w:t>注：</w:t>
      </w:r>
      <w:r>
        <w:rPr>
          <w:rFonts w:hint="eastAsia" w:ascii="Cambria Math" w:hAnsi="Cambria Math" w:eastAsia="宋体" w:cs="Cambria Math"/>
          <w:sz w:val="18"/>
          <w:szCs w:val="18"/>
        </w:rPr>
        <w:t>①</w:t>
      </w:r>
      <w:r>
        <w:rPr>
          <w:rFonts w:ascii="Times New Roman" w:hAnsi="Times New Roman" w:eastAsia="宋体" w:cs="Times New Roman"/>
          <w:sz w:val="18"/>
          <w:szCs w:val="18"/>
        </w:rPr>
        <w:t>***和**分别表示1%和5%的显著性水平。</w:t>
      </w:r>
      <w:r>
        <w:rPr>
          <w:rFonts w:hint="eastAsia" w:ascii="Cambria Math" w:hAnsi="Cambria Math" w:eastAsia="宋体" w:cs="Cambria Math"/>
          <w:sz w:val="18"/>
          <w:szCs w:val="18"/>
        </w:rPr>
        <w:t>②小</w:t>
      </w:r>
      <w:r>
        <w:rPr>
          <w:rFonts w:ascii="Times New Roman" w:hAnsi="Times New Roman" w:eastAsia="宋体" w:cs="Times New Roman"/>
          <w:sz w:val="18"/>
          <w:szCs w:val="18"/>
        </w:rPr>
        <w:t>括号中的数值为聚类到县域层面的稳健标准误。</w:t>
      </w:r>
      <w:r>
        <w:rPr>
          <w:rFonts w:hint="eastAsia" w:ascii="Cambria Math" w:hAnsi="Cambria Math" w:eastAsia="宋体" w:cs="Cambria Math"/>
          <w:sz w:val="18"/>
          <w:szCs w:val="18"/>
        </w:rPr>
        <w:t>③</w:t>
      </w:r>
      <w:r>
        <w:rPr>
          <w:rFonts w:ascii="Times New Roman" w:hAnsi="Times New Roman" w:eastAsia="宋体" w:cs="Times New Roman"/>
          <w:sz w:val="18"/>
          <w:szCs w:val="18"/>
        </w:rPr>
        <w:t>中括号中的数值为p值。</w:t>
      </w:r>
    </w:p>
    <w:p>
      <w:pPr>
        <w:pStyle w:val="9"/>
        <w:keepNext/>
        <w:ind w:firstLine="332" w:firstLineChars="200"/>
        <w:rPr>
          <w:rFonts w:ascii="Times New Roman" w:hAnsi="Times New Roman" w:cs="Times New Roman"/>
          <w:sz w:val="18"/>
          <w:szCs w:val="18"/>
        </w:rPr>
      </w:pPr>
      <w:r>
        <w:rPr>
          <w:rFonts w:ascii="Times New Roman" w:hAnsi="Times New Roman" w:cs="Times New Roman"/>
          <w:sz w:val="18"/>
          <w:szCs w:val="18"/>
        </w:rPr>
        <w:t>附表</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附表 \* ARABIC </w:instrText>
      </w:r>
      <w:r>
        <w:rPr>
          <w:rFonts w:ascii="Times New Roman" w:hAnsi="Times New Roman" w:cs="Times New Roman"/>
          <w:sz w:val="18"/>
          <w:szCs w:val="18"/>
        </w:rPr>
        <w:fldChar w:fldCharType="separate"/>
      </w:r>
      <w:r>
        <w:rPr>
          <w:rFonts w:ascii="Times New Roman" w:hAnsi="Times New Roman" w:cs="Times New Roman"/>
          <w:sz w:val="18"/>
          <w:szCs w:val="18"/>
        </w:rPr>
        <w:t>5</w:t>
      </w:r>
      <w:r>
        <w:rPr>
          <w:rFonts w:ascii="Times New Roman" w:hAnsi="Times New Roman" w:cs="Times New Roman"/>
          <w:sz w:val="18"/>
          <w:szCs w:val="18"/>
        </w:rPr>
        <w:fldChar w:fldCharType="end"/>
      </w:r>
      <w:r>
        <w:rPr>
          <w:rFonts w:hint="eastAsia" w:ascii="Times New Roman" w:hAnsi="Times New Roman" w:cs="Times New Roman"/>
          <w:sz w:val="18"/>
          <w:szCs w:val="18"/>
        </w:rPr>
        <w:t xml:space="preserve">                      PSM-DID方法与Heckman二阶段法检验结果</w:t>
      </w:r>
    </w:p>
    <w:tbl>
      <w:tblPr>
        <w:tblStyle w:val="34"/>
        <w:tblW w:w="8607"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396"/>
        <w:gridCol w:w="1142"/>
        <w:gridCol w:w="1142"/>
        <w:gridCol w:w="1131"/>
        <w:gridCol w:w="1142"/>
        <w:gridCol w:w="1489"/>
        <w:gridCol w:w="1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396" w:type="dxa"/>
            <w:vMerge w:val="restart"/>
            <w:tcBorders>
              <w:top w:val="single" w:color="auto" w:sz="12" w:space="0"/>
              <w:left w:val="nil"/>
              <w:right w:val="single" w:color="auto" w:sz="4" w:space="0"/>
            </w:tcBorders>
            <w:vAlign w:val="center"/>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变量</w:t>
            </w:r>
          </w:p>
        </w:tc>
        <w:tc>
          <w:tcPr>
            <w:tcW w:w="1142" w:type="dxa"/>
            <w:tcBorders>
              <w:top w:val="single" w:color="auto" w:sz="12" w:space="0"/>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142" w:type="dxa"/>
            <w:tcBorders>
              <w:top w:val="single" w:color="auto" w:sz="12" w:space="0"/>
              <w:left w:val="nil"/>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w:t>
            </w:r>
          </w:p>
        </w:tc>
        <w:tc>
          <w:tcPr>
            <w:tcW w:w="1131" w:type="dxa"/>
            <w:tcBorders>
              <w:top w:val="single" w:color="auto" w:sz="12" w:space="0"/>
              <w:left w:val="nil"/>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（3）</w:t>
            </w:r>
          </w:p>
        </w:tc>
        <w:tc>
          <w:tcPr>
            <w:tcW w:w="1142" w:type="dxa"/>
            <w:tcBorders>
              <w:top w:val="single" w:color="auto" w:sz="12" w:space="0"/>
              <w:left w:val="nil"/>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w:t>
            </w:r>
          </w:p>
        </w:tc>
        <w:tc>
          <w:tcPr>
            <w:tcW w:w="1489" w:type="dxa"/>
            <w:tcBorders>
              <w:top w:val="single" w:color="auto" w:sz="12" w:space="0"/>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（5）</w:t>
            </w:r>
          </w:p>
        </w:tc>
        <w:tc>
          <w:tcPr>
            <w:tcW w:w="1165" w:type="dxa"/>
            <w:tcBorders>
              <w:top w:val="single" w:color="auto" w:sz="12" w:space="0"/>
              <w:left w:val="nil"/>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396" w:type="dxa"/>
            <w:vMerge w:val="continue"/>
            <w:tcBorders>
              <w:left w:val="nil"/>
              <w:bottom w:val="single" w:color="auto" w:sz="6" w:space="0"/>
              <w:right w:val="single" w:color="auto" w:sz="4" w:space="0"/>
            </w:tcBorders>
          </w:tcPr>
          <w:p>
            <w:pPr>
              <w:spacing w:line="300" w:lineRule="exact"/>
              <w:jc w:val="center"/>
              <w:rPr>
                <w:rFonts w:ascii="Times New Roman" w:hAnsi="Times New Roman" w:eastAsia="宋体" w:cs="Times New Roman"/>
                <w:kern w:val="0"/>
                <w:sz w:val="18"/>
                <w:szCs w:val="18"/>
              </w:rPr>
            </w:pPr>
          </w:p>
        </w:tc>
        <w:tc>
          <w:tcPr>
            <w:tcW w:w="1142" w:type="dxa"/>
            <w:tcBorders>
              <w:top w:val="nil"/>
              <w:left w:val="single" w:color="auto" w:sz="4" w:space="0"/>
              <w:bottom w:val="single" w:color="auto" w:sz="6" w:space="0"/>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县域经济增长</w:t>
            </w:r>
          </w:p>
        </w:tc>
        <w:tc>
          <w:tcPr>
            <w:tcW w:w="1142" w:type="dxa"/>
            <w:tcBorders>
              <w:top w:val="nil"/>
              <w:left w:val="nil"/>
              <w:bottom w:val="single" w:color="auto" w:sz="6" w:space="0"/>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县域经济增长</w:t>
            </w:r>
          </w:p>
        </w:tc>
        <w:tc>
          <w:tcPr>
            <w:tcW w:w="1131" w:type="dxa"/>
            <w:tcBorders>
              <w:top w:val="nil"/>
              <w:left w:val="nil"/>
              <w:bottom w:val="single" w:color="auto" w:sz="6" w:space="0"/>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县域经济增长</w:t>
            </w:r>
          </w:p>
        </w:tc>
        <w:tc>
          <w:tcPr>
            <w:tcW w:w="1142" w:type="dxa"/>
            <w:tcBorders>
              <w:top w:val="nil"/>
              <w:left w:val="nil"/>
              <w:bottom w:val="single" w:color="auto" w:sz="6" w:space="0"/>
              <w:righ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县域经济增长</w:t>
            </w:r>
          </w:p>
        </w:tc>
        <w:tc>
          <w:tcPr>
            <w:tcW w:w="1489" w:type="dxa"/>
            <w:tcBorders>
              <w:top w:val="nil"/>
              <w:left w:val="single" w:color="auto" w:sz="4" w:space="0"/>
              <w:bottom w:val="single" w:color="auto" w:sz="6" w:space="0"/>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资本市场服务下沉</w:t>
            </w:r>
          </w:p>
        </w:tc>
        <w:tc>
          <w:tcPr>
            <w:tcW w:w="1165" w:type="dxa"/>
            <w:tcBorders>
              <w:top w:val="nil"/>
              <w:left w:val="nil"/>
              <w:bottom w:val="single" w:color="auto" w:sz="6" w:space="0"/>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县域经济增长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396" w:type="dxa"/>
            <w:vMerge w:val="continue"/>
            <w:tcBorders>
              <w:left w:val="nil"/>
              <w:bottom w:val="single" w:color="auto" w:sz="6" w:space="0"/>
              <w:right w:val="single" w:color="auto" w:sz="4" w:space="0"/>
            </w:tcBorders>
          </w:tcPr>
          <w:p>
            <w:pPr>
              <w:spacing w:line="300" w:lineRule="exact"/>
              <w:jc w:val="center"/>
              <w:rPr>
                <w:rFonts w:ascii="Times New Roman" w:hAnsi="Times New Roman" w:eastAsia="宋体" w:cs="Times New Roman"/>
                <w:kern w:val="0"/>
                <w:sz w:val="18"/>
                <w:szCs w:val="18"/>
              </w:rPr>
            </w:pPr>
          </w:p>
        </w:tc>
        <w:tc>
          <w:tcPr>
            <w:tcW w:w="1142" w:type="dxa"/>
            <w:tcBorders>
              <w:top w:val="nil"/>
              <w:left w:val="single" w:color="auto" w:sz="4" w:space="0"/>
              <w:bottom w:val="single" w:color="auto" w:sz="6" w:space="0"/>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r>
              <w:rPr>
                <w:rFonts w:ascii="Cambria Math" w:hAnsi="Cambria Math" w:eastAsia="宋体" w:cs="Cambria Math"/>
                <w:kern w:val="0"/>
                <w:sz w:val="18"/>
                <w:szCs w:val="18"/>
              </w:rPr>
              <w:t>∶</w:t>
            </w:r>
            <w:r>
              <w:rPr>
                <w:rFonts w:ascii="Times New Roman" w:hAnsi="Times New Roman" w:eastAsia="宋体" w:cs="Times New Roman"/>
                <w:kern w:val="0"/>
                <w:sz w:val="18"/>
                <w:szCs w:val="18"/>
              </w:rPr>
              <w:t>1近邻匹配</w:t>
            </w:r>
          </w:p>
        </w:tc>
        <w:tc>
          <w:tcPr>
            <w:tcW w:w="1142" w:type="dxa"/>
            <w:tcBorders>
              <w:top w:val="nil"/>
              <w:left w:val="nil"/>
              <w:bottom w:val="single" w:color="auto" w:sz="6" w:space="0"/>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r>
              <w:rPr>
                <w:rFonts w:ascii="Cambria Math" w:hAnsi="Cambria Math" w:eastAsia="宋体" w:cs="Cambria Math"/>
                <w:kern w:val="0"/>
                <w:sz w:val="18"/>
                <w:szCs w:val="18"/>
              </w:rPr>
              <w:t>∶</w:t>
            </w:r>
            <w:r>
              <w:rPr>
                <w:rFonts w:ascii="Times New Roman" w:hAnsi="Times New Roman" w:eastAsia="宋体" w:cs="Times New Roman"/>
                <w:kern w:val="0"/>
                <w:sz w:val="18"/>
                <w:szCs w:val="18"/>
              </w:rPr>
              <w:t>3近邻匹配</w:t>
            </w:r>
          </w:p>
        </w:tc>
        <w:tc>
          <w:tcPr>
            <w:tcW w:w="1131" w:type="dxa"/>
            <w:tcBorders>
              <w:top w:val="nil"/>
              <w:left w:val="nil"/>
              <w:bottom w:val="single" w:color="auto" w:sz="6" w:space="0"/>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r>
              <w:rPr>
                <w:rFonts w:ascii="Cambria Math" w:hAnsi="Cambria Math" w:eastAsia="宋体" w:cs="Cambria Math"/>
                <w:kern w:val="0"/>
                <w:sz w:val="18"/>
                <w:szCs w:val="18"/>
              </w:rPr>
              <w:t>∶</w:t>
            </w:r>
            <w:r>
              <w:rPr>
                <w:rFonts w:ascii="Times New Roman" w:hAnsi="Times New Roman" w:eastAsia="宋体" w:cs="Times New Roman"/>
                <w:kern w:val="0"/>
                <w:sz w:val="18"/>
                <w:szCs w:val="18"/>
              </w:rPr>
              <w:t>4近邻匹配</w:t>
            </w:r>
          </w:p>
        </w:tc>
        <w:tc>
          <w:tcPr>
            <w:tcW w:w="1142" w:type="dxa"/>
            <w:tcBorders>
              <w:top w:val="nil"/>
              <w:left w:val="nil"/>
              <w:bottom w:val="single" w:color="auto" w:sz="6" w:space="0"/>
              <w:righ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核匹配</w:t>
            </w:r>
          </w:p>
        </w:tc>
        <w:tc>
          <w:tcPr>
            <w:tcW w:w="1489" w:type="dxa"/>
            <w:tcBorders>
              <w:top w:val="nil"/>
              <w:left w:val="single" w:color="auto" w:sz="4" w:space="0"/>
              <w:bottom w:val="single" w:color="auto" w:sz="6" w:space="0"/>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第一阶段</w:t>
            </w:r>
          </w:p>
        </w:tc>
        <w:tc>
          <w:tcPr>
            <w:tcW w:w="1165" w:type="dxa"/>
            <w:tcBorders>
              <w:top w:val="nil"/>
              <w:left w:val="nil"/>
              <w:bottom w:val="single" w:color="auto" w:sz="6" w:space="0"/>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第二阶段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396" w:type="dxa"/>
            <w:tcBorders>
              <w:top w:val="single" w:color="auto" w:sz="6" w:space="0"/>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资本市场服务</w:t>
            </w:r>
          </w:p>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下沉</w:t>
            </w:r>
          </w:p>
        </w:tc>
        <w:tc>
          <w:tcPr>
            <w:tcW w:w="1142" w:type="dxa"/>
            <w:tcBorders>
              <w:top w:val="single" w:color="auto" w:sz="6" w:space="0"/>
              <w:left w:val="single" w:color="auto" w:sz="4" w:space="0"/>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0.2118</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.0792</w:t>
            </w:r>
            <w:r>
              <w:rPr>
                <w:rFonts w:ascii="Times New Roman" w:hAnsi="Times New Roman" w:eastAsia="宋体" w:cs="Times New Roman"/>
                <w:kern w:val="0"/>
                <w:sz w:val="18"/>
                <w:szCs w:val="18"/>
              </w:rPr>
              <w:t>）</w:t>
            </w:r>
          </w:p>
        </w:tc>
        <w:tc>
          <w:tcPr>
            <w:tcW w:w="1142" w:type="dxa"/>
            <w:tcBorders>
              <w:top w:val="single" w:color="auto" w:sz="6" w:space="0"/>
              <w:left w:val="nil"/>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.1581</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.0536</w:t>
            </w:r>
            <w:r>
              <w:rPr>
                <w:rFonts w:ascii="Times New Roman" w:hAnsi="Times New Roman" w:eastAsia="宋体" w:cs="Times New Roman"/>
                <w:kern w:val="0"/>
                <w:sz w:val="18"/>
                <w:szCs w:val="18"/>
              </w:rPr>
              <w:t>）</w:t>
            </w:r>
          </w:p>
        </w:tc>
        <w:tc>
          <w:tcPr>
            <w:tcW w:w="1131" w:type="dxa"/>
            <w:tcBorders>
              <w:top w:val="single" w:color="auto" w:sz="6" w:space="0"/>
              <w:left w:val="nil"/>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0.1543</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（0.0446）</w:t>
            </w:r>
          </w:p>
        </w:tc>
        <w:tc>
          <w:tcPr>
            <w:tcW w:w="1142" w:type="dxa"/>
            <w:tcBorders>
              <w:top w:val="single" w:color="auto" w:sz="6" w:space="0"/>
              <w:left w:val="nil"/>
              <w:bottom w:val="nil"/>
              <w:right w:val="single" w:color="auto" w:sz="4" w:space="0"/>
            </w:tcBorders>
          </w:tcPr>
          <w:p>
            <w:pPr>
              <w:spacing w:line="300" w:lineRule="exact"/>
              <w:jc w:val="center"/>
              <w:rPr>
                <w:rFonts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0.1824</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（0.0335）</w:t>
            </w:r>
          </w:p>
        </w:tc>
        <w:tc>
          <w:tcPr>
            <w:tcW w:w="1489" w:type="dxa"/>
            <w:tcBorders>
              <w:top w:val="single" w:color="auto" w:sz="6" w:space="0"/>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p>
        </w:tc>
        <w:tc>
          <w:tcPr>
            <w:tcW w:w="1165" w:type="dxa"/>
            <w:tcBorders>
              <w:top w:val="single" w:color="auto" w:sz="6" w:space="0"/>
              <w:left w:val="nil"/>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0.1929</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（0.0791）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396"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滞后一期的新增股份制企业数量</w:t>
            </w:r>
          </w:p>
        </w:tc>
        <w:tc>
          <w:tcPr>
            <w:tcW w:w="1142"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p>
        </w:tc>
        <w:tc>
          <w:tcPr>
            <w:tcW w:w="1142"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p>
        </w:tc>
        <w:tc>
          <w:tcPr>
            <w:tcW w:w="1131"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p>
        </w:tc>
        <w:tc>
          <w:tcPr>
            <w:tcW w:w="1142"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rPr>
            </w:pPr>
          </w:p>
        </w:tc>
        <w:tc>
          <w:tcPr>
            <w:tcW w:w="1489" w:type="dxa"/>
            <w:tcBorders>
              <w:top w:val="nil"/>
              <w:left w:val="single" w:color="auto" w:sz="4" w:space="0"/>
              <w:bottom w:val="nil"/>
              <w:right w:val="nil"/>
            </w:tcBorders>
          </w:tcPr>
          <w:p>
            <w:pPr>
              <w:spacing w:line="300" w:lineRule="exact"/>
              <w:jc w:val="center"/>
              <w:rPr>
                <w:rFonts w:hint="eastAsia"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0.0234</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（0.0058）</w:t>
            </w:r>
          </w:p>
        </w:tc>
        <w:tc>
          <w:tcPr>
            <w:tcW w:w="1165"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396"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逆米尔斯比率</w:t>
            </w:r>
          </w:p>
        </w:tc>
        <w:tc>
          <w:tcPr>
            <w:tcW w:w="1142"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p>
        </w:tc>
        <w:tc>
          <w:tcPr>
            <w:tcW w:w="1142"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p>
        </w:tc>
        <w:tc>
          <w:tcPr>
            <w:tcW w:w="1131"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p>
        </w:tc>
        <w:tc>
          <w:tcPr>
            <w:tcW w:w="1142"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rPr>
            </w:pPr>
          </w:p>
        </w:tc>
        <w:tc>
          <w:tcPr>
            <w:tcW w:w="1489"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p>
        </w:tc>
        <w:tc>
          <w:tcPr>
            <w:tcW w:w="1165"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0.0152（0.0397）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396"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农民收入水平</w:t>
            </w:r>
          </w:p>
        </w:tc>
        <w:tc>
          <w:tcPr>
            <w:tcW w:w="1142"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0.4079</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（0.9818）</w:t>
            </w:r>
          </w:p>
        </w:tc>
        <w:tc>
          <w:tcPr>
            <w:tcW w:w="1142"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1.0029</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.6045</w:t>
            </w:r>
            <w:r>
              <w:rPr>
                <w:rFonts w:ascii="Times New Roman" w:hAnsi="Times New Roman" w:eastAsia="宋体" w:cs="Times New Roman"/>
                <w:kern w:val="0"/>
                <w:sz w:val="18"/>
                <w:szCs w:val="18"/>
              </w:rPr>
              <w:t>）</w:t>
            </w:r>
          </w:p>
        </w:tc>
        <w:tc>
          <w:tcPr>
            <w:tcW w:w="1131"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1.0004</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（0.5102）</w:t>
            </w:r>
          </w:p>
        </w:tc>
        <w:tc>
          <w:tcPr>
            <w:tcW w:w="1142"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0.3715</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（0.1086）</w:t>
            </w:r>
          </w:p>
        </w:tc>
        <w:tc>
          <w:tcPr>
            <w:tcW w:w="1489" w:type="dxa"/>
            <w:tcBorders>
              <w:top w:val="nil"/>
              <w:left w:val="single" w:color="auto" w:sz="4" w:space="0"/>
              <w:bottom w:val="nil"/>
              <w:right w:val="nil"/>
            </w:tcBorders>
          </w:tcPr>
          <w:p>
            <w:pPr>
              <w:spacing w:line="300" w:lineRule="exact"/>
              <w:jc w:val="center"/>
              <w:rPr>
                <w:rFonts w:hint="eastAsia"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1.5364</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（0.1651）</w:t>
            </w:r>
          </w:p>
        </w:tc>
        <w:tc>
          <w:tcPr>
            <w:tcW w:w="1165"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0.4073</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396"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存款水平</w:t>
            </w:r>
          </w:p>
        </w:tc>
        <w:tc>
          <w:tcPr>
            <w:tcW w:w="1142"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0.6014</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（0.7318）</w:t>
            </w:r>
          </w:p>
        </w:tc>
        <w:tc>
          <w:tcPr>
            <w:tcW w:w="1142"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.0445</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.3327</w:t>
            </w:r>
            <w:r>
              <w:rPr>
                <w:rFonts w:ascii="Times New Roman" w:hAnsi="Times New Roman" w:eastAsia="宋体" w:cs="Times New Roman"/>
                <w:kern w:val="0"/>
                <w:sz w:val="18"/>
                <w:szCs w:val="18"/>
              </w:rPr>
              <w:t>）</w:t>
            </w:r>
          </w:p>
        </w:tc>
        <w:tc>
          <w:tcPr>
            <w:tcW w:w="1131"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0.0036</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（0.2572）</w:t>
            </w:r>
          </w:p>
        </w:tc>
        <w:tc>
          <w:tcPr>
            <w:tcW w:w="1142"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0.1411</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（0.1104）</w:t>
            </w:r>
          </w:p>
        </w:tc>
        <w:tc>
          <w:tcPr>
            <w:tcW w:w="1489" w:type="dxa"/>
            <w:tcBorders>
              <w:top w:val="nil"/>
              <w:left w:val="single" w:color="auto" w:sz="4" w:space="0"/>
              <w:bottom w:val="nil"/>
              <w:right w:val="nil"/>
            </w:tcBorders>
          </w:tcPr>
          <w:p>
            <w:pPr>
              <w:spacing w:line="300" w:lineRule="exact"/>
              <w:jc w:val="center"/>
              <w:rPr>
                <w:rFonts w:hint="eastAsia"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1.1980</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（0.1310）</w:t>
            </w:r>
          </w:p>
        </w:tc>
        <w:tc>
          <w:tcPr>
            <w:tcW w:w="1165"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0.1549</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396"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贷款水平</w:t>
            </w:r>
          </w:p>
        </w:tc>
        <w:tc>
          <w:tcPr>
            <w:tcW w:w="1142"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0.3071</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（0.1736）</w:t>
            </w:r>
          </w:p>
        </w:tc>
        <w:tc>
          <w:tcPr>
            <w:tcW w:w="1142"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0.0204</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.1421</w:t>
            </w:r>
            <w:r>
              <w:rPr>
                <w:rFonts w:ascii="Times New Roman" w:hAnsi="Times New Roman" w:eastAsia="宋体" w:cs="Times New Roman"/>
                <w:kern w:val="0"/>
                <w:sz w:val="18"/>
                <w:szCs w:val="18"/>
              </w:rPr>
              <w:t>）</w:t>
            </w:r>
          </w:p>
        </w:tc>
        <w:tc>
          <w:tcPr>
            <w:tcW w:w="1131"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0.0965</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（0.0831）</w:t>
            </w:r>
          </w:p>
        </w:tc>
        <w:tc>
          <w:tcPr>
            <w:tcW w:w="1142"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0.0161</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（0.0436）</w:t>
            </w:r>
          </w:p>
        </w:tc>
        <w:tc>
          <w:tcPr>
            <w:tcW w:w="1489" w:type="dxa"/>
            <w:tcBorders>
              <w:top w:val="nil"/>
              <w:left w:val="single" w:color="auto" w:sz="4" w:space="0"/>
              <w:bottom w:val="nil"/>
              <w:right w:val="nil"/>
            </w:tcBorders>
          </w:tcPr>
          <w:p>
            <w:pPr>
              <w:spacing w:line="300" w:lineRule="exact"/>
              <w:jc w:val="center"/>
              <w:rPr>
                <w:rFonts w:hint="eastAsia" w:ascii="Times New Roman" w:hAnsi="Times New Roman" w:eastAsia="宋体" w:cs="Times New Roman"/>
                <w:kern w:val="0"/>
                <w:sz w:val="18"/>
                <w:szCs w:val="18"/>
                <w:vertAlign w:val="superscript"/>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0.4874</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（0.1080）</w:t>
            </w:r>
          </w:p>
        </w:tc>
        <w:tc>
          <w:tcPr>
            <w:tcW w:w="1165"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0.0048（0.0198）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396"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医疗水平</w:t>
            </w:r>
          </w:p>
        </w:tc>
        <w:tc>
          <w:tcPr>
            <w:tcW w:w="1142"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0.0068</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（0.2363）</w:t>
            </w:r>
          </w:p>
        </w:tc>
        <w:tc>
          <w:tcPr>
            <w:tcW w:w="1142"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0.2272</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.1525</w:t>
            </w:r>
            <w:r>
              <w:rPr>
                <w:rFonts w:ascii="Times New Roman" w:hAnsi="Times New Roman" w:eastAsia="宋体" w:cs="Times New Roman"/>
                <w:kern w:val="0"/>
                <w:sz w:val="18"/>
                <w:szCs w:val="18"/>
              </w:rPr>
              <w:t>）</w:t>
            </w:r>
          </w:p>
        </w:tc>
        <w:tc>
          <w:tcPr>
            <w:tcW w:w="1131"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0.2555</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（0.1294）</w:t>
            </w:r>
          </w:p>
        </w:tc>
        <w:tc>
          <w:tcPr>
            <w:tcW w:w="1142"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0.0235</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（0.0354）</w:t>
            </w:r>
          </w:p>
        </w:tc>
        <w:tc>
          <w:tcPr>
            <w:tcW w:w="1489" w:type="dxa"/>
            <w:tcBorders>
              <w:top w:val="nil"/>
              <w:left w:val="single" w:color="auto" w:sz="4" w:space="0"/>
              <w:bottom w:val="nil"/>
              <w:right w:val="nil"/>
            </w:tcBorders>
          </w:tcPr>
          <w:p>
            <w:pPr>
              <w:spacing w:line="300" w:lineRule="exact"/>
              <w:jc w:val="center"/>
              <w:rPr>
                <w:rFonts w:hint="eastAsia"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0.2731</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（0.1204）</w:t>
            </w:r>
          </w:p>
        </w:tc>
        <w:tc>
          <w:tcPr>
            <w:tcW w:w="1165"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0.0246（0.0208）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396"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教育水平</w:t>
            </w:r>
          </w:p>
        </w:tc>
        <w:tc>
          <w:tcPr>
            <w:tcW w:w="1142"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0.0528</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（0.0541）</w:t>
            </w:r>
          </w:p>
        </w:tc>
        <w:tc>
          <w:tcPr>
            <w:tcW w:w="1142"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0.0483</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.0582</w:t>
            </w:r>
            <w:r>
              <w:rPr>
                <w:rFonts w:ascii="Times New Roman" w:hAnsi="Times New Roman" w:eastAsia="宋体" w:cs="Times New Roman"/>
                <w:kern w:val="0"/>
                <w:sz w:val="18"/>
                <w:szCs w:val="18"/>
              </w:rPr>
              <w:t>）</w:t>
            </w:r>
          </w:p>
        </w:tc>
        <w:tc>
          <w:tcPr>
            <w:tcW w:w="1131"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0.0695</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（0.0629）</w:t>
            </w:r>
          </w:p>
        </w:tc>
        <w:tc>
          <w:tcPr>
            <w:tcW w:w="1142"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vertAlign w:val="superscript"/>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0.1820</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（0.0557）</w:t>
            </w:r>
          </w:p>
        </w:tc>
        <w:tc>
          <w:tcPr>
            <w:tcW w:w="1489" w:type="dxa"/>
            <w:tcBorders>
              <w:top w:val="nil"/>
              <w:left w:val="single" w:color="auto" w:sz="4" w:space="0"/>
              <w:bottom w:val="nil"/>
              <w:right w:val="nil"/>
            </w:tcBorders>
          </w:tcPr>
          <w:p>
            <w:pPr>
              <w:spacing w:line="300" w:lineRule="exact"/>
              <w:jc w:val="center"/>
              <w:rPr>
                <w:rFonts w:hint="eastAsia" w:ascii="Times New Roman" w:hAnsi="Times New Roman" w:eastAsia="宋体" w:cs="Times New Roman"/>
                <w:kern w:val="0"/>
                <w:sz w:val="18"/>
                <w:szCs w:val="18"/>
                <w:vertAlign w:val="superscript"/>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0.2514</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（0.1000）</w:t>
            </w:r>
          </w:p>
        </w:tc>
        <w:tc>
          <w:tcPr>
            <w:tcW w:w="1165"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0.1646</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396"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设施农业发展</w:t>
            </w:r>
          </w:p>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水平</w:t>
            </w:r>
          </w:p>
        </w:tc>
        <w:tc>
          <w:tcPr>
            <w:tcW w:w="1142"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0.0097</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（0.0229）</w:t>
            </w:r>
          </w:p>
        </w:tc>
        <w:tc>
          <w:tcPr>
            <w:tcW w:w="1142"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0.0036</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.0142</w:t>
            </w:r>
            <w:r>
              <w:rPr>
                <w:rFonts w:ascii="Times New Roman" w:hAnsi="Times New Roman" w:eastAsia="宋体" w:cs="Times New Roman"/>
                <w:kern w:val="0"/>
                <w:sz w:val="18"/>
                <w:szCs w:val="18"/>
              </w:rPr>
              <w:t>）</w:t>
            </w:r>
          </w:p>
        </w:tc>
        <w:tc>
          <w:tcPr>
            <w:tcW w:w="1131"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0.0023</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（0.0117）</w:t>
            </w:r>
          </w:p>
        </w:tc>
        <w:tc>
          <w:tcPr>
            <w:tcW w:w="1142"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0.0004</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（0.0080）</w:t>
            </w:r>
          </w:p>
        </w:tc>
        <w:tc>
          <w:tcPr>
            <w:tcW w:w="1489" w:type="dxa"/>
            <w:tcBorders>
              <w:top w:val="nil"/>
              <w:left w:val="single" w:color="auto" w:sz="4" w:space="0"/>
              <w:bottom w:val="nil"/>
              <w:right w:val="nil"/>
            </w:tcBorders>
          </w:tcPr>
          <w:p>
            <w:pPr>
              <w:spacing w:line="300" w:lineRule="exact"/>
              <w:jc w:val="center"/>
              <w:rPr>
                <w:rFonts w:hint="eastAsia" w:ascii="Times New Roman" w:hAnsi="Times New Roman" w:eastAsia="宋体" w:cs="Times New Roman"/>
                <w:kern w:val="0"/>
                <w:sz w:val="18"/>
                <w:szCs w:val="18"/>
                <w:vertAlign w:val="superscript"/>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0.1216</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（0.0245）</w:t>
            </w:r>
          </w:p>
        </w:tc>
        <w:tc>
          <w:tcPr>
            <w:tcW w:w="1165"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0.0021（0.0038）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396"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政府干预水平</w:t>
            </w:r>
          </w:p>
        </w:tc>
        <w:tc>
          <w:tcPr>
            <w:tcW w:w="1142"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0.1831</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（0.1948）</w:t>
            </w:r>
          </w:p>
        </w:tc>
        <w:tc>
          <w:tcPr>
            <w:tcW w:w="1142"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.4214</w:t>
            </w:r>
            <w:r>
              <w:rPr>
                <w:rFonts w:hint="eastAsia"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.1380</w:t>
            </w:r>
            <w:r>
              <w:rPr>
                <w:rFonts w:ascii="Times New Roman" w:hAnsi="Times New Roman" w:eastAsia="宋体" w:cs="Times New Roman"/>
                <w:kern w:val="0"/>
                <w:sz w:val="18"/>
                <w:szCs w:val="18"/>
              </w:rPr>
              <w:t>）</w:t>
            </w:r>
          </w:p>
        </w:tc>
        <w:tc>
          <w:tcPr>
            <w:tcW w:w="1131"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0.3181</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（0.1160）</w:t>
            </w:r>
          </w:p>
        </w:tc>
        <w:tc>
          <w:tcPr>
            <w:tcW w:w="1142"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0.2669</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（0.0527）</w:t>
            </w:r>
          </w:p>
        </w:tc>
        <w:tc>
          <w:tcPr>
            <w:tcW w:w="1489" w:type="dxa"/>
            <w:tcBorders>
              <w:top w:val="nil"/>
              <w:left w:val="single" w:color="auto" w:sz="4" w:space="0"/>
              <w:bottom w:val="nil"/>
              <w:right w:val="nil"/>
            </w:tcBorders>
          </w:tcPr>
          <w:p>
            <w:pPr>
              <w:spacing w:line="300" w:lineRule="exact"/>
              <w:jc w:val="center"/>
              <w:rPr>
                <w:rFonts w:hint="eastAsia"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0.2257</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（0.1496）</w:t>
            </w:r>
          </w:p>
        </w:tc>
        <w:tc>
          <w:tcPr>
            <w:tcW w:w="1165"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0.2564</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396"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消费水平</w:t>
            </w:r>
          </w:p>
        </w:tc>
        <w:tc>
          <w:tcPr>
            <w:tcW w:w="1142"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0.3006</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（0.1952）</w:t>
            </w:r>
          </w:p>
        </w:tc>
        <w:tc>
          <w:tcPr>
            <w:tcW w:w="1142"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.1102</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.0725</w:t>
            </w:r>
            <w:r>
              <w:rPr>
                <w:rFonts w:ascii="Times New Roman" w:hAnsi="Times New Roman" w:eastAsia="宋体" w:cs="Times New Roman"/>
                <w:kern w:val="0"/>
                <w:sz w:val="18"/>
                <w:szCs w:val="18"/>
              </w:rPr>
              <w:t>）</w:t>
            </w:r>
          </w:p>
        </w:tc>
        <w:tc>
          <w:tcPr>
            <w:tcW w:w="1131"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0.1247</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（0.0688）</w:t>
            </w:r>
          </w:p>
        </w:tc>
        <w:tc>
          <w:tcPr>
            <w:tcW w:w="1142"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0.1681</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（0.0373）</w:t>
            </w:r>
          </w:p>
        </w:tc>
        <w:tc>
          <w:tcPr>
            <w:tcW w:w="1489" w:type="dxa"/>
            <w:tcBorders>
              <w:top w:val="nil"/>
              <w:left w:val="single" w:color="auto" w:sz="4" w:space="0"/>
              <w:bottom w:val="nil"/>
              <w:right w:val="nil"/>
            </w:tcBorders>
          </w:tcPr>
          <w:p>
            <w:pPr>
              <w:spacing w:line="300" w:lineRule="exact"/>
              <w:jc w:val="center"/>
              <w:rPr>
                <w:rFonts w:hint="eastAsia" w:ascii="Times New Roman" w:hAnsi="Times New Roman" w:eastAsia="宋体" w:cs="Times New Roman"/>
                <w:kern w:val="0"/>
                <w:sz w:val="18"/>
                <w:szCs w:val="18"/>
                <w:vertAlign w:val="superscript"/>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0.6128</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（0.0872）</w:t>
            </w:r>
          </w:p>
        </w:tc>
        <w:tc>
          <w:tcPr>
            <w:tcW w:w="1165"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0.1850</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396"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常数项</w:t>
            </w:r>
          </w:p>
        </w:tc>
        <w:tc>
          <w:tcPr>
            <w:tcW w:w="1142"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3.0959</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17.0027</w:t>
            </w:r>
            <w:r>
              <w:rPr>
                <w:rFonts w:ascii="Times New Roman" w:hAnsi="Times New Roman" w:eastAsia="宋体" w:cs="Times New Roman"/>
                <w:kern w:val="0"/>
                <w:sz w:val="18"/>
                <w:szCs w:val="18"/>
              </w:rPr>
              <w:t>）</w:t>
            </w:r>
          </w:p>
        </w:tc>
        <w:tc>
          <w:tcPr>
            <w:tcW w:w="1142"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3.9275</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8.3678</w:t>
            </w:r>
            <w:r>
              <w:rPr>
                <w:rFonts w:ascii="Times New Roman" w:hAnsi="Times New Roman" w:eastAsia="宋体" w:cs="Times New Roman"/>
                <w:kern w:val="0"/>
                <w:sz w:val="18"/>
                <w:szCs w:val="18"/>
              </w:rPr>
              <w:t>）</w:t>
            </w:r>
          </w:p>
        </w:tc>
        <w:tc>
          <w:tcPr>
            <w:tcW w:w="1131"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0.6807</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（6.7691）</w:t>
            </w:r>
          </w:p>
        </w:tc>
        <w:tc>
          <w:tcPr>
            <w:tcW w:w="1142"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1.6809</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（1.6765）</w:t>
            </w:r>
          </w:p>
        </w:tc>
        <w:tc>
          <w:tcPr>
            <w:tcW w:w="1489"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13.6008</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（1.4007）</w:t>
            </w:r>
          </w:p>
        </w:tc>
        <w:tc>
          <w:tcPr>
            <w:tcW w:w="1165"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0.7493（0.6967）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396"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县域</w:t>
            </w:r>
            <w:r>
              <w:rPr>
                <w:rFonts w:ascii="Times New Roman" w:hAnsi="Times New Roman" w:eastAsia="宋体" w:cs="Times New Roman"/>
                <w:kern w:val="0"/>
                <w:sz w:val="18"/>
                <w:szCs w:val="18"/>
              </w:rPr>
              <w:t>固定效应</w:t>
            </w:r>
          </w:p>
        </w:tc>
        <w:tc>
          <w:tcPr>
            <w:tcW w:w="1142"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142"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131"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142"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489"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无</w:t>
            </w:r>
          </w:p>
        </w:tc>
        <w:tc>
          <w:tcPr>
            <w:tcW w:w="1165"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396" w:type="dxa"/>
            <w:tcBorders>
              <w:top w:val="nil"/>
              <w:left w:val="nil"/>
              <w:bottom w:val="single" w:color="auto" w:sz="4" w:space="0"/>
              <w:right w:val="single" w:color="auto" w:sz="4" w:space="0"/>
            </w:tcBorders>
          </w:tcPr>
          <w:p>
            <w:pPr>
              <w:spacing w:line="300" w:lineRule="exact"/>
              <w:jc w:val="lef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年份</w:t>
            </w:r>
            <w:r>
              <w:rPr>
                <w:rFonts w:ascii="Times New Roman" w:hAnsi="Times New Roman" w:eastAsia="宋体" w:cs="Times New Roman"/>
                <w:kern w:val="0"/>
                <w:sz w:val="18"/>
                <w:szCs w:val="18"/>
              </w:rPr>
              <w:t>固定效应</w:t>
            </w:r>
          </w:p>
        </w:tc>
        <w:tc>
          <w:tcPr>
            <w:tcW w:w="1142" w:type="dxa"/>
            <w:tcBorders>
              <w:top w:val="nil"/>
              <w:left w:val="single" w:color="auto" w:sz="4" w:space="0"/>
              <w:bottom w:val="single" w:color="auto" w:sz="4" w:space="0"/>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142" w:type="dxa"/>
            <w:tcBorders>
              <w:top w:val="nil"/>
              <w:left w:val="nil"/>
              <w:bottom w:val="single" w:color="auto" w:sz="4" w:space="0"/>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131" w:type="dxa"/>
            <w:tcBorders>
              <w:top w:val="nil"/>
              <w:left w:val="nil"/>
              <w:bottom w:val="single" w:color="auto" w:sz="4" w:space="0"/>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142" w:type="dxa"/>
            <w:tcBorders>
              <w:top w:val="nil"/>
              <w:left w:val="nil"/>
              <w:bottom w:val="single" w:color="auto" w:sz="4" w:space="0"/>
              <w:righ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489" w:type="dxa"/>
            <w:tcBorders>
              <w:top w:val="nil"/>
              <w:left w:val="single" w:color="auto" w:sz="4" w:space="0"/>
              <w:bottom w:val="single" w:color="auto" w:sz="4" w:space="0"/>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无</w:t>
            </w:r>
          </w:p>
        </w:tc>
        <w:tc>
          <w:tcPr>
            <w:tcW w:w="1165" w:type="dxa"/>
            <w:tcBorders>
              <w:top w:val="nil"/>
              <w:left w:val="nil"/>
              <w:bottom w:val="single" w:color="auto" w:sz="4" w:space="0"/>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396" w:type="dxa"/>
            <w:tcBorders>
              <w:top w:val="single" w:color="auto" w:sz="4" w:space="0"/>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观测值数</w:t>
            </w:r>
          </w:p>
        </w:tc>
        <w:tc>
          <w:tcPr>
            <w:tcW w:w="1142" w:type="dxa"/>
            <w:tcBorders>
              <w:top w:val="single" w:color="auto" w:sz="4" w:space="0"/>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251</w:t>
            </w:r>
          </w:p>
        </w:tc>
        <w:tc>
          <w:tcPr>
            <w:tcW w:w="1142" w:type="dxa"/>
            <w:tcBorders>
              <w:top w:val="single" w:color="auto" w:sz="4" w:space="0"/>
              <w:left w:val="nil"/>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527</w:t>
            </w:r>
          </w:p>
        </w:tc>
        <w:tc>
          <w:tcPr>
            <w:tcW w:w="1131" w:type="dxa"/>
            <w:tcBorders>
              <w:top w:val="single" w:color="auto" w:sz="4" w:space="0"/>
              <w:left w:val="nil"/>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631</w:t>
            </w:r>
          </w:p>
        </w:tc>
        <w:tc>
          <w:tcPr>
            <w:tcW w:w="1142" w:type="dxa"/>
            <w:tcBorders>
              <w:top w:val="single" w:color="auto" w:sz="4" w:space="0"/>
              <w:left w:val="nil"/>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3639</w:t>
            </w:r>
          </w:p>
        </w:tc>
        <w:tc>
          <w:tcPr>
            <w:tcW w:w="1489" w:type="dxa"/>
            <w:tcBorders>
              <w:top w:val="single" w:color="auto" w:sz="4" w:space="0"/>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4291</w:t>
            </w:r>
          </w:p>
        </w:tc>
        <w:tc>
          <w:tcPr>
            <w:tcW w:w="1165" w:type="dxa"/>
            <w:tcBorders>
              <w:top w:val="single" w:color="auto" w:sz="4" w:space="0"/>
              <w:left w:val="nil"/>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396" w:type="dxa"/>
            <w:tcBorders>
              <w:top w:val="nil"/>
              <w:left w:val="nil"/>
              <w:bottom w:val="single" w:color="auto" w:sz="12" w:space="0"/>
              <w:right w:val="single" w:color="auto" w:sz="4" w:space="0"/>
            </w:tcBorders>
          </w:tcPr>
          <w:p>
            <w:pPr>
              <w:spacing w:line="300" w:lineRule="exact"/>
              <w:jc w:val="lef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R</w:t>
            </w:r>
            <w:r>
              <w:rPr>
                <w:rFonts w:hint="eastAsia" w:ascii="Times New Roman" w:hAnsi="Times New Roman" w:eastAsia="宋体" w:cs="Times New Roman"/>
                <w:kern w:val="0"/>
                <w:sz w:val="18"/>
                <w:szCs w:val="18"/>
                <w:vertAlign w:val="superscript"/>
              </w:rPr>
              <w:t>2</w:t>
            </w:r>
          </w:p>
        </w:tc>
        <w:tc>
          <w:tcPr>
            <w:tcW w:w="1142" w:type="dxa"/>
            <w:tcBorders>
              <w:top w:val="nil"/>
              <w:left w:val="single" w:color="auto" w:sz="4" w:space="0"/>
              <w:bottom w:val="single" w:color="auto" w:sz="12" w:space="0"/>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0.8730</w:t>
            </w:r>
          </w:p>
        </w:tc>
        <w:tc>
          <w:tcPr>
            <w:tcW w:w="1142" w:type="dxa"/>
            <w:tcBorders>
              <w:top w:val="nil"/>
              <w:left w:val="nil"/>
              <w:bottom w:val="single" w:color="auto" w:sz="12" w:space="0"/>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0.9153</w:t>
            </w:r>
          </w:p>
        </w:tc>
        <w:tc>
          <w:tcPr>
            <w:tcW w:w="1131" w:type="dxa"/>
            <w:tcBorders>
              <w:top w:val="nil"/>
              <w:left w:val="nil"/>
              <w:bottom w:val="single" w:color="auto" w:sz="12" w:space="0"/>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0.9214</w:t>
            </w:r>
          </w:p>
        </w:tc>
        <w:tc>
          <w:tcPr>
            <w:tcW w:w="1142" w:type="dxa"/>
            <w:tcBorders>
              <w:top w:val="nil"/>
              <w:left w:val="nil"/>
              <w:bottom w:val="single" w:color="auto" w:sz="12" w:space="0"/>
              <w:right w:val="single" w:color="auto" w:sz="4" w:space="0"/>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0.8944</w:t>
            </w:r>
          </w:p>
        </w:tc>
        <w:tc>
          <w:tcPr>
            <w:tcW w:w="1489" w:type="dxa"/>
            <w:tcBorders>
              <w:top w:val="nil"/>
              <w:left w:val="single" w:color="auto" w:sz="4" w:space="0"/>
              <w:bottom w:val="single" w:color="auto" w:sz="12" w:space="0"/>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0.2373</w:t>
            </w:r>
          </w:p>
        </w:tc>
        <w:tc>
          <w:tcPr>
            <w:tcW w:w="1165" w:type="dxa"/>
            <w:tcBorders>
              <w:top w:val="nil"/>
              <w:left w:val="nil"/>
              <w:bottom w:val="single" w:color="auto" w:sz="12" w:space="0"/>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0.9021</w:t>
            </w:r>
          </w:p>
        </w:tc>
      </w:tr>
    </w:tbl>
    <w:p>
      <w:pPr>
        <w:ind w:firstLine="332" w:firstLineChars="200"/>
        <w:rPr>
          <w:rFonts w:hint="eastAsia"/>
        </w:rPr>
      </w:pPr>
      <w:r>
        <w:rPr>
          <w:rFonts w:ascii="宋体" w:hAnsi="宋体" w:eastAsia="宋体" w:cs="Times New Roman"/>
          <w:sz w:val="18"/>
          <w:szCs w:val="18"/>
        </w:rPr>
        <w:t>注：</w:t>
      </w:r>
      <w:r>
        <w:rPr>
          <w:rFonts w:hint="eastAsia" w:ascii="宋体" w:hAnsi="宋体" w:eastAsia="宋体" w:cs="Times New Roman"/>
          <w:sz w:val="18"/>
          <w:szCs w:val="18"/>
        </w:rPr>
        <w:t>①</w:t>
      </w:r>
      <w:r>
        <w:rPr>
          <w:rFonts w:ascii="Times New Roman" w:hAnsi="Times New Roman" w:eastAsia="宋体" w:cs="Times New Roman"/>
          <w:sz w:val="18"/>
          <w:szCs w:val="18"/>
        </w:rPr>
        <w:t>***</w:t>
      </w:r>
      <w:r>
        <w:rPr>
          <w:rFonts w:ascii="宋体" w:hAnsi="宋体" w:eastAsia="宋体" w:cs="Times New Roman"/>
          <w:sz w:val="18"/>
          <w:szCs w:val="18"/>
        </w:rPr>
        <w:t>、</w:t>
      </w:r>
      <w:r>
        <w:rPr>
          <w:rFonts w:ascii="Times New Roman" w:hAnsi="Times New Roman" w:eastAsia="宋体" w:cs="Times New Roman"/>
          <w:sz w:val="18"/>
          <w:szCs w:val="18"/>
        </w:rPr>
        <w:t>**</w:t>
      </w:r>
      <w:r>
        <w:rPr>
          <w:rFonts w:ascii="宋体" w:hAnsi="宋体" w:eastAsia="宋体" w:cs="Times New Roman"/>
          <w:sz w:val="18"/>
          <w:szCs w:val="18"/>
        </w:rPr>
        <w:t>和</w:t>
      </w:r>
      <w:r>
        <w:rPr>
          <w:rFonts w:ascii="Times New Roman" w:hAnsi="Times New Roman" w:eastAsia="宋体" w:cs="Times New Roman"/>
          <w:sz w:val="18"/>
          <w:szCs w:val="18"/>
        </w:rPr>
        <w:t>*</w:t>
      </w:r>
      <w:r>
        <w:rPr>
          <w:rFonts w:ascii="宋体" w:hAnsi="宋体" w:eastAsia="宋体" w:cs="Times New Roman"/>
          <w:sz w:val="18"/>
          <w:szCs w:val="18"/>
        </w:rPr>
        <w:t>分别表示</w:t>
      </w:r>
      <w:r>
        <w:rPr>
          <w:rFonts w:ascii="Times New Roman" w:hAnsi="Times New Roman" w:eastAsia="宋体" w:cs="Times New Roman"/>
          <w:sz w:val="18"/>
          <w:szCs w:val="18"/>
        </w:rPr>
        <w:t>1%</w:t>
      </w:r>
      <w:r>
        <w:rPr>
          <w:rFonts w:ascii="宋体" w:hAnsi="宋体" w:eastAsia="宋体" w:cs="Times New Roman"/>
          <w:sz w:val="18"/>
          <w:szCs w:val="18"/>
        </w:rPr>
        <w:t>、</w:t>
      </w:r>
      <w:r>
        <w:rPr>
          <w:rFonts w:ascii="Times New Roman" w:hAnsi="Times New Roman" w:eastAsia="宋体" w:cs="Times New Roman"/>
          <w:sz w:val="18"/>
          <w:szCs w:val="18"/>
        </w:rPr>
        <w:t>5%</w:t>
      </w:r>
      <w:r>
        <w:rPr>
          <w:rFonts w:ascii="宋体" w:hAnsi="宋体" w:eastAsia="宋体" w:cs="Times New Roman"/>
          <w:sz w:val="18"/>
          <w:szCs w:val="18"/>
        </w:rPr>
        <w:t>和</w:t>
      </w:r>
      <w:r>
        <w:rPr>
          <w:rFonts w:ascii="Times New Roman" w:hAnsi="Times New Roman" w:eastAsia="宋体" w:cs="Times New Roman"/>
          <w:sz w:val="18"/>
          <w:szCs w:val="18"/>
        </w:rPr>
        <w:t>10%</w:t>
      </w:r>
      <w:r>
        <w:rPr>
          <w:rFonts w:ascii="宋体" w:hAnsi="宋体" w:eastAsia="宋体" w:cs="Times New Roman"/>
          <w:sz w:val="18"/>
          <w:szCs w:val="18"/>
        </w:rPr>
        <w:t>的显著性水平；</w:t>
      </w:r>
      <w:r>
        <w:rPr>
          <w:rFonts w:hint="eastAsia" w:ascii="宋体" w:hAnsi="宋体" w:eastAsia="宋体" w:cs="Times New Roman"/>
          <w:sz w:val="18"/>
          <w:szCs w:val="18"/>
        </w:rPr>
        <w:t>②</w:t>
      </w:r>
      <w:r>
        <w:rPr>
          <w:rFonts w:ascii="宋体" w:hAnsi="宋体" w:eastAsia="宋体" w:cs="Times New Roman"/>
          <w:sz w:val="18"/>
          <w:szCs w:val="18"/>
        </w:rPr>
        <w:t>括号中的数值为聚类到县域层面的稳健标准误。</w:t>
      </w:r>
    </w:p>
    <w:p>
      <w:pPr>
        <w:pStyle w:val="9"/>
        <w:keepNext/>
        <w:ind w:firstLine="332" w:firstLineChars="200"/>
        <w:rPr>
          <w:rFonts w:ascii="Times New Roman" w:hAnsi="Times New Roman" w:cs="Times New Roman"/>
          <w:sz w:val="18"/>
          <w:szCs w:val="18"/>
        </w:rPr>
      </w:pPr>
      <w:r>
        <w:rPr>
          <w:rFonts w:ascii="Times New Roman" w:hAnsi="Times New Roman" w:cs="Times New Roman"/>
          <w:sz w:val="18"/>
          <w:szCs w:val="18"/>
        </w:rPr>
        <w:t>附表</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附表 \* ARABIC </w:instrText>
      </w:r>
      <w:r>
        <w:rPr>
          <w:rFonts w:ascii="Times New Roman" w:hAnsi="Times New Roman" w:cs="Times New Roman"/>
          <w:sz w:val="18"/>
          <w:szCs w:val="18"/>
        </w:rPr>
        <w:fldChar w:fldCharType="separate"/>
      </w:r>
      <w:r>
        <w:rPr>
          <w:rFonts w:ascii="Times New Roman" w:hAnsi="Times New Roman" w:cs="Times New Roman"/>
          <w:sz w:val="18"/>
          <w:szCs w:val="18"/>
        </w:rPr>
        <w:t>6</w:t>
      </w:r>
      <w:r>
        <w:rPr>
          <w:rFonts w:ascii="Times New Roman" w:hAnsi="Times New Roman" w:cs="Times New Roman"/>
          <w:sz w:val="18"/>
          <w:szCs w:val="18"/>
        </w:rPr>
        <w:fldChar w:fldCharType="end"/>
      </w:r>
      <w:r>
        <w:rPr>
          <w:rFonts w:hint="eastAsia" w:ascii="Times New Roman" w:hAnsi="Times New Roman" w:cs="Times New Roman"/>
          <w:sz w:val="18"/>
          <w:szCs w:val="18"/>
        </w:rPr>
        <w:t xml:space="preserve">                资本市场服务下沉影响县域经济增长的稳健性检验结果</w:t>
      </w:r>
    </w:p>
    <w:tbl>
      <w:tblPr>
        <w:tblStyle w:val="34"/>
        <w:tblW w:w="8596" w:type="dxa"/>
        <w:tblInd w:w="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673"/>
        <w:gridCol w:w="1339"/>
        <w:gridCol w:w="1269"/>
        <w:gridCol w:w="1258"/>
        <w:gridCol w:w="1061"/>
        <w:gridCol w:w="1119"/>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8" w:hRule="atLeast"/>
        </w:trPr>
        <w:tc>
          <w:tcPr>
            <w:tcW w:w="1673" w:type="dxa"/>
            <w:vMerge w:val="restart"/>
            <w:tcBorders>
              <w:top w:val="single" w:color="auto" w:sz="12" w:space="0"/>
              <w:left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变量</w:t>
            </w:r>
          </w:p>
        </w:tc>
        <w:tc>
          <w:tcPr>
            <w:tcW w:w="6923" w:type="dxa"/>
            <w:gridSpan w:val="6"/>
            <w:tcBorders>
              <w:top w:val="single" w:color="auto" w:sz="12" w:space="0"/>
              <w:left w:val="single" w:color="auto" w:sz="4" w:space="0"/>
              <w:bottom w:val="single" w:color="auto" w:sz="4"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县域经济增长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8" w:hRule="atLeast"/>
        </w:trPr>
        <w:tc>
          <w:tcPr>
            <w:tcW w:w="1673" w:type="dxa"/>
            <w:vMerge w:val="continue"/>
            <w:tcBorders>
              <w:left w:val="nil"/>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339" w:type="dxa"/>
            <w:tcBorders>
              <w:top w:val="single" w:color="auto" w:sz="4" w:space="0"/>
              <w:left w:val="single" w:color="auto" w:sz="4" w:space="0"/>
              <w:bottom w:val="single" w:color="auto" w:sz="6"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宋体" w:hAnsi="宋体" w:eastAsia="宋体"/>
                <w:kern w:val="0"/>
                <w:sz w:val="18"/>
                <w:szCs w:val="18"/>
              </w:rPr>
              <w:t>替换被解释变量</w:t>
            </w:r>
          </w:p>
        </w:tc>
        <w:tc>
          <w:tcPr>
            <w:tcW w:w="1269" w:type="dxa"/>
            <w:tcBorders>
              <w:top w:val="single" w:color="auto" w:sz="4" w:space="0"/>
              <w:left w:val="nil"/>
              <w:bottom w:val="single" w:color="auto" w:sz="6"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宋体" w:hAnsi="宋体" w:eastAsia="宋体"/>
                <w:kern w:val="0"/>
                <w:sz w:val="18"/>
                <w:szCs w:val="18"/>
              </w:rPr>
              <w:t>调整样本区间</w:t>
            </w:r>
          </w:p>
        </w:tc>
        <w:tc>
          <w:tcPr>
            <w:tcW w:w="1258" w:type="dxa"/>
            <w:tcBorders>
              <w:top w:val="single" w:color="auto" w:sz="4" w:space="0"/>
              <w:left w:val="nil"/>
              <w:bottom w:val="single" w:color="auto" w:sz="6"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宋体" w:hAnsi="宋体" w:eastAsia="宋体"/>
                <w:kern w:val="0"/>
                <w:sz w:val="18"/>
                <w:szCs w:val="18"/>
              </w:rPr>
              <w:t>调整样本范围</w:t>
            </w:r>
          </w:p>
        </w:tc>
        <w:tc>
          <w:tcPr>
            <w:tcW w:w="1061" w:type="dxa"/>
            <w:tcBorders>
              <w:top w:val="single" w:color="auto" w:sz="4" w:space="0"/>
              <w:left w:val="nil"/>
              <w:bottom w:val="single" w:color="auto" w:sz="6"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kern w:val="0"/>
                <w:sz w:val="18"/>
                <w:szCs w:val="18"/>
              </w:rPr>
            </w:pPr>
            <w:r>
              <w:rPr>
                <w:rFonts w:hint="eastAsia" w:ascii="宋体" w:hAnsi="宋体" w:eastAsia="宋体"/>
                <w:kern w:val="0"/>
                <w:sz w:val="18"/>
                <w:szCs w:val="18"/>
              </w:rPr>
              <w:t>控制结对</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宋体" w:hAnsi="宋体" w:eastAsia="宋体"/>
                <w:kern w:val="0"/>
                <w:sz w:val="18"/>
                <w:szCs w:val="18"/>
              </w:rPr>
              <w:t>帮扶政策</w:t>
            </w:r>
          </w:p>
        </w:tc>
        <w:tc>
          <w:tcPr>
            <w:tcW w:w="1119" w:type="dxa"/>
            <w:tcBorders>
              <w:top w:val="single" w:color="auto" w:sz="4" w:space="0"/>
              <w:left w:val="nil"/>
              <w:bottom w:val="single" w:color="auto" w:sz="6"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kern w:val="0"/>
                <w:sz w:val="18"/>
                <w:szCs w:val="18"/>
              </w:rPr>
            </w:pPr>
            <w:r>
              <w:rPr>
                <w:rFonts w:hint="eastAsia" w:ascii="宋体" w:hAnsi="宋体" w:eastAsia="宋体"/>
                <w:kern w:val="0"/>
                <w:sz w:val="18"/>
                <w:szCs w:val="18"/>
              </w:rPr>
              <w:t>控制国家数字</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宋体" w:hAnsi="宋体" w:eastAsia="宋体"/>
                <w:kern w:val="0"/>
                <w:sz w:val="18"/>
                <w:szCs w:val="18"/>
              </w:rPr>
              <w:t>乡村试点政策</w:t>
            </w:r>
          </w:p>
        </w:tc>
        <w:tc>
          <w:tcPr>
            <w:tcW w:w="877" w:type="dxa"/>
            <w:tcBorders>
              <w:top w:val="single" w:color="auto" w:sz="4" w:space="0"/>
              <w:left w:val="nil"/>
              <w:bottom w:val="single" w:color="auto" w:sz="6"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kern w:val="0"/>
                <w:sz w:val="18"/>
                <w:szCs w:val="18"/>
              </w:rPr>
            </w:pPr>
            <w:r>
              <w:rPr>
                <w:rFonts w:hint="eastAsia" w:ascii="宋体" w:hAnsi="宋体" w:eastAsia="宋体"/>
                <w:kern w:val="0"/>
                <w:sz w:val="18"/>
                <w:szCs w:val="18"/>
              </w:rPr>
              <w:t>控制空间</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宋体" w:hAnsi="宋体" w:eastAsia="宋体"/>
                <w:kern w:val="0"/>
                <w:sz w:val="18"/>
                <w:szCs w:val="18"/>
              </w:rPr>
              <w:t>外溢效应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8" w:hRule="atLeast"/>
        </w:trPr>
        <w:tc>
          <w:tcPr>
            <w:tcW w:w="1673" w:type="dxa"/>
            <w:vMerge w:val="continue"/>
            <w:tcBorders>
              <w:left w:val="nil"/>
              <w:bottom w:val="single" w:color="auto" w:sz="6"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339" w:type="dxa"/>
            <w:tcBorders>
              <w:top w:val="nil"/>
              <w:left w:val="single" w:color="auto" w:sz="4" w:space="0"/>
              <w:bottom w:val="single" w:color="auto" w:sz="6"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sz w:val="18"/>
                <w:szCs w:val="18"/>
              </w:rPr>
              <w:t>（1）</w:t>
            </w:r>
          </w:p>
        </w:tc>
        <w:tc>
          <w:tcPr>
            <w:tcW w:w="1269" w:type="dxa"/>
            <w:tcBorders>
              <w:top w:val="nil"/>
              <w:left w:val="nil"/>
              <w:bottom w:val="single" w:color="auto" w:sz="6"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sz w:val="18"/>
                <w:szCs w:val="18"/>
              </w:rPr>
              <w:t>（2）</w:t>
            </w:r>
          </w:p>
        </w:tc>
        <w:tc>
          <w:tcPr>
            <w:tcW w:w="1258" w:type="dxa"/>
            <w:tcBorders>
              <w:top w:val="nil"/>
              <w:left w:val="nil"/>
              <w:bottom w:val="single" w:color="auto" w:sz="6"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sz w:val="18"/>
                <w:szCs w:val="18"/>
              </w:rPr>
              <w:t>（3）</w:t>
            </w:r>
          </w:p>
        </w:tc>
        <w:tc>
          <w:tcPr>
            <w:tcW w:w="1061" w:type="dxa"/>
            <w:tcBorders>
              <w:top w:val="nil"/>
              <w:left w:val="nil"/>
              <w:bottom w:val="single" w:color="auto" w:sz="6"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sz w:val="18"/>
                <w:szCs w:val="18"/>
              </w:rPr>
              <w:t>（4）</w:t>
            </w:r>
          </w:p>
        </w:tc>
        <w:tc>
          <w:tcPr>
            <w:tcW w:w="1119" w:type="dxa"/>
            <w:tcBorders>
              <w:top w:val="nil"/>
              <w:left w:val="nil"/>
              <w:bottom w:val="single" w:color="auto" w:sz="6"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sz w:val="18"/>
                <w:szCs w:val="18"/>
              </w:rPr>
              <w:t>（5）</w:t>
            </w:r>
          </w:p>
        </w:tc>
        <w:tc>
          <w:tcPr>
            <w:tcW w:w="877" w:type="dxa"/>
            <w:tcBorders>
              <w:top w:val="nil"/>
              <w:left w:val="nil"/>
              <w:bottom w:val="single" w:color="auto" w:sz="6"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8" w:hRule="atLeast"/>
        </w:trPr>
        <w:tc>
          <w:tcPr>
            <w:tcW w:w="1673" w:type="dxa"/>
            <w:tcBorders>
              <w:top w:val="single" w:color="auto" w:sz="6" w:space="0"/>
              <w:left w:val="nil"/>
              <w:bottom w:val="nil"/>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资本市场服务下沉</w:t>
            </w:r>
          </w:p>
        </w:tc>
        <w:tc>
          <w:tcPr>
            <w:tcW w:w="1339" w:type="dxa"/>
            <w:tcBorders>
              <w:top w:val="single" w:color="auto" w:sz="6" w:space="0"/>
              <w:left w:val="single" w:color="auto" w:sz="4" w:space="0"/>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0.087</w:t>
            </w:r>
            <w:r>
              <w:rPr>
                <w:rFonts w:hint="eastAsia" w:ascii="Times New Roman" w:hAnsi="Times New Roman" w:eastAsia="宋体" w:cs="Times New Roman"/>
                <w:kern w:val="0"/>
                <w:sz w:val="18"/>
                <w:szCs w:val="18"/>
              </w:rPr>
              <w:t>6</w:t>
            </w:r>
            <w:r>
              <w:rPr>
                <w:rFonts w:ascii="Times New Roman" w:hAnsi="Times New Roman" w:eastAsia="宋体" w:cs="Times New Roman"/>
                <w:kern w:val="0"/>
                <w:sz w:val="18"/>
                <w:szCs w:val="18"/>
                <w:vertAlign w:val="superscript"/>
              </w:rPr>
              <w:t>***</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（0.0263）</w:t>
            </w:r>
          </w:p>
        </w:tc>
        <w:tc>
          <w:tcPr>
            <w:tcW w:w="1269" w:type="dxa"/>
            <w:tcBorders>
              <w:top w:val="single" w:color="auto" w:sz="6" w:space="0"/>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0.1986</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（0.0300）</w:t>
            </w:r>
          </w:p>
        </w:tc>
        <w:tc>
          <w:tcPr>
            <w:tcW w:w="1258" w:type="dxa"/>
            <w:tcBorders>
              <w:top w:val="single" w:color="auto" w:sz="6" w:space="0"/>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0.1673</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（0.03</w:t>
            </w:r>
            <w:r>
              <w:rPr>
                <w:rFonts w:hint="eastAsia" w:ascii="Times New Roman" w:hAnsi="Times New Roman" w:eastAsia="宋体" w:cs="Times New Roman"/>
                <w:kern w:val="0"/>
                <w:sz w:val="18"/>
                <w:szCs w:val="18"/>
              </w:rPr>
              <w:t>29</w:t>
            </w:r>
            <w:r>
              <w:rPr>
                <w:rFonts w:ascii="Times New Roman" w:hAnsi="Times New Roman" w:eastAsia="宋体" w:cs="Times New Roman"/>
                <w:kern w:val="0"/>
                <w:sz w:val="18"/>
                <w:szCs w:val="18"/>
              </w:rPr>
              <w:t>）</w:t>
            </w:r>
          </w:p>
        </w:tc>
        <w:tc>
          <w:tcPr>
            <w:tcW w:w="1061" w:type="dxa"/>
            <w:tcBorders>
              <w:top w:val="single" w:color="auto" w:sz="6" w:space="0"/>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0.1691</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.0334</w:t>
            </w:r>
            <w:r>
              <w:rPr>
                <w:rFonts w:ascii="Times New Roman" w:hAnsi="Times New Roman" w:eastAsia="宋体" w:cs="Times New Roman"/>
                <w:kern w:val="0"/>
                <w:sz w:val="18"/>
                <w:szCs w:val="18"/>
              </w:rPr>
              <w:t>）</w:t>
            </w:r>
          </w:p>
        </w:tc>
        <w:tc>
          <w:tcPr>
            <w:tcW w:w="1119" w:type="dxa"/>
            <w:tcBorders>
              <w:top w:val="single" w:color="auto" w:sz="6" w:space="0"/>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0.1588</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（0.0325）</w:t>
            </w:r>
          </w:p>
        </w:tc>
        <w:tc>
          <w:tcPr>
            <w:tcW w:w="877" w:type="dxa"/>
            <w:tcBorders>
              <w:top w:val="single" w:color="auto" w:sz="6" w:space="0"/>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0.1941</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8" w:hRule="atLeast"/>
        </w:trPr>
        <w:tc>
          <w:tcPr>
            <w:tcW w:w="1673" w:type="dxa"/>
            <w:tcBorders>
              <w:top w:val="nil"/>
              <w:left w:val="nil"/>
              <w:bottom w:val="nil"/>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农民收入水平</w:t>
            </w:r>
          </w:p>
        </w:tc>
        <w:tc>
          <w:tcPr>
            <w:tcW w:w="1339" w:type="dxa"/>
            <w:tcBorders>
              <w:top w:val="nil"/>
              <w:left w:val="single" w:color="auto" w:sz="4" w:space="0"/>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0.494</w:t>
            </w:r>
            <w:r>
              <w:rPr>
                <w:rFonts w:hint="eastAsia" w:ascii="Times New Roman" w:hAnsi="Times New Roman" w:eastAsia="宋体" w:cs="Times New Roman"/>
                <w:kern w:val="0"/>
                <w:sz w:val="18"/>
                <w:szCs w:val="18"/>
              </w:rPr>
              <w:t>7</w:t>
            </w:r>
            <w:r>
              <w:rPr>
                <w:rFonts w:ascii="Times New Roman" w:hAnsi="Times New Roman" w:eastAsia="宋体" w:cs="Times New Roman"/>
                <w:kern w:val="0"/>
                <w:sz w:val="18"/>
                <w:szCs w:val="18"/>
                <w:vertAlign w:val="superscript"/>
              </w:rPr>
              <w:t>***</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（0.061</w:t>
            </w:r>
            <w:r>
              <w:rPr>
                <w:rFonts w:hint="eastAsia" w:ascii="Times New Roman" w:hAnsi="Times New Roman" w:eastAsia="宋体" w:cs="Times New Roman"/>
                <w:kern w:val="0"/>
                <w:sz w:val="18"/>
                <w:szCs w:val="18"/>
              </w:rPr>
              <w:t>9</w:t>
            </w:r>
            <w:r>
              <w:rPr>
                <w:rFonts w:ascii="Times New Roman" w:hAnsi="Times New Roman" w:eastAsia="宋体" w:cs="Times New Roman"/>
                <w:kern w:val="0"/>
                <w:sz w:val="18"/>
                <w:szCs w:val="18"/>
              </w:rPr>
              <w:t>）</w:t>
            </w:r>
          </w:p>
        </w:tc>
        <w:tc>
          <w:tcPr>
            <w:tcW w:w="126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.9618</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（0.199</w:t>
            </w:r>
            <w:r>
              <w:rPr>
                <w:rFonts w:hint="eastAsia" w:ascii="Times New Roman" w:hAnsi="Times New Roman" w:eastAsia="宋体" w:cs="Times New Roman"/>
                <w:kern w:val="0"/>
                <w:sz w:val="18"/>
                <w:szCs w:val="18"/>
              </w:rPr>
              <w:t>5</w:t>
            </w:r>
            <w:r>
              <w:rPr>
                <w:rFonts w:ascii="Times New Roman" w:hAnsi="Times New Roman" w:eastAsia="宋体" w:cs="Times New Roman"/>
                <w:kern w:val="0"/>
                <w:sz w:val="18"/>
                <w:szCs w:val="18"/>
              </w:rPr>
              <w:t>）</w:t>
            </w:r>
          </w:p>
        </w:tc>
        <w:tc>
          <w:tcPr>
            <w:tcW w:w="1258"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0.464</w:t>
            </w:r>
            <w:r>
              <w:rPr>
                <w:rFonts w:hint="eastAsia" w:ascii="Times New Roman" w:hAnsi="Times New Roman" w:eastAsia="宋体" w:cs="Times New Roman"/>
                <w:kern w:val="0"/>
                <w:sz w:val="18"/>
                <w:szCs w:val="18"/>
              </w:rPr>
              <w:t>3</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（0.095</w:t>
            </w:r>
            <w:r>
              <w:rPr>
                <w:rFonts w:hint="eastAsia" w:ascii="Times New Roman" w:hAnsi="Times New Roman" w:eastAsia="宋体" w:cs="Times New Roman"/>
                <w:kern w:val="0"/>
                <w:sz w:val="18"/>
                <w:szCs w:val="18"/>
              </w:rPr>
              <w:t>2</w:t>
            </w:r>
            <w:r>
              <w:rPr>
                <w:rFonts w:ascii="Times New Roman" w:hAnsi="Times New Roman" w:eastAsia="宋体" w:cs="Times New Roman"/>
                <w:kern w:val="0"/>
                <w:sz w:val="18"/>
                <w:szCs w:val="18"/>
              </w:rPr>
              <w:t>）</w:t>
            </w:r>
          </w:p>
        </w:tc>
        <w:tc>
          <w:tcPr>
            <w:tcW w:w="106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0.4549</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（0.0879）</w:t>
            </w:r>
          </w:p>
        </w:tc>
        <w:tc>
          <w:tcPr>
            <w:tcW w:w="111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0.4576</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（0.0881）</w:t>
            </w:r>
          </w:p>
        </w:tc>
        <w:tc>
          <w:tcPr>
            <w:tcW w:w="877"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0.2854</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8" w:hRule="atLeast"/>
        </w:trPr>
        <w:tc>
          <w:tcPr>
            <w:tcW w:w="1673" w:type="dxa"/>
            <w:tcBorders>
              <w:top w:val="nil"/>
              <w:left w:val="nil"/>
              <w:bottom w:val="nil"/>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存款水平</w:t>
            </w:r>
          </w:p>
        </w:tc>
        <w:tc>
          <w:tcPr>
            <w:tcW w:w="1339" w:type="dxa"/>
            <w:tcBorders>
              <w:top w:val="nil"/>
              <w:left w:val="single" w:color="auto" w:sz="4" w:space="0"/>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.047</w:t>
            </w:r>
            <w:r>
              <w:rPr>
                <w:rFonts w:hint="eastAsia" w:ascii="Times New Roman" w:hAnsi="Times New Roman" w:eastAsia="宋体" w:cs="Times New Roman"/>
                <w:kern w:val="0"/>
                <w:sz w:val="18"/>
                <w:szCs w:val="18"/>
              </w:rPr>
              <w:t>4</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（0.0316）</w:t>
            </w:r>
          </w:p>
        </w:tc>
        <w:tc>
          <w:tcPr>
            <w:tcW w:w="126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0.026</w:t>
            </w:r>
            <w:r>
              <w:rPr>
                <w:rFonts w:hint="eastAsia" w:ascii="Times New Roman" w:hAnsi="Times New Roman" w:eastAsia="宋体" w:cs="Times New Roman"/>
                <w:kern w:val="0"/>
                <w:sz w:val="18"/>
                <w:szCs w:val="18"/>
              </w:rPr>
              <w:t>3</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（0.0672）</w:t>
            </w:r>
          </w:p>
        </w:tc>
        <w:tc>
          <w:tcPr>
            <w:tcW w:w="1258"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0.163</w:t>
            </w:r>
            <w:r>
              <w:rPr>
                <w:rFonts w:hint="eastAsia" w:ascii="Times New Roman" w:hAnsi="Times New Roman" w:eastAsia="宋体" w:cs="Times New Roman"/>
                <w:kern w:val="0"/>
                <w:sz w:val="18"/>
                <w:szCs w:val="18"/>
              </w:rPr>
              <w:t>5</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（0.06</w:t>
            </w:r>
            <w:r>
              <w:rPr>
                <w:rFonts w:hint="eastAsia" w:ascii="Times New Roman" w:hAnsi="Times New Roman" w:eastAsia="宋体" w:cs="Times New Roman"/>
                <w:kern w:val="0"/>
                <w:sz w:val="18"/>
                <w:szCs w:val="18"/>
              </w:rPr>
              <w:t>08</w:t>
            </w:r>
            <w:r>
              <w:rPr>
                <w:rFonts w:ascii="Times New Roman" w:hAnsi="Times New Roman" w:eastAsia="宋体" w:cs="Times New Roman"/>
                <w:kern w:val="0"/>
                <w:sz w:val="18"/>
                <w:szCs w:val="18"/>
              </w:rPr>
              <w:t>）</w:t>
            </w:r>
          </w:p>
        </w:tc>
        <w:tc>
          <w:tcPr>
            <w:tcW w:w="106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0.1730</w:t>
            </w:r>
            <w:r>
              <w:rPr>
                <w:rFonts w:hint="eastAsia" w:ascii="Times New Roman" w:hAnsi="Times New Roman" w:eastAsia="宋体" w:cs="Times New Roman"/>
                <w:kern w:val="0"/>
                <w:sz w:val="18"/>
                <w:szCs w:val="18"/>
                <w:vertAlign w:val="superscript"/>
              </w:rPr>
              <w:t>***</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（0.0615）</w:t>
            </w:r>
          </w:p>
        </w:tc>
        <w:tc>
          <w:tcPr>
            <w:tcW w:w="111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0.1736</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（0.0614）</w:t>
            </w:r>
          </w:p>
        </w:tc>
        <w:tc>
          <w:tcPr>
            <w:tcW w:w="877"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0.0020（0.0120）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8" w:hRule="atLeast"/>
        </w:trPr>
        <w:tc>
          <w:tcPr>
            <w:tcW w:w="1673" w:type="dxa"/>
            <w:tcBorders>
              <w:top w:val="nil"/>
              <w:left w:val="nil"/>
              <w:bottom w:val="nil"/>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贷款水平</w:t>
            </w:r>
          </w:p>
        </w:tc>
        <w:tc>
          <w:tcPr>
            <w:tcW w:w="1339" w:type="dxa"/>
            <w:tcBorders>
              <w:top w:val="nil"/>
              <w:left w:val="single" w:color="auto" w:sz="4" w:space="0"/>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0.095</w:t>
            </w:r>
            <w:r>
              <w:rPr>
                <w:rFonts w:hint="eastAsia" w:ascii="Times New Roman" w:hAnsi="Times New Roman" w:eastAsia="宋体" w:cs="Times New Roman"/>
                <w:kern w:val="0"/>
                <w:sz w:val="18"/>
                <w:szCs w:val="18"/>
              </w:rPr>
              <w:t>4</w:t>
            </w:r>
            <w:r>
              <w:rPr>
                <w:rFonts w:ascii="Times New Roman" w:hAnsi="Times New Roman" w:eastAsia="宋体" w:cs="Times New Roman"/>
                <w:kern w:val="0"/>
                <w:sz w:val="18"/>
                <w:szCs w:val="18"/>
                <w:vertAlign w:val="superscript"/>
              </w:rPr>
              <w:t>***</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（0.0278）</w:t>
            </w:r>
          </w:p>
        </w:tc>
        <w:tc>
          <w:tcPr>
            <w:tcW w:w="126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.0992</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（0.04</w:t>
            </w:r>
            <w:r>
              <w:rPr>
                <w:rFonts w:hint="eastAsia" w:ascii="Times New Roman" w:hAnsi="Times New Roman" w:eastAsia="宋体" w:cs="Times New Roman"/>
                <w:kern w:val="0"/>
                <w:sz w:val="18"/>
                <w:szCs w:val="18"/>
              </w:rPr>
              <w:t>01</w:t>
            </w:r>
            <w:r>
              <w:rPr>
                <w:rFonts w:ascii="Times New Roman" w:hAnsi="Times New Roman" w:eastAsia="宋体" w:cs="Times New Roman"/>
                <w:kern w:val="0"/>
                <w:sz w:val="18"/>
                <w:szCs w:val="18"/>
              </w:rPr>
              <w:t>）</w:t>
            </w:r>
          </w:p>
        </w:tc>
        <w:tc>
          <w:tcPr>
            <w:tcW w:w="1258"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.003</w:t>
            </w:r>
            <w:r>
              <w:rPr>
                <w:rFonts w:hint="eastAsia" w:ascii="Times New Roman" w:hAnsi="Times New Roman" w:eastAsia="宋体" w:cs="Times New Roman"/>
                <w:kern w:val="0"/>
                <w:sz w:val="18"/>
                <w:szCs w:val="18"/>
              </w:rPr>
              <w:t>4</w:t>
            </w:r>
            <w:r>
              <w:rPr>
                <w:rFonts w:ascii="Times New Roman" w:hAnsi="Times New Roman" w:eastAsia="宋体" w:cs="Times New Roman"/>
                <w:kern w:val="0"/>
                <w:sz w:val="18"/>
                <w:szCs w:val="18"/>
              </w:rPr>
              <w:t>（0.0340）</w:t>
            </w:r>
          </w:p>
        </w:tc>
        <w:tc>
          <w:tcPr>
            <w:tcW w:w="106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0.0040</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（0.0342）</w:t>
            </w:r>
          </w:p>
        </w:tc>
        <w:tc>
          <w:tcPr>
            <w:tcW w:w="111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0.0046（0.0341）</w:t>
            </w:r>
          </w:p>
        </w:tc>
        <w:tc>
          <w:tcPr>
            <w:tcW w:w="877"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0.0031（0.0113）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8" w:hRule="atLeast"/>
        </w:trPr>
        <w:tc>
          <w:tcPr>
            <w:tcW w:w="1673" w:type="dxa"/>
            <w:tcBorders>
              <w:top w:val="nil"/>
              <w:left w:val="nil"/>
              <w:bottom w:val="nil"/>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医疗水平</w:t>
            </w:r>
          </w:p>
        </w:tc>
        <w:tc>
          <w:tcPr>
            <w:tcW w:w="1339" w:type="dxa"/>
            <w:tcBorders>
              <w:top w:val="nil"/>
              <w:left w:val="single" w:color="auto" w:sz="4" w:space="0"/>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0.0586</w:t>
            </w:r>
            <w:r>
              <w:rPr>
                <w:rFonts w:ascii="Times New Roman" w:hAnsi="Times New Roman" w:eastAsia="宋体" w:cs="Times New Roman"/>
                <w:kern w:val="0"/>
                <w:sz w:val="18"/>
                <w:szCs w:val="18"/>
                <w:vertAlign w:val="superscript"/>
              </w:rPr>
              <w:t>***</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（0.0221）</w:t>
            </w:r>
          </w:p>
        </w:tc>
        <w:tc>
          <w:tcPr>
            <w:tcW w:w="126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.0088（0.0403）</w:t>
            </w:r>
          </w:p>
        </w:tc>
        <w:tc>
          <w:tcPr>
            <w:tcW w:w="1258"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.026</w:t>
            </w:r>
            <w:r>
              <w:rPr>
                <w:rFonts w:hint="eastAsia" w:ascii="Times New Roman" w:hAnsi="Times New Roman" w:eastAsia="宋体" w:cs="Times New Roman"/>
                <w:kern w:val="0"/>
                <w:sz w:val="18"/>
                <w:szCs w:val="18"/>
              </w:rPr>
              <w:t>3</w:t>
            </w:r>
            <w:r>
              <w:rPr>
                <w:rFonts w:ascii="Times New Roman" w:hAnsi="Times New Roman" w:eastAsia="宋体" w:cs="Times New Roman"/>
                <w:kern w:val="0"/>
                <w:sz w:val="18"/>
                <w:szCs w:val="18"/>
              </w:rPr>
              <w:t>（0.031</w:t>
            </w:r>
            <w:r>
              <w:rPr>
                <w:rFonts w:hint="eastAsia" w:ascii="Times New Roman" w:hAnsi="Times New Roman" w:eastAsia="宋体" w:cs="Times New Roman"/>
                <w:kern w:val="0"/>
                <w:sz w:val="18"/>
                <w:szCs w:val="18"/>
              </w:rPr>
              <w:t>8</w:t>
            </w:r>
            <w:r>
              <w:rPr>
                <w:rFonts w:ascii="Times New Roman" w:hAnsi="Times New Roman" w:eastAsia="宋体" w:cs="Times New Roman"/>
                <w:kern w:val="0"/>
                <w:sz w:val="18"/>
                <w:szCs w:val="18"/>
              </w:rPr>
              <w:t>）</w:t>
            </w:r>
          </w:p>
        </w:tc>
        <w:tc>
          <w:tcPr>
            <w:tcW w:w="106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0.0202</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（0.0312）</w:t>
            </w:r>
          </w:p>
        </w:tc>
        <w:tc>
          <w:tcPr>
            <w:tcW w:w="111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0.0216（0.0310）</w:t>
            </w:r>
          </w:p>
        </w:tc>
        <w:tc>
          <w:tcPr>
            <w:tcW w:w="877"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0.0401</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8" w:hRule="atLeast"/>
        </w:trPr>
        <w:tc>
          <w:tcPr>
            <w:tcW w:w="1673" w:type="dxa"/>
            <w:tcBorders>
              <w:top w:val="nil"/>
              <w:left w:val="nil"/>
              <w:bottom w:val="nil"/>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教育水平</w:t>
            </w:r>
          </w:p>
        </w:tc>
        <w:tc>
          <w:tcPr>
            <w:tcW w:w="1339" w:type="dxa"/>
            <w:tcBorders>
              <w:top w:val="nil"/>
              <w:left w:val="single" w:color="auto" w:sz="4" w:space="0"/>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.083</w:t>
            </w:r>
            <w:r>
              <w:rPr>
                <w:rFonts w:hint="eastAsia" w:ascii="Times New Roman" w:hAnsi="Times New Roman" w:eastAsia="宋体" w:cs="Times New Roman"/>
                <w:kern w:val="0"/>
                <w:sz w:val="18"/>
                <w:szCs w:val="18"/>
              </w:rPr>
              <w:t>8</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（0.0284）</w:t>
            </w:r>
          </w:p>
        </w:tc>
        <w:tc>
          <w:tcPr>
            <w:tcW w:w="126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.2094</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（0.0760）</w:t>
            </w:r>
          </w:p>
        </w:tc>
        <w:tc>
          <w:tcPr>
            <w:tcW w:w="1258"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.170</w:t>
            </w:r>
            <w:r>
              <w:rPr>
                <w:rFonts w:hint="eastAsia" w:ascii="Times New Roman" w:hAnsi="Times New Roman" w:eastAsia="宋体" w:cs="Times New Roman"/>
                <w:kern w:val="0"/>
                <w:sz w:val="18"/>
                <w:szCs w:val="18"/>
              </w:rPr>
              <w:t>6</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（0.0450）</w:t>
            </w:r>
          </w:p>
        </w:tc>
        <w:tc>
          <w:tcPr>
            <w:tcW w:w="106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0.1692</w:t>
            </w:r>
            <w:r>
              <w:rPr>
                <w:rFonts w:hint="eastAsia" w:ascii="Times New Roman" w:hAnsi="Times New Roman" w:eastAsia="宋体" w:cs="Times New Roman"/>
                <w:kern w:val="0"/>
                <w:sz w:val="18"/>
                <w:szCs w:val="18"/>
                <w:vertAlign w:val="superscript"/>
              </w:rPr>
              <w:t>***</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（0.0445）</w:t>
            </w:r>
          </w:p>
        </w:tc>
        <w:tc>
          <w:tcPr>
            <w:tcW w:w="111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0.1693</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（0.0438）</w:t>
            </w:r>
          </w:p>
        </w:tc>
        <w:tc>
          <w:tcPr>
            <w:tcW w:w="877"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0.2221</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8" w:hRule="atLeast"/>
        </w:trPr>
        <w:tc>
          <w:tcPr>
            <w:tcW w:w="1673" w:type="dxa"/>
            <w:tcBorders>
              <w:top w:val="nil"/>
              <w:left w:val="nil"/>
              <w:bottom w:val="nil"/>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设施农业发展水平</w:t>
            </w:r>
          </w:p>
        </w:tc>
        <w:tc>
          <w:tcPr>
            <w:tcW w:w="1339" w:type="dxa"/>
            <w:tcBorders>
              <w:top w:val="nil"/>
              <w:left w:val="single" w:color="auto" w:sz="4" w:space="0"/>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0.0050</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（0.0037）</w:t>
            </w:r>
          </w:p>
        </w:tc>
        <w:tc>
          <w:tcPr>
            <w:tcW w:w="126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.003</w:t>
            </w:r>
            <w:r>
              <w:rPr>
                <w:rFonts w:hint="eastAsia" w:ascii="Times New Roman" w:hAnsi="Times New Roman" w:eastAsia="宋体" w:cs="Times New Roman"/>
                <w:kern w:val="0"/>
                <w:sz w:val="18"/>
                <w:szCs w:val="18"/>
              </w:rPr>
              <w:t>5</w:t>
            </w:r>
            <w:r>
              <w:rPr>
                <w:rFonts w:ascii="Times New Roman" w:hAnsi="Times New Roman" w:eastAsia="宋体" w:cs="Times New Roman"/>
                <w:kern w:val="0"/>
                <w:sz w:val="18"/>
                <w:szCs w:val="18"/>
              </w:rPr>
              <w:t>（0.009</w:t>
            </w:r>
            <w:r>
              <w:rPr>
                <w:rFonts w:hint="eastAsia" w:ascii="Times New Roman" w:hAnsi="Times New Roman" w:eastAsia="宋体" w:cs="Times New Roman"/>
                <w:kern w:val="0"/>
                <w:sz w:val="18"/>
                <w:szCs w:val="18"/>
              </w:rPr>
              <w:t>1</w:t>
            </w:r>
            <w:r>
              <w:rPr>
                <w:rFonts w:ascii="Times New Roman" w:hAnsi="Times New Roman" w:eastAsia="宋体" w:cs="Times New Roman"/>
                <w:kern w:val="0"/>
                <w:sz w:val="18"/>
                <w:szCs w:val="18"/>
              </w:rPr>
              <w:t>）</w:t>
            </w:r>
          </w:p>
        </w:tc>
        <w:tc>
          <w:tcPr>
            <w:tcW w:w="1258"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.002</w:t>
            </w:r>
            <w:r>
              <w:rPr>
                <w:rFonts w:hint="eastAsia" w:ascii="Times New Roman" w:hAnsi="Times New Roman" w:eastAsia="宋体" w:cs="Times New Roman"/>
                <w:kern w:val="0"/>
                <w:sz w:val="18"/>
                <w:szCs w:val="18"/>
              </w:rPr>
              <w:t>2</w:t>
            </w:r>
            <w:r>
              <w:rPr>
                <w:rFonts w:ascii="Times New Roman" w:hAnsi="Times New Roman" w:eastAsia="宋体" w:cs="Times New Roman"/>
                <w:kern w:val="0"/>
                <w:sz w:val="18"/>
                <w:szCs w:val="18"/>
              </w:rPr>
              <w:t>（0.0077）</w:t>
            </w:r>
          </w:p>
        </w:tc>
        <w:tc>
          <w:tcPr>
            <w:tcW w:w="106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0.0033</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（0.0073）</w:t>
            </w:r>
          </w:p>
        </w:tc>
        <w:tc>
          <w:tcPr>
            <w:tcW w:w="111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0.0029（0.0073）</w:t>
            </w:r>
          </w:p>
        </w:tc>
        <w:tc>
          <w:tcPr>
            <w:tcW w:w="877"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0.0034（0.0044）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8" w:hRule="atLeast"/>
        </w:trPr>
        <w:tc>
          <w:tcPr>
            <w:tcW w:w="1673" w:type="dxa"/>
            <w:tcBorders>
              <w:top w:val="nil"/>
              <w:left w:val="nil"/>
              <w:bottom w:val="nil"/>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政府干预水平</w:t>
            </w:r>
          </w:p>
        </w:tc>
        <w:tc>
          <w:tcPr>
            <w:tcW w:w="1339" w:type="dxa"/>
            <w:tcBorders>
              <w:top w:val="nil"/>
              <w:left w:val="single" w:color="auto" w:sz="4" w:space="0"/>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0.259</w:t>
            </w:r>
            <w:r>
              <w:rPr>
                <w:rFonts w:hint="eastAsia" w:ascii="Times New Roman" w:hAnsi="Times New Roman" w:eastAsia="宋体" w:cs="Times New Roman"/>
                <w:kern w:val="0"/>
                <w:sz w:val="18"/>
                <w:szCs w:val="18"/>
              </w:rPr>
              <w:t>9</w:t>
            </w:r>
            <w:r>
              <w:rPr>
                <w:rFonts w:ascii="Times New Roman" w:hAnsi="Times New Roman" w:eastAsia="宋体" w:cs="Times New Roman"/>
                <w:kern w:val="0"/>
                <w:sz w:val="18"/>
                <w:szCs w:val="18"/>
                <w:vertAlign w:val="superscript"/>
              </w:rPr>
              <w:t>***</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（0.0423）</w:t>
            </w:r>
          </w:p>
        </w:tc>
        <w:tc>
          <w:tcPr>
            <w:tcW w:w="126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0.223</w:t>
            </w:r>
            <w:r>
              <w:rPr>
                <w:rFonts w:hint="eastAsia" w:ascii="Times New Roman" w:hAnsi="Times New Roman" w:eastAsia="宋体" w:cs="Times New Roman"/>
                <w:kern w:val="0"/>
                <w:sz w:val="18"/>
                <w:szCs w:val="18"/>
              </w:rPr>
              <w:t>5</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（0.057</w:t>
            </w:r>
            <w:r>
              <w:rPr>
                <w:rFonts w:hint="eastAsia" w:ascii="Times New Roman" w:hAnsi="Times New Roman" w:eastAsia="宋体" w:cs="Times New Roman"/>
                <w:kern w:val="0"/>
                <w:sz w:val="18"/>
                <w:szCs w:val="18"/>
              </w:rPr>
              <w:t>5</w:t>
            </w:r>
            <w:r>
              <w:rPr>
                <w:rFonts w:ascii="Times New Roman" w:hAnsi="Times New Roman" w:eastAsia="宋体" w:cs="Times New Roman"/>
                <w:kern w:val="0"/>
                <w:sz w:val="18"/>
                <w:szCs w:val="18"/>
              </w:rPr>
              <w:t>）</w:t>
            </w:r>
          </w:p>
        </w:tc>
        <w:tc>
          <w:tcPr>
            <w:tcW w:w="1258"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0.245</w:t>
            </w:r>
            <w:r>
              <w:rPr>
                <w:rFonts w:hint="eastAsia" w:ascii="Times New Roman" w:hAnsi="Times New Roman" w:eastAsia="宋体" w:cs="Times New Roman"/>
                <w:kern w:val="0"/>
                <w:sz w:val="18"/>
                <w:szCs w:val="18"/>
              </w:rPr>
              <w:t>6</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（0.051</w:t>
            </w:r>
            <w:r>
              <w:rPr>
                <w:rFonts w:hint="eastAsia" w:ascii="Times New Roman" w:hAnsi="Times New Roman" w:eastAsia="宋体" w:cs="Times New Roman"/>
                <w:kern w:val="0"/>
                <w:sz w:val="18"/>
                <w:szCs w:val="18"/>
              </w:rPr>
              <w:t>9</w:t>
            </w:r>
            <w:r>
              <w:rPr>
                <w:rFonts w:ascii="Times New Roman" w:hAnsi="Times New Roman" w:eastAsia="宋体" w:cs="Times New Roman"/>
                <w:kern w:val="0"/>
                <w:sz w:val="18"/>
                <w:szCs w:val="18"/>
              </w:rPr>
              <w:t>）</w:t>
            </w:r>
          </w:p>
        </w:tc>
        <w:tc>
          <w:tcPr>
            <w:tcW w:w="106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0.2429</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（0.0505）</w:t>
            </w:r>
          </w:p>
        </w:tc>
        <w:tc>
          <w:tcPr>
            <w:tcW w:w="111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0.2430</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（0.0505）</w:t>
            </w:r>
          </w:p>
        </w:tc>
        <w:tc>
          <w:tcPr>
            <w:tcW w:w="877"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0.0609</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8" w:hRule="atLeast"/>
        </w:trPr>
        <w:tc>
          <w:tcPr>
            <w:tcW w:w="1673" w:type="dxa"/>
            <w:tcBorders>
              <w:top w:val="nil"/>
              <w:left w:val="nil"/>
              <w:bottom w:val="nil"/>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消费水平</w:t>
            </w:r>
          </w:p>
        </w:tc>
        <w:tc>
          <w:tcPr>
            <w:tcW w:w="1339" w:type="dxa"/>
            <w:tcBorders>
              <w:top w:val="nil"/>
              <w:left w:val="single" w:color="auto" w:sz="4" w:space="0"/>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0.2005</w:t>
            </w:r>
            <w:r>
              <w:rPr>
                <w:rFonts w:ascii="Times New Roman" w:hAnsi="Times New Roman" w:eastAsia="宋体" w:cs="Times New Roman"/>
                <w:kern w:val="0"/>
                <w:sz w:val="18"/>
                <w:szCs w:val="18"/>
                <w:vertAlign w:val="superscript"/>
              </w:rPr>
              <w:t>***</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（0.0287）</w:t>
            </w:r>
          </w:p>
        </w:tc>
        <w:tc>
          <w:tcPr>
            <w:tcW w:w="126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0.149</w:t>
            </w:r>
            <w:r>
              <w:rPr>
                <w:rFonts w:hint="eastAsia" w:ascii="Times New Roman" w:hAnsi="Times New Roman" w:eastAsia="宋体" w:cs="Times New Roman"/>
                <w:kern w:val="0"/>
                <w:sz w:val="18"/>
                <w:szCs w:val="18"/>
              </w:rPr>
              <w:t>8</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（0.033</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w:t>
            </w:r>
          </w:p>
        </w:tc>
        <w:tc>
          <w:tcPr>
            <w:tcW w:w="1258"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0.1764</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（0.0353）</w:t>
            </w:r>
          </w:p>
        </w:tc>
        <w:tc>
          <w:tcPr>
            <w:tcW w:w="106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0.1854</w:t>
            </w:r>
            <w:r>
              <w:rPr>
                <w:rFonts w:hint="eastAsia" w:ascii="Times New Roman" w:hAnsi="Times New Roman" w:eastAsia="宋体" w:cs="Times New Roman"/>
                <w:kern w:val="0"/>
                <w:sz w:val="18"/>
                <w:szCs w:val="18"/>
                <w:vertAlign w:val="superscript"/>
              </w:rPr>
              <w:t>***</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（0.0344）</w:t>
            </w:r>
          </w:p>
        </w:tc>
        <w:tc>
          <w:tcPr>
            <w:tcW w:w="111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0.1840</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（0.0336）</w:t>
            </w:r>
          </w:p>
        </w:tc>
        <w:tc>
          <w:tcPr>
            <w:tcW w:w="877"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0.1861</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8" w:hRule="atLeast"/>
        </w:trPr>
        <w:tc>
          <w:tcPr>
            <w:tcW w:w="1673" w:type="dxa"/>
            <w:tcBorders>
              <w:top w:val="nil"/>
              <w:left w:val="nil"/>
              <w:bottom w:val="nil"/>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结对帮扶政策</w:t>
            </w:r>
          </w:p>
        </w:tc>
        <w:tc>
          <w:tcPr>
            <w:tcW w:w="1339" w:type="dxa"/>
            <w:tcBorders>
              <w:top w:val="nil"/>
              <w:left w:val="single" w:color="auto" w:sz="4" w:space="0"/>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26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258"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06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0.0175</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（0.0488）</w:t>
            </w:r>
          </w:p>
        </w:tc>
        <w:tc>
          <w:tcPr>
            <w:tcW w:w="111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877"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8" w:hRule="atLeast"/>
        </w:trPr>
        <w:tc>
          <w:tcPr>
            <w:tcW w:w="1673" w:type="dxa"/>
            <w:tcBorders>
              <w:top w:val="nil"/>
              <w:left w:val="nil"/>
              <w:bottom w:val="nil"/>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资本市场服务下沉</w:t>
            </w:r>
            <w:r>
              <w:rPr>
                <w:rFonts w:hint="eastAsia" w:ascii="Times New Roman" w:hAnsi="Times New Roman" w:eastAsia="宋体" w:cs="Times New Roman"/>
                <w:kern w:val="0"/>
                <w:sz w:val="18"/>
                <w:szCs w:val="18"/>
              </w:rPr>
              <w:t>×结对帮扶政策</w:t>
            </w:r>
          </w:p>
        </w:tc>
        <w:tc>
          <w:tcPr>
            <w:tcW w:w="1339" w:type="dxa"/>
            <w:tcBorders>
              <w:top w:val="nil"/>
              <w:left w:val="single" w:color="auto" w:sz="4" w:space="0"/>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26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258"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06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0.1008</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（0.1103）</w:t>
            </w:r>
          </w:p>
        </w:tc>
        <w:tc>
          <w:tcPr>
            <w:tcW w:w="111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877"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8" w:hRule="atLeast"/>
        </w:trPr>
        <w:tc>
          <w:tcPr>
            <w:tcW w:w="1673" w:type="dxa"/>
            <w:tcBorders>
              <w:top w:val="nil"/>
              <w:left w:val="nil"/>
              <w:bottom w:val="nil"/>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数字乡村试点政策</w:t>
            </w:r>
          </w:p>
        </w:tc>
        <w:tc>
          <w:tcPr>
            <w:tcW w:w="1339" w:type="dxa"/>
            <w:tcBorders>
              <w:top w:val="nil"/>
              <w:left w:val="single" w:color="auto" w:sz="4" w:space="0"/>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26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258"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06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11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0.0412（0.0556）</w:t>
            </w:r>
          </w:p>
        </w:tc>
        <w:tc>
          <w:tcPr>
            <w:tcW w:w="877"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8" w:hRule="atLeast"/>
        </w:trPr>
        <w:tc>
          <w:tcPr>
            <w:tcW w:w="1673" w:type="dxa"/>
            <w:tcBorders>
              <w:top w:val="nil"/>
              <w:left w:val="nil"/>
              <w:bottom w:val="nil"/>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资本市场服务下沉</w:t>
            </w:r>
            <w:r>
              <w:rPr>
                <w:rFonts w:hint="eastAsia" w:ascii="Times New Roman" w:hAnsi="Times New Roman" w:eastAsia="宋体" w:cs="Times New Roman"/>
                <w:kern w:val="0"/>
                <w:sz w:val="18"/>
                <w:szCs w:val="18"/>
              </w:rPr>
              <w:t>×数字乡村试点政策</w:t>
            </w:r>
          </w:p>
        </w:tc>
        <w:tc>
          <w:tcPr>
            <w:tcW w:w="1339" w:type="dxa"/>
            <w:tcBorders>
              <w:top w:val="nil"/>
              <w:left w:val="single" w:color="auto" w:sz="4" w:space="0"/>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26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258"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06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11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0.0870（0.2082）</w:t>
            </w:r>
          </w:p>
        </w:tc>
        <w:tc>
          <w:tcPr>
            <w:tcW w:w="877"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8" w:hRule="atLeast"/>
        </w:trPr>
        <w:tc>
          <w:tcPr>
            <w:tcW w:w="1673" w:type="dxa"/>
            <w:tcBorders>
              <w:top w:val="nil"/>
              <w:left w:val="nil"/>
              <w:bottom w:val="nil"/>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rho</w:t>
            </w:r>
          </w:p>
        </w:tc>
        <w:tc>
          <w:tcPr>
            <w:tcW w:w="1339" w:type="dxa"/>
            <w:tcBorders>
              <w:top w:val="nil"/>
              <w:left w:val="single" w:color="auto" w:sz="4" w:space="0"/>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26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258"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06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11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877"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0.6874</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（0.0707）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8" w:hRule="atLeast"/>
        </w:trPr>
        <w:tc>
          <w:tcPr>
            <w:tcW w:w="1673" w:type="dxa"/>
            <w:tcBorders>
              <w:top w:val="nil"/>
              <w:left w:val="nil"/>
              <w:bottom w:val="nil"/>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常数项</w:t>
            </w:r>
          </w:p>
        </w:tc>
        <w:tc>
          <w:tcPr>
            <w:tcW w:w="1339" w:type="dxa"/>
            <w:tcBorders>
              <w:top w:val="nil"/>
              <w:left w:val="single" w:color="auto" w:sz="4" w:space="0"/>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3.3968</w:t>
            </w:r>
            <w:r>
              <w:rPr>
                <w:rFonts w:ascii="Times New Roman" w:hAnsi="Times New Roman" w:eastAsia="宋体" w:cs="Times New Roman"/>
                <w:kern w:val="0"/>
                <w:sz w:val="18"/>
                <w:szCs w:val="18"/>
                <w:vertAlign w:val="superscript"/>
              </w:rPr>
              <w:t>***</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（0.96</w:t>
            </w:r>
            <w:r>
              <w:rPr>
                <w:rFonts w:hint="eastAsia" w:ascii="Times New Roman" w:hAnsi="Times New Roman" w:eastAsia="宋体" w:cs="Times New Roman"/>
                <w:kern w:val="0"/>
                <w:sz w:val="18"/>
                <w:szCs w:val="18"/>
              </w:rPr>
              <w:t>30</w:t>
            </w:r>
            <w:r>
              <w:rPr>
                <w:rFonts w:ascii="Times New Roman" w:hAnsi="Times New Roman" w:eastAsia="宋体" w:cs="Times New Roman"/>
                <w:kern w:val="0"/>
                <w:sz w:val="18"/>
                <w:szCs w:val="18"/>
              </w:rPr>
              <w:t>）</w:t>
            </w:r>
          </w:p>
        </w:tc>
        <w:tc>
          <w:tcPr>
            <w:tcW w:w="126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.2089（2.30</w:t>
            </w:r>
            <w:r>
              <w:rPr>
                <w:rFonts w:hint="eastAsia" w:ascii="Times New Roman" w:hAnsi="Times New Roman" w:eastAsia="宋体" w:cs="Times New Roman"/>
                <w:kern w:val="0"/>
                <w:sz w:val="18"/>
                <w:szCs w:val="18"/>
              </w:rPr>
              <w:t>21</w:t>
            </w:r>
            <w:r>
              <w:rPr>
                <w:rFonts w:ascii="Times New Roman" w:hAnsi="Times New Roman" w:eastAsia="宋体" w:cs="Times New Roman"/>
                <w:kern w:val="0"/>
                <w:sz w:val="18"/>
                <w:szCs w:val="18"/>
              </w:rPr>
              <w:t>）</w:t>
            </w:r>
          </w:p>
        </w:tc>
        <w:tc>
          <w:tcPr>
            <w:tcW w:w="1258"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kern w:val="0"/>
                <w:sz w:val="18"/>
                <w:szCs w:val="18"/>
              </w:rPr>
            </w:pPr>
            <w:r>
              <w:rPr>
                <w:rFonts w:ascii="Times New Roman" w:hAnsi="Times New Roman" w:eastAsia="宋体" w:cs="Times New Roman"/>
                <w:kern w:val="0"/>
                <w:sz w:val="18"/>
                <w:szCs w:val="18"/>
              </w:rPr>
              <w:t>0.417</w:t>
            </w:r>
            <w:r>
              <w:rPr>
                <w:rFonts w:hint="eastAsia" w:ascii="Times New Roman" w:hAnsi="Times New Roman" w:eastAsia="宋体" w:cs="Times New Roman"/>
                <w:kern w:val="0"/>
                <w:sz w:val="18"/>
                <w:szCs w:val="18"/>
              </w:rPr>
              <w:t>1</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（1.282</w:t>
            </w:r>
            <w:r>
              <w:rPr>
                <w:rFonts w:hint="eastAsia" w:ascii="Times New Roman" w:hAnsi="Times New Roman" w:eastAsia="宋体" w:cs="Times New Roman"/>
                <w:kern w:val="0"/>
                <w:sz w:val="18"/>
                <w:szCs w:val="18"/>
              </w:rPr>
              <w:t>4</w:t>
            </w:r>
            <w:r>
              <w:rPr>
                <w:rFonts w:ascii="Times New Roman" w:hAnsi="Times New Roman" w:eastAsia="宋体" w:cs="Times New Roman"/>
                <w:kern w:val="0"/>
                <w:sz w:val="18"/>
                <w:szCs w:val="18"/>
              </w:rPr>
              <w:t>）</w:t>
            </w:r>
          </w:p>
        </w:tc>
        <w:tc>
          <w:tcPr>
            <w:tcW w:w="106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0.1336</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1.2292</w:t>
            </w:r>
            <w:r>
              <w:rPr>
                <w:rFonts w:ascii="Times New Roman" w:hAnsi="Times New Roman" w:eastAsia="宋体" w:cs="Times New Roman"/>
                <w:kern w:val="0"/>
                <w:sz w:val="18"/>
                <w:szCs w:val="18"/>
              </w:rPr>
              <w:t>）</w:t>
            </w:r>
          </w:p>
        </w:tc>
        <w:tc>
          <w:tcPr>
            <w:tcW w:w="111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0.1159（1.2297）</w:t>
            </w:r>
          </w:p>
        </w:tc>
        <w:tc>
          <w:tcPr>
            <w:tcW w:w="877"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8" w:hRule="atLeast"/>
        </w:trPr>
        <w:tc>
          <w:tcPr>
            <w:tcW w:w="1673" w:type="dxa"/>
            <w:tcBorders>
              <w:top w:val="nil"/>
              <w:left w:val="nil"/>
              <w:bottom w:val="nil"/>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县域</w:t>
            </w:r>
            <w:r>
              <w:rPr>
                <w:rFonts w:ascii="Times New Roman" w:hAnsi="Times New Roman" w:eastAsia="宋体" w:cs="Times New Roman"/>
                <w:kern w:val="0"/>
                <w:sz w:val="18"/>
                <w:szCs w:val="18"/>
              </w:rPr>
              <w:t>固定效应</w:t>
            </w:r>
          </w:p>
        </w:tc>
        <w:tc>
          <w:tcPr>
            <w:tcW w:w="1339" w:type="dxa"/>
            <w:tcBorders>
              <w:top w:val="nil"/>
              <w:left w:val="single" w:color="auto" w:sz="4" w:space="0"/>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26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258"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06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119"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已控制</w:t>
            </w:r>
          </w:p>
        </w:tc>
        <w:tc>
          <w:tcPr>
            <w:tcW w:w="877"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已控制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8" w:hRule="atLeast"/>
        </w:trPr>
        <w:tc>
          <w:tcPr>
            <w:tcW w:w="1673" w:type="dxa"/>
            <w:tcBorders>
              <w:top w:val="nil"/>
              <w:left w:val="nil"/>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年份</w:t>
            </w:r>
            <w:r>
              <w:rPr>
                <w:rFonts w:ascii="Times New Roman" w:hAnsi="Times New Roman" w:eastAsia="宋体" w:cs="Times New Roman"/>
                <w:kern w:val="0"/>
                <w:sz w:val="18"/>
                <w:szCs w:val="18"/>
              </w:rPr>
              <w:t>固定效应</w:t>
            </w:r>
          </w:p>
        </w:tc>
        <w:tc>
          <w:tcPr>
            <w:tcW w:w="1339" w:type="dxa"/>
            <w:tcBorders>
              <w:top w:val="nil"/>
              <w:left w:val="single" w:color="auto" w:sz="4" w:space="0"/>
              <w:bottom w:val="single" w:color="auto" w:sz="4"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269" w:type="dxa"/>
            <w:tcBorders>
              <w:top w:val="nil"/>
              <w:left w:val="nil"/>
              <w:bottom w:val="single" w:color="auto" w:sz="4"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258" w:type="dxa"/>
            <w:tcBorders>
              <w:top w:val="nil"/>
              <w:left w:val="nil"/>
              <w:bottom w:val="single" w:color="auto" w:sz="4"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061" w:type="dxa"/>
            <w:tcBorders>
              <w:top w:val="nil"/>
              <w:left w:val="nil"/>
              <w:bottom w:val="single" w:color="auto" w:sz="4"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119" w:type="dxa"/>
            <w:tcBorders>
              <w:top w:val="nil"/>
              <w:left w:val="nil"/>
              <w:bottom w:val="single" w:color="auto" w:sz="4"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已控制</w:t>
            </w:r>
          </w:p>
        </w:tc>
        <w:tc>
          <w:tcPr>
            <w:tcW w:w="877" w:type="dxa"/>
            <w:tcBorders>
              <w:top w:val="nil"/>
              <w:left w:val="nil"/>
              <w:bottom w:val="single" w:color="auto" w:sz="4"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已控制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8" w:hRule="atLeast"/>
        </w:trPr>
        <w:tc>
          <w:tcPr>
            <w:tcW w:w="1673" w:type="dxa"/>
            <w:tcBorders>
              <w:top w:val="single" w:color="auto" w:sz="4" w:space="0"/>
              <w:left w:val="nil"/>
              <w:bottom w:val="nil"/>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观测值数</w:t>
            </w:r>
          </w:p>
        </w:tc>
        <w:tc>
          <w:tcPr>
            <w:tcW w:w="1339" w:type="dxa"/>
            <w:tcBorders>
              <w:top w:val="single" w:color="auto" w:sz="4" w:space="0"/>
              <w:left w:val="single" w:color="auto" w:sz="4" w:space="0"/>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45</w:t>
            </w:r>
            <w:r>
              <w:rPr>
                <w:rFonts w:hint="eastAsia" w:ascii="Times New Roman" w:hAnsi="Times New Roman" w:eastAsia="宋体" w:cs="Times New Roman"/>
                <w:kern w:val="0"/>
                <w:sz w:val="18"/>
                <w:szCs w:val="18"/>
              </w:rPr>
              <w:t>88</w:t>
            </w:r>
          </w:p>
        </w:tc>
        <w:tc>
          <w:tcPr>
            <w:tcW w:w="1269" w:type="dxa"/>
            <w:tcBorders>
              <w:top w:val="single" w:color="auto" w:sz="4" w:space="0"/>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28</w:t>
            </w:r>
            <w:r>
              <w:rPr>
                <w:rFonts w:hint="eastAsia" w:ascii="Times New Roman" w:hAnsi="Times New Roman" w:eastAsia="宋体" w:cs="Times New Roman"/>
                <w:kern w:val="0"/>
                <w:sz w:val="18"/>
                <w:szCs w:val="18"/>
              </w:rPr>
              <w:t>96</w:t>
            </w:r>
          </w:p>
        </w:tc>
        <w:tc>
          <w:tcPr>
            <w:tcW w:w="1258" w:type="dxa"/>
            <w:tcBorders>
              <w:top w:val="single" w:color="auto" w:sz="4" w:space="0"/>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43</w:t>
            </w:r>
            <w:r>
              <w:rPr>
                <w:rFonts w:hint="eastAsia" w:ascii="Times New Roman" w:hAnsi="Times New Roman" w:eastAsia="宋体" w:cs="Times New Roman"/>
                <w:kern w:val="0"/>
                <w:sz w:val="18"/>
                <w:szCs w:val="18"/>
              </w:rPr>
              <w:t>51</w:t>
            </w:r>
          </w:p>
        </w:tc>
        <w:tc>
          <w:tcPr>
            <w:tcW w:w="1061" w:type="dxa"/>
            <w:tcBorders>
              <w:top w:val="single" w:color="auto" w:sz="4" w:space="0"/>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4563</w:t>
            </w:r>
          </w:p>
        </w:tc>
        <w:tc>
          <w:tcPr>
            <w:tcW w:w="1119" w:type="dxa"/>
            <w:tcBorders>
              <w:top w:val="single" w:color="auto" w:sz="4" w:space="0"/>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4563</w:t>
            </w:r>
          </w:p>
        </w:tc>
        <w:tc>
          <w:tcPr>
            <w:tcW w:w="877" w:type="dxa"/>
            <w:tcBorders>
              <w:top w:val="single" w:color="auto" w:sz="4" w:space="0"/>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8" w:hRule="atLeast"/>
        </w:trPr>
        <w:tc>
          <w:tcPr>
            <w:tcW w:w="1673" w:type="dxa"/>
            <w:tcBorders>
              <w:top w:val="nil"/>
              <w:left w:val="nil"/>
              <w:bottom w:val="single" w:color="auto" w:sz="12"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R</w:t>
            </w:r>
            <w:r>
              <w:rPr>
                <w:rFonts w:ascii="Times New Roman" w:hAnsi="Times New Roman" w:eastAsia="宋体" w:cs="Times New Roman"/>
                <w:kern w:val="0"/>
                <w:sz w:val="18"/>
                <w:szCs w:val="18"/>
                <w:vertAlign w:val="superscript"/>
              </w:rPr>
              <w:t>2</w:t>
            </w:r>
          </w:p>
        </w:tc>
        <w:tc>
          <w:tcPr>
            <w:tcW w:w="1339" w:type="dxa"/>
            <w:tcBorders>
              <w:top w:val="nil"/>
              <w:left w:val="single" w:color="auto" w:sz="4" w:space="0"/>
              <w:bottom w:val="single" w:color="auto" w:sz="12"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0.982</w:t>
            </w:r>
            <w:r>
              <w:rPr>
                <w:rFonts w:hint="eastAsia" w:ascii="Times New Roman" w:hAnsi="Times New Roman" w:eastAsia="宋体" w:cs="Times New Roman"/>
                <w:kern w:val="0"/>
                <w:sz w:val="18"/>
                <w:szCs w:val="18"/>
              </w:rPr>
              <w:t>7</w:t>
            </w:r>
          </w:p>
        </w:tc>
        <w:tc>
          <w:tcPr>
            <w:tcW w:w="1269" w:type="dxa"/>
            <w:tcBorders>
              <w:top w:val="nil"/>
              <w:left w:val="nil"/>
              <w:bottom w:val="single" w:color="auto" w:sz="12"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0.89</w:t>
            </w:r>
            <w:r>
              <w:rPr>
                <w:rFonts w:hint="eastAsia" w:ascii="Times New Roman" w:hAnsi="Times New Roman" w:eastAsia="宋体" w:cs="Times New Roman"/>
                <w:kern w:val="0"/>
                <w:sz w:val="18"/>
                <w:szCs w:val="18"/>
              </w:rPr>
              <w:t>28</w:t>
            </w:r>
          </w:p>
        </w:tc>
        <w:tc>
          <w:tcPr>
            <w:tcW w:w="1258" w:type="dxa"/>
            <w:tcBorders>
              <w:top w:val="nil"/>
              <w:left w:val="nil"/>
              <w:bottom w:val="single" w:color="auto" w:sz="12"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0.90</w:t>
            </w:r>
            <w:r>
              <w:rPr>
                <w:rFonts w:hint="eastAsia" w:ascii="Times New Roman" w:hAnsi="Times New Roman" w:eastAsia="宋体" w:cs="Times New Roman"/>
                <w:kern w:val="0"/>
                <w:sz w:val="18"/>
                <w:szCs w:val="18"/>
              </w:rPr>
              <w:t>30</w:t>
            </w:r>
          </w:p>
        </w:tc>
        <w:tc>
          <w:tcPr>
            <w:tcW w:w="1061" w:type="dxa"/>
            <w:tcBorders>
              <w:top w:val="nil"/>
              <w:left w:val="nil"/>
              <w:bottom w:val="single" w:color="auto" w:sz="12"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0.9051</w:t>
            </w:r>
          </w:p>
        </w:tc>
        <w:tc>
          <w:tcPr>
            <w:tcW w:w="1119" w:type="dxa"/>
            <w:tcBorders>
              <w:top w:val="nil"/>
              <w:left w:val="nil"/>
              <w:bottom w:val="single" w:color="auto" w:sz="12"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0.9051</w:t>
            </w:r>
          </w:p>
        </w:tc>
        <w:tc>
          <w:tcPr>
            <w:tcW w:w="877" w:type="dxa"/>
            <w:tcBorders>
              <w:top w:val="nil"/>
              <w:left w:val="nil"/>
              <w:bottom w:val="single" w:color="auto" w:sz="12"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w:t>
            </w:r>
          </w:p>
        </w:tc>
      </w:tr>
    </w:tbl>
    <w:p>
      <w:pPr>
        <w:ind w:firstLine="332" w:firstLineChars="200"/>
        <w:rPr>
          <w:rFonts w:hint="eastAsia"/>
        </w:rPr>
      </w:pPr>
      <w:r>
        <w:rPr>
          <w:rFonts w:ascii="Times New Roman" w:hAnsi="Times New Roman" w:eastAsia="宋体" w:cs="Times New Roman"/>
          <w:sz w:val="18"/>
          <w:szCs w:val="18"/>
        </w:rPr>
        <w:t>注：</w:t>
      </w:r>
      <w:r>
        <w:rPr>
          <w:rFonts w:hint="eastAsia" w:ascii="Cambria Math" w:hAnsi="Cambria Math" w:eastAsia="宋体" w:cs="Cambria Math"/>
          <w:sz w:val="18"/>
          <w:szCs w:val="18"/>
        </w:rPr>
        <w:t>①</w:t>
      </w:r>
      <w:r>
        <w:rPr>
          <w:rFonts w:ascii="Times New Roman" w:hAnsi="Times New Roman" w:eastAsia="宋体" w:cs="Times New Roman"/>
          <w:sz w:val="18"/>
          <w:szCs w:val="18"/>
        </w:rPr>
        <w:t>***和**分别表示1%和5%的显著性水平。</w:t>
      </w:r>
      <w:r>
        <w:rPr>
          <w:rFonts w:hint="eastAsia" w:ascii="Cambria Math" w:hAnsi="Cambria Math" w:eastAsia="宋体" w:cs="Cambria Math"/>
          <w:sz w:val="18"/>
          <w:szCs w:val="18"/>
        </w:rPr>
        <w:t>②小</w:t>
      </w:r>
      <w:r>
        <w:rPr>
          <w:rFonts w:ascii="Times New Roman" w:hAnsi="Times New Roman" w:eastAsia="宋体" w:cs="Times New Roman"/>
          <w:sz w:val="18"/>
          <w:szCs w:val="18"/>
        </w:rPr>
        <w:t>括号中的数值为聚类到县域层面的稳健标准误。</w:t>
      </w:r>
      <w:r>
        <w:rPr>
          <w:rFonts w:hint="eastAsia" w:ascii="Cambria Math" w:hAnsi="Cambria Math" w:eastAsia="宋体" w:cs="Cambria Math"/>
          <w:sz w:val="18"/>
          <w:szCs w:val="18"/>
        </w:rPr>
        <w:t>③</w:t>
      </w:r>
      <w:r>
        <w:rPr>
          <w:rFonts w:ascii="Times New Roman" w:hAnsi="Times New Roman" w:eastAsia="宋体" w:cs="Times New Roman"/>
          <w:sz w:val="18"/>
          <w:szCs w:val="18"/>
        </w:rPr>
        <w:t>rho</w:t>
      </w:r>
      <w:r>
        <w:rPr>
          <w:rFonts w:hint="eastAsia" w:ascii="Times New Roman" w:hAnsi="Times New Roman" w:eastAsia="宋体" w:cs="Times New Roman"/>
          <w:sz w:val="18"/>
          <w:szCs w:val="18"/>
        </w:rPr>
        <w:t>代表被解释变量的空间滞后效应项。</w:t>
      </w:r>
    </w:p>
    <w:p>
      <w:pPr>
        <w:pStyle w:val="9"/>
        <w:keepNext/>
        <w:ind w:firstLine="332" w:firstLineChars="200"/>
        <w:rPr>
          <w:rFonts w:ascii="Times New Roman" w:hAnsi="Times New Roman" w:cs="Times New Roman"/>
          <w:sz w:val="18"/>
          <w:szCs w:val="18"/>
        </w:rPr>
      </w:pPr>
      <w:r>
        <w:rPr>
          <w:rFonts w:ascii="Times New Roman" w:hAnsi="Times New Roman" w:cs="Times New Roman"/>
          <w:sz w:val="18"/>
          <w:szCs w:val="18"/>
        </w:rPr>
        <w:t>附表</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附表 \* ARABIC </w:instrText>
      </w:r>
      <w:r>
        <w:rPr>
          <w:rFonts w:ascii="Times New Roman" w:hAnsi="Times New Roman" w:cs="Times New Roman"/>
          <w:sz w:val="18"/>
          <w:szCs w:val="18"/>
        </w:rPr>
        <w:fldChar w:fldCharType="separate"/>
      </w:r>
      <w:r>
        <w:rPr>
          <w:rFonts w:ascii="Times New Roman" w:hAnsi="Times New Roman" w:cs="Times New Roman"/>
          <w:sz w:val="18"/>
          <w:szCs w:val="18"/>
        </w:rPr>
        <w:t>7</w:t>
      </w:r>
      <w:r>
        <w:rPr>
          <w:rFonts w:ascii="Times New Roman" w:hAnsi="Times New Roman" w:cs="Times New Roman"/>
          <w:sz w:val="18"/>
          <w:szCs w:val="18"/>
        </w:rPr>
        <w:fldChar w:fldCharType="end"/>
      </w:r>
      <w:r>
        <w:rPr>
          <w:rFonts w:hint="eastAsia" w:ascii="Times New Roman" w:hAnsi="Times New Roman" w:cs="Times New Roman"/>
          <w:sz w:val="18"/>
          <w:szCs w:val="18"/>
        </w:rPr>
        <w:t xml:space="preserve">                           企业层面的影响机制回归结果</w:t>
      </w:r>
    </w:p>
    <w:tbl>
      <w:tblPr>
        <w:tblStyle w:val="34"/>
        <w:tblW w:w="8642"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488"/>
        <w:gridCol w:w="1339"/>
        <w:gridCol w:w="1350"/>
        <w:gridCol w:w="1246"/>
        <w:gridCol w:w="1177"/>
        <w:gridCol w:w="913"/>
        <w:gridCol w:w="1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488" w:type="dxa"/>
            <w:vMerge w:val="restart"/>
            <w:tcBorders>
              <w:top w:val="single" w:color="auto" w:sz="12" w:space="0"/>
              <w:left w:val="nil"/>
              <w:right w:val="single" w:color="auto" w:sz="4" w:space="0"/>
            </w:tcBorders>
            <w:vAlign w:val="center"/>
          </w:tcPr>
          <w:p>
            <w:pPr>
              <w:spacing w:line="300" w:lineRule="exact"/>
              <w:jc w:val="center"/>
              <w:rPr>
                <w:rFonts w:hint="eastAsia" w:ascii="宋体" w:hAnsi="宋体" w:eastAsia="宋体" w:cs="Times New Roman"/>
                <w:kern w:val="0"/>
                <w:sz w:val="18"/>
                <w:szCs w:val="18"/>
              </w:rPr>
            </w:pPr>
            <w:r>
              <w:rPr>
                <w:rFonts w:ascii="宋体" w:hAnsi="宋体" w:eastAsia="宋体"/>
                <w:kern w:val="0"/>
                <w:sz w:val="18"/>
                <w:szCs w:val="18"/>
              </w:rPr>
              <w:t>变量</w:t>
            </w:r>
          </w:p>
        </w:tc>
        <w:tc>
          <w:tcPr>
            <w:tcW w:w="1339" w:type="dxa"/>
            <w:tcBorders>
              <w:top w:val="single" w:color="auto" w:sz="12" w:space="0"/>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当年新三板</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挂牌企业数量</w:t>
            </w:r>
          </w:p>
        </w:tc>
        <w:tc>
          <w:tcPr>
            <w:tcW w:w="1350" w:type="dxa"/>
            <w:tcBorders>
              <w:top w:val="single" w:color="auto" w:sz="12" w:space="0"/>
              <w:left w:val="nil"/>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当年沪深交易所</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上市企业数量</w:t>
            </w:r>
          </w:p>
        </w:tc>
        <w:tc>
          <w:tcPr>
            <w:tcW w:w="1246" w:type="dxa"/>
            <w:tcBorders>
              <w:top w:val="single" w:color="auto" w:sz="12" w:space="0"/>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规模以上工业</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企业规模</w:t>
            </w:r>
          </w:p>
        </w:tc>
        <w:tc>
          <w:tcPr>
            <w:tcW w:w="1177" w:type="dxa"/>
            <w:tcBorders>
              <w:top w:val="single" w:color="auto" w:sz="12" w:space="0"/>
              <w:left w:val="nil"/>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规模以上工业</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企业数量</w:t>
            </w:r>
          </w:p>
        </w:tc>
        <w:tc>
          <w:tcPr>
            <w:tcW w:w="913" w:type="dxa"/>
            <w:tcBorders>
              <w:top w:val="single" w:color="auto" w:sz="12" w:space="0"/>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当年新增</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企业数量</w:t>
            </w:r>
          </w:p>
        </w:tc>
        <w:tc>
          <w:tcPr>
            <w:tcW w:w="1129" w:type="dxa"/>
            <w:tcBorders>
              <w:top w:val="single" w:color="auto" w:sz="12" w:space="0"/>
              <w:left w:val="nil"/>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农业相关中小企业拓展程度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488" w:type="dxa"/>
            <w:vMerge w:val="continue"/>
            <w:tcBorders>
              <w:left w:val="nil"/>
              <w:bottom w:val="nil"/>
              <w:right w:val="single" w:color="auto" w:sz="4" w:space="0"/>
            </w:tcBorders>
          </w:tcPr>
          <w:p>
            <w:pPr>
              <w:spacing w:line="300" w:lineRule="exact"/>
              <w:jc w:val="center"/>
              <w:rPr>
                <w:rFonts w:hint="eastAsia" w:ascii="宋体" w:hAnsi="宋体" w:eastAsia="宋体" w:cs="Times New Roman"/>
                <w:kern w:val="0"/>
                <w:sz w:val="18"/>
                <w:szCs w:val="18"/>
              </w:rPr>
            </w:pPr>
          </w:p>
        </w:tc>
        <w:tc>
          <w:tcPr>
            <w:tcW w:w="1339" w:type="dxa"/>
            <w:tcBorders>
              <w:top w:val="nil"/>
              <w:left w:val="single" w:color="auto" w:sz="4" w:space="0"/>
              <w:bottom w:val="single" w:color="auto" w:sz="6" w:space="0"/>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350" w:type="dxa"/>
            <w:tcBorders>
              <w:top w:val="nil"/>
              <w:left w:val="nil"/>
              <w:bottom w:val="single" w:color="auto" w:sz="6" w:space="0"/>
              <w:righ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w:t>
            </w:r>
          </w:p>
        </w:tc>
        <w:tc>
          <w:tcPr>
            <w:tcW w:w="1246" w:type="dxa"/>
            <w:tcBorders>
              <w:top w:val="nil"/>
              <w:left w:val="single" w:color="auto" w:sz="4" w:space="0"/>
              <w:bottom w:val="single" w:color="auto" w:sz="6" w:space="0"/>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（3）</w:t>
            </w:r>
          </w:p>
        </w:tc>
        <w:tc>
          <w:tcPr>
            <w:tcW w:w="1177" w:type="dxa"/>
            <w:tcBorders>
              <w:top w:val="nil"/>
              <w:left w:val="nil"/>
              <w:bottom w:val="single" w:color="auto" w:sz="6" w:space="0"/>
              <w:righ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w:t>
            </w:r>
          </w:p>
        </w:tc>
        <w:tc>
          <w:tcPr>
            <w:tcW w:w="913" w:type="dxa"/>
            <w:tcBorders>
              <w:top w:val="nil"/>
              <w:left w:val="single" w:color="auto" w:sz="4" w:space="0"/>
              <w:bottom w:val="single" w:color="auto" w:sz="6" w:space="0"/>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（5）</w:t>
            </w:r>
          </w:p>
        </w:tc>
        <w:tc>
          <w:tcPr>
            <w:tcW w:w="1129" w:type="dxa"/>
            <w:tcBorders>
              <w:top w:val="nil"/>
              <w:left w:val="nil"/>
              <w:bottom w:val="single" w:color="auto" w:sz="6" w:space="0"/>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488" w:type="dxa"/>
            <w:tcBorders>
              <w:top w:val="single" w:color="auto" w:sz="6" w:space="0"/>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资本市场服务下沉</w:t>
            </w:r>
          </w:p>
        </w:tc>
        <w:tc>
          <w:tcPr>
            <w:tcW w:w="1339" w:type="dxa"/>
            <w:tcBorders>
              <w:top w:val="single" w:color="auto" w:sz="6" w:space="0"/>
              <w:left w:val="single" w:color="auto" w:sz="4" w:space="0"/>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.1008</w:t>
            </w:r>
            <w:r>
              <w:rPr>
                <w:rFonts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.0303</w:t>
            </w:r>
            <w:r>
              <w:rPr>
                <w:rFonts w:ascii="Times New Roman" w:hAnsi="Times New Roman" w:eastAsia="宋体" w:cs="Times New Roman"/>
                <w:kern w:val="0"/>
                <w:sz w:val="18"/>
                <w:szCs w:val="18"/>
              </w:rPr>
              <w:t>）</w:t>
            </w:r>
          </w:p>
        </w:tc>
        <w:tc>
          <w:tcPr>
            <w:tcW w:w="1350" w:type="dxa"/>
            <w:tcBorders>
              <w:top w:val="single" w:color="auto" w:sz="6" w:space="0"/>
              <w:left w:val="nil"/>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0.0487</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.0322</w:t>
            </w:r>
            <w:r>
              <w:rPr>
                <w:rFonts w:ascii="Times New Roman" w:hAnsi="Times New Roman" w:eastAsia="宋体" w:cs="Times New Roman"/>
                <w:kern w:val="0"/>
                <w:sz w:val="18"/>
                <w:szCs w:val="18"/>
              </w:rPr>
              <w:t>）</w:t>
            </w:r>
          </w:p>
        </w:tc>
        <w:tc>
          <w:tcPr>
            <w:tcW w:w="1246" w:type="dxa"/>
            <w:tcBorders>
              <w:top w:val="single" w:color="auto" w:sz="6" w:space="0"/>
              <w:left w:val="single" w:color="auto" w:sz="4" w:space="0"/>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.6639</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.3565</w:t>
            </w:r>
            <w:r>
              <w:rPr>
                <w:rFonts w:ascii="Times New Roman" w:hAnsi="Times New Roman" w:eastAsia="宋体" w:cs="Times New Roman"/>
                <w:kern w:val="0"/>
                <w:sz w:val="18"/>
                <w:szCs w:val="18"/>
              </w:rPr>
              <w:t>）</w:t>
            </w:r>
          </w:p>
        </w:tc>
        <w:tc>
          <w:tcPr>
            <w:tcW w:w="1177" w:type="dxa"/>
            <w:tcBorders>
              <w:top w:val="single" w:color="auto" w:sz="6" w:space="0"/>
              <w:left w:val="nil"/>
              <w:bottom w:val="nil"/>
              <w:right w:val="single" w:color="auto" w:sz="4" w:space="0"/>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0.2109</w:t>
            </w:r>
            <w:r>
              <w:rPr>
                <w:rFonts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（0.0391）</w:t>
            </w:r>
          </w:p>
        </w:tc>
        <w:tc>
          <w:tcPr>
            <w:tcW w:w="913" w:type="dxa"/>
            <w:tcBorders>
              <w:top w:val="single" w:color="auto" w:sz="6" w:space="0"/>
              <w:left w:val="single" w:color="auto" w:sz="4" w:space="0"/>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.1758</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.0313</w:t>
            </w:r>
            <w:r>
              <w:rPr>
                <w:rFonts w:ascii="Times New Roman" w:hAnsi="Times New Roman" w:eastAsia="宋体" w:cs="Times New Roman"/>
                <w:kern w:val="0"/>
                <w:sz w:val="18"/>
                <w:szCs w:val="18"/>
              </w:rPr>
              <w:t>）</w:t>
            </w:r>
          </w:p>
        </w:tc>
        <w:tc>
          <w:tcPr>
            <w:tcW w:w="1129" w:type="dxa"/>
            <w:tcBorders>
              <w:top w:val="single" w:color="auto" w:sz="6" w:space="0"/>
              <w:left w:val="nil"/>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0.540</w:t>
            </w:r>
            <w:r>
              <w:rPr>
                <w:rFonts w:hint="eastAsia" w:ascii="Times New Roman" w:hAnsi="Times New Roman" w:eastAsia="宋体" w:cs="Times New Roman"/>
                <w:kern w:val="0"/>
                <w:sz w:val="18"/>
                <w:szCs w:val="18"/>
              </w:rPr>
              <w:t>2</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（0.102</w:t>
            </w:r>
            <w:r>
              <w:rPr>
                <w:rFonts w:hint="eastAsia" w:ascii="Times New Roman" w:hAnsi="Times New Roman" w:eastAsia="宋体" w:cs="Times New Roman"/>
                <w:kern w:val="0"/>
                <w:sz w:val="18"/>
                <w:szCs w:val="18"/>
              </w:rPr>
              <w:t>2</w:t>
            </w:r>
            <w:r>
              <w:rPr>
                <w:rFonts w:ascii="Times New Roman" w:hAnsi="Times New Roman" w:eastAsia="宋体" w:cs="Times New Roman"/>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488"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农村居民收入</w:t>
            </w:r>
          </w:p>
        </w:tc>
        <w:tc>
          <w:tcPr>
            <w:tcW w:w="1339"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0.1259</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.0745</w:t>
            </w:r>
            <w:r>
              <w:rPr>
                <w:rFonts w:ascii="Times New Roman" w:hAnsi="Times New Roman" w:eastAsia="宋体" w:cs="Times New Roman"/>
                <w:kern w:val="0"/>
                <w:sz w:val="18"/>
                <w:szCs w:val="18"/>
              </w:rPr>
              <w:t>）</w:t>
            </w:r>
          </w:p>
        </w:tc>
        <w:tc>
          <w:tcPr>
            <w:tcW w:w="1350"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vertAlign w:val="superscript"/>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0.1234</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.0524</w:t>
            </w:r>
            <w:r>
              <w:rPr>
                <w:rFonts w:ascii="Times New Roman" w:hAnsi="Times New Roman" w:eastAsia="宋体" w:cs="Times New Roman"/>
                <w:kern w:val="0"/>
                <w:sz w:val="18"/>
                <w:szCs w:val="18"/>
              </w:rPr>
              <w:t>）</w:t>
            </w:r>
          </w:p>
        </w:tc>
        <w:tc>
          <w:tcPr>
            <w:tcW w:w="1246"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0.8011</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.9134</w:t>
            </w:r>
            <w:r>
              <w:rPr>
                <w:rFonts w:ascii="Times New Roman" w:hAnsi="Times New Roman" w:eastAsia="宋体" w:cs="Times New Roman"/>
                <w:kern w:val="0"/>
                <w:sz w:val="18"/>
                <w:szCs w:val="18"/>
              </w:rPr>
              <w:t>）</w:t>
            </w:r>
          </w:p>
        </w:tc>
        <w:tc>
          <w:tcPr>
            <w:tcW w:w="1177"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0.9169</w:t>
            </w:r>
            <w:r>
              <w:rPr>
                <w:rFonts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（0.129</w:t>
            </w:r>
            <w:r>
              <w:rPr>
                <w:rFonts w:hint="eastAsia" w:ascii="Times New Roman" w:hAnsi="Times New Roman" w:eastAsia="宋体" w:cs="Times New Roman"/>
                <w:kern w:val="0"/>
                <w:sz w:val="18"/>
                <w:szCs w:val="18"/>
              </w:rPr>
              <w:t>6</w:t>
            </w:r>
            <w:r>
              <w:rPr>
                <w:rFonts w:ascii="Times New Roman" w:hAnsi="Times New Roman" w:eastAsia="宋体" w:cs="Times New Roman"/>
                <w:kern w:val="0"/>
                <w:sz w:val="18"/>
                <w:szCs w:val="18"/>
              </w:rPr>
              <w:t>）</w:t>
            </w:r>
          </w:p>
        </w:tc>
        <w:tc>
          <w:tcPr>
            <w:tcW w:w="913"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0.6212</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0934</w:t>
            </w:r>
            <w:r>
              <w:rPr>
                <w:rFonts w:ascii="Times New Roman" w:hAnsi="Times New Roman" w:eastAsia="宋体" w:cs="Times New Roman"/>
                <w:kern w:val="0"/>
                <w:sz w:val="18"/>
                <w:szCs w:val="18"/>
              </w:rPr>
              <w:t>）</w:t>
            </w:r>
          </w:p>
        </w:tc>
        <w:tc>
          <w:tcPr>
            <w:tcW w:w="1129"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0.3868</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（0.2487）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488"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存款水平</w:t>
            </w:r>
          </w:p>
        </w:tc>
        <w:tc>
          <w:tcPr>
            <w:tcW w:w="1339"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-0.0729</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.0510</w:t>
            </w:r>
            <w:r>
              <w:rPr>
                <w:rFonts w:ascii="Times New Roman" w:hAnsi="Times New Roman" w:eastAsia="宋体" w:cs="Times New Roman"/>
                <w:kern w:val="0"/>
                <w:sz w:val="18"/>
                <w:szCs w:val="18"/>
              </w:rPr>
              <w:t>）</w:t>
            </w:r>
          </w:p>
        </w:tc>
        <w:tc>
          <w:tcPr>
            <w:tcW w:w="1350"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0.0630</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.0639</w:t>
            </w:r>
            <w:r>
              <w:rPr>
                <w:rFonts w:ascii="Times New Roman" w:hAnsi="Times New Roman" w:eastAsia="宋体" w:cs="Times New Roman"/>
                <w:kern w:val="0"/>
                <w:sz w:val="18"/>
                <w:szCs w:val="18"/>
              </w:rPr>
              <w:t>）</w:t>
            </w:r>
          </w:p>
        </w:tc>
        <w:tc>
          <w:tcPr>
            <w:tcW w:w="1246"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0.1100</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.4403</w:t>
            </w:r>
            <w:r>
              <w:rPr>
                <w:rFonts w:ascii="Times New Roman" w:hAnsi="Times New Roman" w:eastAsia="宋体" w:cs="Times New Roman"/>
                <w:kern w:val="0"/>
                <w:sz w:val="18"/>
                <w:szCs w:val="18"/>
              </w:rPr>
              <w:t>）</w:t>
            </w:r>
          </w:p>
        </w:tc>
        <w:tc>
          <w:tcPr>
            <w:tcW w:w="1177"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vertAlign w:val="superscript"/>
              </w:rPr>
            </w:pPr>
            <w:r>
              <w:rPr>
                <w:rFonts w:ascii="Cambria Math" w:hAnsi="Cambria Math" w:cs="Cambria Math"/>
                <w:kern w:val="0"/>
                <w:sz w:val="18"/>
                <w:szCs w:val="18"/>
              </w:rPr>
              <w:t>−</w:t>
            </w:r>
            <w:r>
              <w:rPr>
                <w:rFonts w:ascii="Times New Roman" w:hAnsi="Times New Roman" w:eastAsia="宋体" w:cs="Times New Roman"/>
                <w:kern w:val="0"/>
                <w:sz w:val="18"/>
                <w:szCs w:val="18"/>
              </w:rPr>
              <w:t>0.1694</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（0.066</w:t>
            </w:r>
            <w:r>
              <w:rPr>
                <w:rFonts w:hint="eastAsia" w:ascii="Times New Roman" w:hAnsi="Times New Roman" w:eastAsia="宋体" w:cs="Times New Roman"/>
                <w:kern w:val="0"/>
                <w:sz w:val="18"/>
                <w:szCs w:val="18"/>
              </w:rPr>
              <w:t>1</w:t>
            </w:r>
            <w:r>
              <w:rPr>
                <w:rFonts w:ascii="Times New Roman" w:hAnsi="Times New Roman" w:eastAsia="宋体" w:cs="Times New Roman"/>
                <w:kern w:val="0"/>
                <w:sz w:val="18"/>
                <w:szCs w:val="18"/>
              </w:rPr>
              <w:t>）</w:t>
            </w:r>
          </w:p>
        </w:tc>
        <w:tc>
          <w:tcPr>
            <w:tcW w:w="913"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0.2377</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.0611</w:t>
            </w:r>
            <w:r>
              <w:rPr>
                <w:rFonts w:ascii="Times New Roman" w:hAnsi="Times New Roman" w:eastAsia="宋体" w:cs="Times New Roman"/>
                <w:kern w:val="0"/>
                <w:sz w:val="18"/>
                <w:szCs w:val="18"/>
              </w:rPr>
              <w:t>）</w:t>
            </w:r>
          </w:p>
        </w:tc>
        <w:tc>
          <w:tcPr>
            <w:tcW w:w="1129"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.1936</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（0.1498）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488"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贷款水平</w:t>
            </w:r>
          </w:p>
        </w:tc>
        <w:tc>
          <w:tcPr>
            <w:tcW w:w="1339"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0.1798</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.0716</w:t>
            </w:r>
            <w:r>
              <w:rPr>
                <w:rFonts w:ascii="Times New Roman" w:hAnsi="Times New Roman" w:eastAsia="宋体" w:cs="Times New Roman"/>
                <w:kern w:val="0"/>
                <w:sz w:val="18"/>
                <w:szCs w:val="18"/>
              </w:rPr>
              <w:t>）</w:t>
            </w:r>
          </w:p>
        </w:tc>
        <w:tc>
          <w:tcPr>
            <w:tcW w:w="1350"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0.0341</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.0381</w:t>
            </w:r>
            <w:r>
              <w:rPr>
                <w:rFonts w:ascii="Times New Roman" w:hAnsi="Times New Roman" w:eastAsia="宋体" w:cs="Times New Roman"/>
                <w:kern w:val="0"/>
                <w:sz w:val="18"/>
                <w:szCs w:val="18"/>
              </w:rPr>
              <w:t>）</w:t>
            </w:r>
          </w:p>
        </w:tc>
        <w:tc>
          <w:tcPr>
            <w:tcW w:w="1246"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0.5985</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.3961</w:t>
            </w:r>
            <w:r>
              <w:rPr>
                <w:rFonts w:ascii="Times New Roman" w:hAnsi="Times New Roman" w:eastAsia="宋体" w:cs="Times New Roman"/>
                <w:kern w:val="0"/>
                <w:sz w:val="18"/>
                <w:szCs w:val="18"/>
              </w:rPr>
              <w:t>）</w:t>
            </w:r>
          </w:p>
        </w:tc>
        <w:tc>
          <w:tcPr>
            <w:tcW w:w="1177"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0.049</w:t>
            </w:r>
            <w:r>
              <w:rPr>
                <w:rFonts w:hint="eastAsia" w:ascii="Times New Roman" w:hAnsi="Times New Roman" w:eastAsia="宋体" w:cs="Times New Roman"/>
                <w:kern w:val="0"/>
                <w:sz w:val="18"/>
                <w:szCs w:val="18"/>
              </w:rPr>
              <w:t>4</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（0.0367）</w:t>
            </w:r>
          </w:p>
        </w:tc>
        <w:tc>
          <w:tcPr>
            <w:tcW w:w="913"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0.0393</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.0330</w:t>
            </w:r>
            <w:r>
              <w:rPr>
                <w:rFonts w:ascii="Times New Roman" w:hAnsi="Times New Roman" w:eastAsia="宋体" w:cs="Times New Roman"/>
                <w:kern w:val="0"/>
                <w:sz w:val="18"/>
                <w:szCs w:val="18"/>
              </w:rPr>
              <w:t>）</w:t>
            </w:r>
          </w:p>
        </w:tc>
        <w:tc>
          <w:tcPr>
            <w:tcW w:w="1129"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0.0512</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（0.0975）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488"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医疗水平</w:t>
            </w:r>
          </w:p>
        </w:tc>
        <w:tc>
          <w:tcPr>
            <w:tcW w:w="1339"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0.0145</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.0278</w:t>
            </w:r>
            <w:r>
              <w:rPr>
                <w:rFonts w:ascii="Times New Roman" w:hAnsi="Times New Roman" w:eastAsia="宋体" w:cs="Times New Roman"/>
                <w:kern w:val="0"/>
                <w:sz w:val="18"/>
                <w:szCs w:val="18"/>
              </w:rPr>
              <w:t>）</w:t>
            </w:r>
          </w:p>
        </w:tc>
        <w:tc>
          <w:tcPr>
            <w:tcW w:w="1350"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0.0371</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.0271</w:t>
            </w:r>
            <w:r>
              <w:rPr>
                <w:rFonts w:ascii="Times New Roman" w:hAnsi="Times New Roman" w:eastAsia="宋体" w:cs="Times New Roman"/>
                <w:kern w:val="0"/>
                <w:sz w:val="18"/>
                <w:szCs w:val="18"/>
              </w:rPr>
              <w:t>）</w:t>
            </w:r>
          </w:p>
        </w:tc>
        <w:tc>
          <w:tcPr>
            <w:tcW w:w="1246"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0.2899</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.3036</w:t>
            </w:r>
            <w:r>
              <w:rPr>
                <w:rFonts w:ascii="Times New Roman" w:hAnsi="Times New Roman" w:eastAsia="宋体" w:cs="Times New Roman"/>
                <w:kern w:val="0"/>
                <w:sz w:val="18"/>
                <w:szCs w:val="18"/>
              </w:rPr>
              <w:t>）</w:t>
            </w:r>
          </w:p>
        </w:tc>
        <w:tc>
          <w:tcPr>
            <w:tcW w:w="1177"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0.0794</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（0.0342）</w:t>
            </w:r>
          </w:p>
        </w:tc>
        <w:tc>
          <w:tcPr>
            <w:tcW w:w="913"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0.0243</w:t>
            </w:r>
            <w:r>
              <w:rPr>
                <w:rFonts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.0285</w:t>
            </w:r>
            <w:r>
              <w:rPr>
                <w:rFonts w:ascii="Times New Roman" w:hAnsi="Times New Roman" w:eastAsia="宋体" w:cs="Times New Roman"/>
                <w:kern w:val="0"/>
                <w:sz w:val="18"/>
                <w:szCs w:val="18"/>
              </w:rPr>
              <w:t>）</w:t>
            </w:r>
          </w:p>
        </w:tc>
        <w:tc>
          <w:tcPr>
            <w:tcW w:w="1129"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.2224</w:t>
            </w:r>
            <w:r>
              <w:rPr>
                <w:rFonts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（0.0839）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488"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教育水平</w:t>
            </w:r>
          </w:p>
        </w:tc>
        <w:tc>
          <w:tcPr>
            <w:tcW w:w="1339"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0.0281</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.0302</w:t>
            </w:r>
            <w:r>
              <w:rPr>
                <w:rFonts w:ascii="Times New Roman" w:hAnsi="Times New Roman" w:eastAsia="宋体" w:cs="Times New Roman"/>
                <w:kern w:val="0"/>
                <w:sz w:val="18"/>
                <w:szCs w:val="18"/>
              </w:rPr>
              <w:t>）</w:t>
            </w:r>
          </w:p>
        </w:tc>
        <w:tc>
          <w:tcPr>
            <w:tcW w:w="1350"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0.0331</w:t>
            </w:r>
          </w:p>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.0224</w:t>
            </w:r>
            <w:r>
              <w:rPr>
                <w:rFonts w:ascii="Times New Roman" w:hAnsi="Times New Roman" w:eastAsia="宋体" w:cs="Times New Roman"/>
                <w:kern w:val="0"/>
                <w:sz w:val="18"/>
                <w:szCs w:val="18"/>
              </w:rPr>
              <w:t>）</w:t>
            </w:r>
          </w:p>
        </w:tc>
        <w:tc>
          <w:tcPr>
            <w:tcW w:w="1246"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1.1809</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.2544</w:t>
            </w:r>
            <w:r>
              <w:rPr>
                <w:rFonts w:ascii="Times New Roman" w:hAnsi="Times New Roman" w:eastAsia="宋体" w:cs="Times New Roman"/>
                <w:kern w:val="0"/>
                <w:sz w:val="18"/>
                <w:szCs w:val="18"/>
              </w:rPr>
              <w:t>）</w:t>
            </w:r>
          </w:p>
        </w:tc>
        <w:tc>
          <w:tcPr>
            <w:tcW w:w="1177"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vertAlign w:val="superscript"/>
              </w:rPr>
            </w:pPr>
            <w:r>
              <w:rPr>
                <w:rFonts w:ascii="Cambria Math" w:hAnsi="Cambria Math" w:cs="Cambria Math"/>
                <w:kern w:val="0"/>
                <w:sz w:val="18"/>
                <w:szCs w:val="18"/>
              </w:rPr>
              <w:t>−</w:t>
            </w:r>
            <w:r>
              <w:rPr>
                <w:rFonts w:ascii="Times New Roman" w:hAnsi="Times New Roman" w:eastAsia="宋体" w:cs="Times New Roman"/>
                <w:kern w:val="0"/>
                <w:sz w:val="18"/>
                <w:szCs w:val="18"/>
              </w:rPr>
              <w:t>0.140</w:t>
            </w:r>
            <w:r>
              <w:rPr>
                <w:rFonts w:hint="eastAsia" w:ascii="Times New Roman" w:hAnsi="Times New Roman" w:eastAsia="宋体" w:cs="Times New Roman"/>
                <w:kern w:val="0"/>
                <w:sz w:val="18"/>
                <w:szCs w:val="18"/>
              </w:rPr>
              <w:t>6</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（0.0541）</w:t>
            </w:r>
          </w:p>
        </w:tc>
        <w:tc>
          <w:tcPr>
            <w:tcW w:w="913"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0.0639</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.0407</w:t>
            </w:r>
            <w:r>
              <w:rPr>
                <w:rFonts w:ascii="Times New Roman" w:hAnsi="Times New Roman" w:eastAsia="宋体" w:cs="Times New Roman"/>
                <w:kern w:val="0"/>
                <w:sz w:val="18"/>
                <w:szCs w:val="18"/>
              </w:rPr>
              <w:t>）</w:t>
            </w:r>
          </w:p>
        </w:tc>
        <w:tc>
          <w:tcPr>
            <w:tcW w:w="1129"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.193</w:t>
            </w:r>
            <w:r>
              <w:rPr>
                <w:rFonts w:hint="eastAsia" w:ascii="Times New Roman" w:hAnsi="Times New Roman" w:eastAsia="宋体" w:cs="Times New Roman"/>
                <w:kern w:val="0"/>
                <w:sz w:val="18"/>
                <w:szCs w:val="18"/>
              </w:rPr>
              <w:t>4</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（0.0753）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488"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设施农业发展水平</w:t>
            </w:r>
          </w:p>
        </w:tc>
        <w:tc>
          <w:tcPr>
            <w:tcW w:w="1339"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0.0130</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.0064</w:t>
            </w:r>
            <w:r>
              <w:rPr>
                <w:rFonts w:ascii="Times New Roman" w:hAnsi="Times New Roman" w:eastAsia="宋体" w:cs="Times New Roman"/>
                <w:kern w:val="0"/>
                <w:sz w:val="18"/>
                <w:szCs w:val="18"/>
              </w:rPr>
              <w:t>）</w:t>
            </w:r>
          </w:p>
        </w:tc>
        <w:tc>
          <w:tcPr>
            <w:tcW w:w="1350"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0.0032</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.0056</w:t>
            </w:r>
            <w:r>
              <w:rPr>
                <w:rFonts w:ascii="Times New Roman" w:hAnsi="Times New Roman" w:eastAsia="宋体" w:cs="Times New Roman"/>
                <w:kern w:val="0"/>
                <w:sz w:val="18"/>
                <w:szCs w:val="18"/>
              </w:rPr>
              <w:t>）</w:t>
            </w:r>
          </w:p>
        </w:tc>
        <w:tc>
          <w:tcPr>
            <w:tcW w:w="1246"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0.0579</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.0634</w:t>
            </w:r>
            <w:r>
              <w:rPr>
                <w:rFonts w:ascii="Times New Roman" w:hAnsi="Times New Roman" w:eastAsia="宋体" w:cs="Times New Roman"/>
                <w:kern w:val="0"/>
                <w:sz w:val="18"/>
                <w:szCs w:val="18"/>
              </w:rPr>
              <w:t>）</w:t>
            </w:r>
          </w:p>
        </w:tc>
        <w:tc>
          <w:tcPr>
            <w:tcW w:w="1177"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0.006</w:t>
            </w:r>
            <w:r>
              <w:rPr>
                <w:rFonts w:hint="eastAsia" w:ascii="Times New Roman" w:hAnsi="Times New Roman" w:eastAsia="宋体" w:cs="Times New Roman"/>
                <w:kern w:val="0"/>
                <w:sz w:val="18"/>
                <w:szCs w:val="18"/>
              </w:rPr>
              <w:t>9</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（0.0073）</w:t>
            </w:r>
          </w:p>
        </w:tc>
        <w:tc>
          <w:tcPr>
            <w:tcW w:w="913"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.0036</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.0059</w:t>
            </w:r>
            <w:r>
              <w:rPr>
                <w:rFonts w:ascii="Times New Roman" w:hAnsi="Times New Roman" w:eastAsia="宋体" w:cs="Times New Roman"/>
                <w:kern w:val="0"/>
                <w:sz w:val="18"/>
                <w:szCs w:val="18"/>
              </w:rPr>
              <w:t>）</w:t>
            </w:r>
          </w:p>
        </w:tc>
        <w:tc>
          <w:tcPr>
            <w:tcW w:w="1129"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0.0102</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488"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政府干预程度</w:t>
            </w:r>
          </w:p>
        </w:tc>
        <w:tc>
          <w:tcPr>
            <w:tcW w:w="1339"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0.0444</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.0536</w:t>
            </w:r>
            <w:r>
              <w:rPr>
                <w:rFonts w:ascii="Times New Roman" w:hAnsi="Times New Roman" w:eastAsia="宋体" w:cs="Times New Roman"/>
                <w:kern w:val="0"/>
                <w:sz w:val="18"/>
                <w:szCs w:val="18"/>
              </w:rPr>
              <w:t>）</w:t>
            </w:r>
          </w:p>
        </w:tc>
        <w:tc>
          <w:tcPr>
            <w:tcW w:w="1350"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0.1161</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.0515</w:t>
            </w:r>
            <w:r>
              <w:rPr>
                <w:rFonts w:ascii="Times New Roman" w:hAnsi="Times New Roman" w:eastAsia="宋体" w:cs="Times New Roman"/>
                <w:kern w:val="0"/>
                <w:sz w:val="18"/>
                <w:szCs w:val="18"/>
              </w:rPr>
              <w:t>）</w:t>
            </w:r>
          </w:p>
        </w:tc>
        <w:tc>
          <w:tcPr>
            <w:tcW w:w="1246"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1.3054</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.5108</w:t>
            </w:r>
            <w:r>
              <w:rPr>
                <w:rFonts w:ascii="Times New Roman" w:hAnsi="Times New Roman" w:eastAsia="宋体" w:cs="Times New Roman"/>
                <w:kern w:val="0"/>
                <w:sz w:val="18"/>
                <w:szCs w:val="18"/>
              </w:rPr>
              <w:t>）</w:t>
            </w:r>
          </w:p>
        </w:tc>
        <w:tc>
          <w:tcPr>
            <w:tcW w:w="1177"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0.2495</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（0.057</w:t>
            </w:r>
            <w:r>
              <w:rPr>
                <w:rFonts w:hint="eastAsia" w:ascii="Times New Roman" w:hAnsi="Times New Roman" w:eastAsia="宋体" w:cs="Times New Roman"/>
                <w:kern w:val="0"/>
                <w:sz w:val="18"/>
                <w:szCs w:val="18"/>
              </w:rPr>
              <w:t>5</w:t>
            </w:r>
            <w:r>
              <w:rPr>
                <w:rFonts w:ascii="Times New Roman" w:hAnsi="Times New Roman" w:eastAsia="宋体" w:cs="Times New Roman"/>
                <w:kern w:val="0"/>
                <w:sz w:val="18"/>
                <w:szCs w:val="18"/>
              </w:rPr>
              <w:t>）</w:t>
            </w:r>
          </w:p>
        </w:tc>
        <w:tc>
          <w:tcPr>
            <w:tcW w:w="913"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0.1001</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.0403</w:t>
            </w:r>
            <w:r>
              <w:rPr>
                <w:rFonts w:ascii="Times New Roman" w:hAnsi="Times New Roman" w:eastAsia="宋体" w:cs="Times New Roman"/>
                <w:kern w:val="0"/>
                <w:sz w:val="18"/>
                <w:szCs w:val="18"/>
              </w:rPr>
              <w:t>）</w:t>
            </w:r>
          </w:p>
        </w:tc>
        <w:tc>
          <w:tcPr>
            <w:tcW w:w="1129"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.075</w:t>
            </w:r>
            <w:r>
              <w:rPr>
                <w:rFonts w:hint="eastAsia" w:ascii="Times New Roman" w:hAnsi="Times New Roman" w:eastAsia="宋体" w:cs="Times New Roman"/>
                <w:kern w:val="0"/>
                <w:sz w:val="18"/>
                <w:szCs w:val="18"/>
              </w:rPr>
              <w:t>8</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（0.1123）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488"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消费水平</w:t>
            </w:r>
          </w:p>
        </w:tc>
        <w:tc>
          <w:tcPr>
            <w:tcW w:w="1339"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0.0157</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.0205</w:t>
            </w:r>
            <w:r>
              <w:rPr>
                <w:rFonts w:ascii="Times New Roman" w:hAnsi="Times New Roman" w:eastAsia="宋体" w:cs="Times New Roman"/>
                <w:kern w:val="0"/>
                <w:sz w:val="18"/>
                <w:szCs w:val="18"/>
              </w:rPr>
              <w:t>）</w:t>
            </w:r>
          </w:p>
        </w:tc>
        <w:tc>
          <w:tcPr>
            <w:tcW w:w="1350"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.0274</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.0256</w:t>
            </w:r>
            <w:r>
              <w:rPr>
                <w:rFonts w:ascii="Times New Roman" w:hAnsi="Times New Roman" w:eastAsia="宋体" w:cs="Times New Roman"/>
                <w:kern w:val="0"/>
                <w:sz w:val="18"/>
                <w:szCs w:val="18"/>
              </w:rPr>
              <w:t>）</w:t>
            </w:r>
          </w:p>
        </w:tc>
        <w:tc>
          <w:tcPr>
            <w:tcW w:w="1246"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.1486</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.2772</w:t>
            </w:r>
            <w:r>
              <w:rPr>
                <w:rFonts w:ascii="Times New Roman" w:hAnsi="Times New Roman" w:eastAsia="宋体" w:cs="Times New Roman"/>
                <w:kern w:val="0"/>
                <w:sz w:val="18"/>
                <w:szCs w:val="18"/>
              </w:rPr>
              <w:t>）</w:t>
            </w:r>
          </w:p>
        </w:tc>
        <w:tc>
          <w:tcPr>
            <w:tcW w:w="1177"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1000</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（0.036</w:t>
            </w:r>
            <w:r>
              <w:rPr>
                <w:rFonts w:hint="eastAsia" w:ascii="Times New Roman" w:hAnsi="Times New Roman" w:eastAsia="宋体" w:cs="Times New Roman"/>
                <w:kern w:val="0"/>
                <w:sz w:val="18"/>
                <w:szCs w:val="18"/>
              </w:rPr>
              <w:t>6</w:t>
            </w:r>
            <w:r>
              <w:rPr>
                <w:rFonts w:ascii="Times New Roman" w:hAnsi="Times New Roman" w:eastAsia="宋体" w:cs="Times New Roman"/>
                <w:kern w:val="0"/>
                <w:sz w:val="18"/>
                <w:szCs w:val="18"/>
              </w:rPr>
              <w:t>）</w:t>
            </w:r>
          </w:p>
        </w:tc>
        <w:tc>
          <w:tcPr>
            <w:tcW w:w="913"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0.0599</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.0286</w:t>
            </w:r>
            <w:r>
              <w:rPr>
                <w:rFonts w:ascii="Times New Roman" w:hAnsi="Times New Roman" w:eastAsia="宋体" w:cs="Times New Roman"/>
                <w:kern w:val="0"/>
                <w:sz w:val="18"/>
                <w:szCs w:val="18"/>
              </w:rPr>
              <w:t>）</w:t>
            </w:r>
          </w:p>
        </w:tc>
        <w:tc>
          <w:tcPr>
            <w:tcW w:w="1129"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0.0484</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（0.083</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488"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常数项</w:t>
            </w:r>
          </w:p>
        </w:tc>
        <w:tc>
          <w:tcPr>
            <w:tcW w:w="1339"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1.8815</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0.8615</w:t>
            </w:r>
            <w:r>
              <w:rPr>
                <w:rFonts w:ascii="Times New Roman" w:hAnsi="Times New Roman" w:eastAsia="宋体" w:cs="Times New Roman"/>
                <w:kern w:val="0"/>
                <w:sz w:val="18"/>
                <w:szCs w:val="18"/>
              </w:rPr>
              <w:t>）</w:t>
            </w:r>
          </w:p>
        </w:tc>
        <w:tc>
          <w:tcPr>
            <w:tcW w:w="1350"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0.8798</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0.9914</w:t>
            </w:r>
            <w:r>
              <w:rPr>
                <w:rFonts w:ascii="Times New Roman" w:hAnsi="Times New Roman" w:eastAsia="宋体" w:cs="Times New Roman"/>
                <w:kern w:val="0"/>
                <w:sz w:val="18"/>
                <w:szCs w:val="18"/>
              </w:rPr>
              <w:t>）</w:t>
            </w:r>
          </w:p>
        </w:tc>
        <w:tc>
          <w:tcPr>
            <w:tcW w:w="1246"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30.8831</w:t>
            </w:r>
            <w:r>
              <w:rPr>
                <w:rFonts w:hint="eastAsia"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12.9222</w:t>
            </w:r>
            <w:r>
              <w:rPr>
                <w:rFonts w:ascii="Times New Roman" w:hAnsi="Times New Roman" w:eastAsia="宋体" w:cs="Times New Roman"/>
                <w:kern w:val="0"/>
                <w:sz w:val="18"/>
                <w:szCs w:val="18"/>
              </w:rPr>
              <w:t>）</w:t>
            </w:r>
          </w:p>
        </w:tc>
        <w:tc>
          <w:tcPr>
            <w:tcW w:w="1177"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vertAlign w:val="superscript"/>
              </w:rPr>
            </w:pPr>
            <w:r>
              <w:rPr>
                <w:rFonts w:ascii="Cambria Math" w:hAnsi="Cambria Math" w:cs="Cambria Math"/>
                <w:kern w:val="0"/>
                <w:sz w:val="18"/>
                <w:szCs w:val="18"/>
              </w:rPr>
              <w:t>−</w:t>
            </w:r>
            <w:r>
              <w:rPr>
                <w:rFonts w:ascii="Times New Roman" w:hAnsi="Times New Roman" w:eastAsia="宋体" w:cs="Times New Roman"/>
                <w:kern w:val="0"/>
                <w:sz w:val="18"/>
                <w:szCs w:val="18"/>
              </w:rPr>
              <w:t>6.221</w:t>
            </w:r>
            <w:r>
              <w:rPr>
                <w:rFonts w:hint="eastAsia" w:ascii="Times New Roman" w:hAnsi="Times New Roman" w:eastAsia="宋体" w:cs="Times New Roman"/>
                <w:kern w:val="0"/>
                <w:sz w:val="18"/>
                <w:szCs w:val="18"/>
              </w:rPr>
              <w:t>9</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（1.611</w:t>
            </w:r>
            <w:r>
              <w:rPr>
                <w:rFonts w:hint="eastAsia" w:ascii="Times New Roman" w:hAnsi="Times New Roman" w:eastAsia="宋体" w:cs="Times New Roman"/>
                <w:kern w:val="0"/>
                <w:sz w:val="18"/>
                <w:szCs w:val="18"/>
              </w:rPr>
              <w:t>6</w:t>
            </w:r>
            <w:r>
              <w:rPr>
                <w:rFonts w:ascii="Times New Roman" w:hAnsi="Times New Roman" w:eastAsia="宋体" w:cs="Times New Roman"/>
                <w:kern w:val="0"/>
                <w:sz w:val="18"/>
                <w:szCs w:val="18"/>
              </w:rPr>
              <w:t>）</w:t>
            </w:r>
          </w:p>
        </w:tc>
        <w:tc>
          <w:tcPr>
            <w:tcW w:w="913"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7.2778</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1.1811</w:t>
            </w:r>
            <w:r>
              <w:rPr>
                <w:rFonts w:ascii="Times New Roman" w:hAnsi="Times New Roman" w:eastAsia="宋体" w:cs="Times New Roman"/>
                <w:kern w:val="0"/>
                <w:sz w:val="18"/>
                <w:szCs w:val="18"/>
              </w:rPr>
              <w:t>）</w:t>
            </w:r>
          </w:p>
        </w:tc>
        <w:tc>
          <w:tcPr>
            <w:tcW w:w="1129"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7.7341</w:t>
            </w:r>
            <w:r>
              <w:rPr>
                <w:rFonts w:ascii="Times New Roman" w:hAnsi="Times New Roman" w:eastAsia="宋体" w:cs="Times New Roman"/>
                <w:kern w:val="0"/>
                <w:sz w:val="18"/>
                <w:szCs w:val="18"/>
                <w:vertAlign w:val="superscript"/>
              </w:rPr>
              <w:t>***</w:t>
            </w:r>
          </w:p>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（3.1462）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488"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县域</w:t>
            </w:r>
            <w:r>
              <w:rPr>
                <w:rFonts w:ascii="Times New Roman" w:hAnsi="Times New Roman" w:eastAsia="宋体" w:cs="Times New Roman"/>
                <w:kern w:val="0"/>
                <w:sz w:val="18"/>
                <w:szCs w:val="18"/>
              </w:rPr>
              <w:t>固定效应</w:t>
            </w:r>
          </w:p>
        </w:tc>
        <w:tc>
          <w:tcPr>
            <w:tcW w:w="1339"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350"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246"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177" w:type="dxa"/>
            <w:tcBorders>
              <w:top w:val="nil"/>
              <w:left w:val="nil"/>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913"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129"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488" w:type="dxa"/>
            <w:tcBorders>
              <w:top w:val="nil"/>
              <w:left w:val="nil"/>
              <w:bottom w:val="single" w:color="auto" w:sz="4" w:space="0"/>
              <w:right w:val="single" w:color="auto" w:sz="4" w:space="0"/>
            </w:tcBorders>
          </w:tcPr>
          <w:p>
            <w:pPr>
              <w:spacing w:line="300" w:lineRule="exact"/>
              <w:jc w:val="lef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年份</w:t>
            </w:r>
            <w:r>
              <w:rPr>
                <w:rFonts w:ascii="Times New Roman" w:hAnsi="Times New Roman" w:eastAsia="宋体" w:cs="Times New Roman"/>
                <w:kern w:val="0"/>
                <w:sz w:val="18"/>
                <w:szCs w:val="18"/>
              </w:rPr>
              <w:t>固定效应</w:t>
            </w:r>
          </w:p>
        </w:tc>
        <w:tc>
          <w:tcPr>
            <w:tcW w:w="1339" w:type="dxa"/>
            <w:tcBorders>
              <w:top w:val="nil"/>
              <w:left w:val="single" w:color="auto" w:sz="4" w:space="0"/>
              <w:bottom w:val="single" w:color="auto" w:sz="4" w:space="0"/>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350" w:type="dxa"/>
            <w:tcBorders>
              <w:top w:val="nil"/>
              <w:left w:val="nil"/>
              <w:bottom w:val="single" w:color="auto" w:sz="4" w:space="0"/>
              <w:righ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246" w:type="dxa"/>
            <w:tcBorders>
              <w:top w:val="nil"/>
              <w:left w:val="single" w:color="auto" w:sz="4" w:space="0"/>
              <w:bottom w:val="single" w:color="auto" w:sz="4" w:space="0"/>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177" w:type="dxa"/>
            <w:tcBorders>
              <w:top w:val="nil"/>
              <w:left w:val="nil"/>
              <w:bottom w:val="single" w:color="auto" w:sz="4" w:space="0"/>
              <w:righ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913" w:type="dxa"/>
            <w:tcBorders>
              <w:top w:val="nil"/>
              <w:left w:val="single" w:color="auto" w:sz="4" w:space="0"/>
              <w:bottom w:val="single" w:color="auto" w:sz="4" w:space="0"/>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129" w:type="dxa"/>
            <w:tcBorders>
              <w:top w:val="nil"/>
              <w:left w:val="nil"/>
              <w:bottom w:val="single" w:color="auto" w:sz="4" w:space="0"/>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488" w:type="dxa"/>
            <w:tcBorders>
              <w:top w:val="single" w:color="auto" w:sz="4" w:space="0"/>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观测值数</w:t>
            </w:r>
          </w:p>
        </w:tc>
        <w:tc>
          <w:tcPr>
            <w:tcW w:w="1339" w:type="dxa"/>
            <w:tcBorders>
              <w:top w:val="single" w:color="auto" w:sz="4" w:space="0"/>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4291</w:t>
            </w:r>
          </w:p>
        </w:tc>
        <w:tc>
          <w:tcPr>
            <w:tcW w:w="1350" w:type="dxa"/>
            <w:tcBorders>
              <w:top w:val="single" w:color="auto" w:sz="4" w:space="0"/>
              <w:left w:val="nil"/>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4291</w:t>
            </w:r>
          </w:p>
        </w:tc>
        <w:tc>
          <w:tcPr>
            <w:tcW w:w="1246" w:type="dxa"/>
            <w:tcBorders>
              <w:top w:val="single" w:color="auto" w:sz="4" w:space="0"/>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4134</w:t>
            </w:r>
          </w:p>
        </w:tc>
        <w:tc>
          <w:tcPr>
            <w:tcW w:w="1177" w:type="dxa"/>
            <w:tcBorders>
              <w:top w:val="single" w:color="auto" w:sz="4" w:space="0"/>
              <w:left w:val="nil"/>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45</w:t>
            </w:r>
            <w:r>
              <w:rPr>
                <w:rFonts w:hint="eastAsia" w:ascii="Times New Roman" w:hAnsi="Times New Roman" w:eastAsia="宋体" w:cs="Times New Roman"/>
                <w:kern w:val="0"/>
                <w:sz w:val="18"/>
                <w:szCs w:val="18"/>
              </w:rPr>
              <w:t>88</w:t>
            </w:r>
          </w:p>
        </w:tc>
        <w:tc>
          <w:tcPr>
            <w:tcW w:w="913" w:type="dxa"/>
            <w:tcBorders>
              <w:top w:val="single" w:color="auto" w:sz="4" w:space="0"/>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45</w:t>
            </w:r>
            <w:r>
              <w:rPr>
                <w:rFonts w:hint="eastAsia" w:ascii="Times New Roman" w:hAnsi="Times New Roman" w:eastAsia="宋体" w:cs="Times New Roman"/>
                <w:kern w:val="0"/>
                <w:sz w:val="18"/>
                <w:szCs w:val="18"/>
              </w:rPr>
              <w:t>88</w:t>
            </w:r>
          </w:p>
        </w:tc>
        <w:tc>
          <w:tcPr>
            <w:tcW w:w="1129" w:type="dxa"/>
            <w:tcBorders>
              <w:top w:val="single" w:color="auto" w:sz="4" w:space="0"/>
              <w:left w:val="nil"/>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45</w:t>
            </w:r>
            <w:r>
              <w:rPr>
                <w:rFonts w:hint="eastAsia" w:ascii="Times New Roman" w:hAnsi="Times New Roman" w:eastAsia="宋体" w:cs="Times New Roman"/>
                <w:kern w:val="0"/>
                <w:sz w:val="18"/>
                <w:szCs w:val="18"/>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trPr>
        <w:tc>
          <w:tcPr>
            <w:tcW w:w="1488" w:type="dxa"/>
            <w:tcBorders>
              <w:top w:val="nil"/>
              <w:left w:val="nil"/>
              <w:bottom w:val="single" w:color="auto" w:sz="12" w:space="0"/>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R</w:t>
            </w:r>
            <w:r>
              <w:rPr>
                <w:rFonts w:ascii="Times New Roman" w:hAnsi="Times New Roman" w:eastAsia="宋体" w:cs="Times New Roman"/>
                <w:kern w:val="0"/>
                <w:sz w:val="18"/>
                <w:szCs w:val="18"/>
                <w:vertAlign w:val="superscript"/>
              </w:rPr>
              <w:t>2</w:t>
            </w:r>
          </w:p>
        </w:tc>
        <w:tc>
          <w:tcPr>
            <w:tcW w:w="1339" w:type="dxa"/>
            <w:tcBorders>
              <w:top w:val="nil"/>
              <w:left w:val="single" w:color="auto" w:sz="4" w:space="0"/>
              <w:bottom w:val="single" w:color="auto" w:sz="12" w:space="0"/>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0.2948</w:t>
            </w:r>
          </w:p>
        </w:tc>
        <w:tc>
          <w:tcPr>
            <w:tcW w:w="1350" w:type="dxa"/>
            <w:tcBorders>
              <w:top w:val="nil"/>
              <w:left w:val="nil"/>
              <w:bottom w:val="single" w:color="auto" w:sz="12" w:space="0"/>
              <w:right w:val="single" w:color="auto" w:sz="4" w:space="0"/>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0.3438</w:t>
            </w:r>
          </w:p>
        </w:tc>
        <w:tc>
          <w:tcPr>
            <w:tcW w:w="1246" w:type="dxa"/>
            <w:tcBorders>
              <w:top w:val="nil"/>
              <w:left w:val="single" w:color="auto" w:sz="4" w:space="0"/>
              <w:bottom w:val="single" w:color="auto" w:sz="12" w:space="0"/>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0.8959</w:t>
            </w:r>
          </w:p>
        </w:tc>
        <w:tc>
          <w:tcPr>
            <w:tcW w:w="1177" w:type="dxa"/>
            <w:tcBorders>
              <w:top w:val="nil"/>
              <w:left w:val="nil"/>
              <w:bottom w:val="single" w:color="auto" w:sz="12" w:space="0"/>
              <w:righ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0.966</w:t>
            </w:r>
            <w:r>
              <w:rPr>
                <w:rFonts w:hint="eastAsia" w:ascii="Times New Roman" w:hAnsi="Times New Roman" w:eastAsia="宋体" w:cs="Times New Roman"/>
                <w:kern w:val="0"/>
                <w:sz w:val="18"/>
                <w:szCs w:val="18"/>
              </w:rPr>
              <w:t>5</w:t>
            </w:r>
          </w:p>
        </w:tc>
        <w:tc>
          <w:tcPr>
            <w:tcW w:w="913" w:type="dxa"/>
            <w:tcBorders>
              <w:top w:val="nil"/>
              <w:left w:val="single" w:color="auto" w:sz="4" w:space="0"/>
              <w:bottom w:val="single" w:color="auto" w:sz="12" w:space="0"/>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0.9699</w:t>
            </w:r>
          </w:p>
        </w:tc>
        <w:tc>
          <w:tcPr>
            <w:tcW w:w="1129" w:type="dxa"/>
            <w:tcBorders>
              <w:top w:val="nil"/>
              <w:left w:val="nil"/>
              <w:bottom w:val="single" w:color="auto" w:sz="12" w:space="0"/>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0.82</w:t>
            </w:r>
            <w:r>
              <w:rPr>
                <w:rFonts w:hint="eastAsia" w:ascii="Times New Roman" w:hAnsi="Times New Roman" w:eastAsia="宋体" w:cs="Times New Roman"/>
                <w:kern w:val="0"/>
                <w:sz w:val="18"/>
                <w:szCs w:val="18"/>
              </w:rPr>
              <w:t>51</w:t>
            </w:r>
          </w:p>
        </w:tc>
      </w:tr>
    </w:tbl>
    <w:p>
      <w:pPr>
        <w:ind w:firstLine="332" w:firstLineChars="200"/>
        <w:rPr>
          <w:rFonts w:hint="eastAsia"/>
        </w:rPr>
      </w:pPr>
      <w:r>
        <w:rPr>
          <w:rFonts w:ascii="宋体" w:hAnsi="宋体" w:eastAsia="宋体" w:cs="Times New Roman"/>
          <w:sz w:val="18"/>
          <w:szCs w:val="18"/>
        </w:rPr>
        <w:t>注：</w:t>
      </w:r>
      <w:r>
        <w:rPr>
          <w:rFonts w:hint="eastAsia" w:ascii="宋体" w:hAnsi="宋体" w:eastAsia="宋体" w:cs="Times New Roman"/>
          <w:sz w:val="18"/>
          <w:szCs w:val="18"/>
        </w:rPr>
        <w:t>①</w:t>
      </w:r>
      <w:r>
        <w:rPr>
          <w:rFonts w:ascii="Times New Roman" w:hAnsi="Times New Roman" w:eastAsia="宋体" w:cs="Times New Roman"/>
          <w:sz w:val="18"/>
          <w:szCs w:val="18"/>
        </w:rPr>
        <w:t>***</w:t>
      </w:r>
      <w:r>
        <w:rPr>
          <w:rFonts w:ascii="宋体" w:hAnsi="宋体" w:eastAsia="宋体" w:cs="Times New Roman"/>
          <w:sz w:val="18"/>
          <w:szCs w:val="18"/>
        </w:rPr>
        <w:t>、</w:t>
      </w:r>
      <w:r>
        <w:rPr>
          <w:rFonts w:ascii="Times New Roman" w:hAnsi="Times New Roman" w:eastAsia="宋体" w:cs="Times New Roman"/>
          <w:sz w:val="18"/>
          <w:szCs w:val="18"/>
        </w:rPr>
        <w:t>**</w:t>
      </w:r>
      <w:r>
        <w:rPr>
          <w:rFonts w:ascii="宋体" w:hAnsi="宋体" w:eastAsia="宋体" w:cs="Times New Roman"/>
          <w:sz w:val="18"/>
          <w:szCs w:val="18"/>
        </w:rPr>
        <w:t>和</w:t>
      </w:r>
      <w:r>
        <w:rPr>
          <w:rFonts w:ascii="Times New Roman" w:hAnsi="Times New Roman" w:eastAsia="宋体" w:cs="Times New Roman"/>
          <w:sz w:val="18"/>
          <w:szCs w:val="18"/>
        </w:rPr>
        <w:t>*</w:t>
      </w:r>
      <w:r>
        <w:rPr>
          <w:rFonts w:ascii="宋体" w:hAnsi="宋体" w:eastAsia="宋体" w:cs="Times New Roman"/>
          <w:sz w:val="18"/>
          <w:szCs w:val="18"/>
        </w:rPr>
        <w:t>分别表示</w:t>
      </w:r>
      <w:r>
        <w:rPr>
          <w:rFonts w:ascii="Times New Roman" w:hAnsi="Times New Roman" w:eastAsia="宋体" w:cs="Times New Roman"/>
          <w:sz w:val="18"/>
          <w:szCs w:val="18"/>
        </w:rPr>
        <w:t>1%</w:t>
      </w:r>
      <w:r>
        <w:rPr>
          <w:rFonts w:ascii="宋体" w:hAnsi="宋体" w:eastAsia="宋体" w:cs="Times New Roman"/>
          <w:sz w:val="18"/>
          <w:szCs w:val="18"/>
        </w:rPr>
        <w:t>、</w:t>
      </w:r>
      <w:r>
        <w:rPr>
          <w:rFonts w:ascii="Times New Roman" w:hAnsi="Times New Roman" w:eastAsia="宋体" w:cs="Times New Roman"/>
          <w:sz w:val="18"/>
          <w:szCs w:val="18"/>
        </w:rPr>
        <w:t>5%</w:t>
      </w:r>
      <w:r>
        <w:rPr>
          <w:rFonts w:ascii="宋体" w:hAnsi="宋体" w:eastAsia="宋体" w:cs="Times New Roman"/>
          <w:sz w:val="18"/>
          <w:szCs w:val="18"/>
        </w:rPr>
        <w:t>和</w:t>
      </w:r>
      <w:r>
        <w:rPr>
          <w:rFonts w:ascii="Times New Roman" w:hAnsi="Times New Roman" w:eastAsia="宋体" w:cs="Times New Roman"/>
          <w:sz w:val="18"/>
          <w:szCs w:val="18"/>
        </w:rPr>
        <w:t>10%</w:t>
      </w:r>
      <w:r>
        <w:rPr>
          <w:rFonts w:ascii="宋体" w:hAnsi="宋体" w:eastAsia="宋体" w:cs="Times New Roman"/>
          <w:sz w:val="18"/>
          <w:szCs w:val="18"/>
        </w:rPr>
        <w:t>的显著性水平；</w:t>
      </w:r>
      <w:r>
        <w:rPr>
          <w:rFonts w:hint="eastAsia" w:ascii="宋体" w:hAnsi="宋体" w:eastAsia="宋体" w:cs="Times New Roman"/>
          <w:sz w:val="18"/>
          <w:szCs w:val="18"/>
        </w:rPr>
        <w:t>②</w:t>
      </w:r>
      <w:r>
        <w:rPr>
          <w:rFonts w:ascii="宋体" w:hAnsi="宋体" w:eastAsia="宋体" w:cs="Times New Roman"/>
          <w:sz w:val="18"/>
          <w:szCs w:val="18"/>
        </w:rPr>
        <w:t>括号中的数值为聚类到县域层面的稳健标准误。</w:t>
      </w:r>
    </w:p>
    <w:p>
      <w:pPr>
        <w:pStyle w:val="9"/>
        <w:keepNext/>
        <w:ind w:firstLine="332" w:firstLineChars="200"/>
        <w:rPr>
          <w:rFonts w:hint="eastAsia" w:ascii="黑体" w:hAnsi="黑体"/>
          <w:sz w:val="18"/>
          <w:szCs w:val="18"/>
        </w:rPr>
      </w:pPr>
      <w:r>
        <w:rPr>
          <w:rFonts w:hint="eastAsia" w:ascii="黑体" w:hAnsi="黑体"/>
          <w:sz w:val="18"/>
          <w:szCs w:val="18"/>
        </w:rPr>
        <w:t>附表</w:t>
      </w:r>
      <w:r>
        <w:rPr>
          <w:rFonts w:hint="default" w:ascii="Times New Roman" w:hAnsi="Times New Roman" w:cs="Times New Roman"/>
          <w:sz w:val="18"/>
          <w:szCs w:val="18"/>
        </w:rPr>
        <w:fldChar w:fldCharType="begin"/>
      </w:r>
      <w:r>
        <w:rPr>
          <w:rFonts w:hint="default" w:ascii="Times New Roman" w:hAnsi="Times New Roman" w:cs="Times New Roman"/>
          <w:sz w:val="18"/>
          <w:szCs w:val="18"/>
        </w:rPr>
        <w:instrText xml:space="preserve"> SEQ 附表 \* ARABIC </w:instrText>
      </w:r>
      <w:r>
        <w:rPr>
          <w:rFonts w:hint="default" w:ascii="Times New Roman" w:hAnsi="Times New Roman" w:cs="Times New Roman"/>
          <w:sz w:val="18"/>
          <w:szCs w:val="18"/>
        </w:rPr>
        <w:fldChar w:fldCharType="separate"/>
      </w:r>
      <w:r>
        <w:rPr>
          <w:rFonts w:hint="default" w:ascii="Times New Roman" w:hAnsi="Times New Roman" w:cs="Times New Roman"/>
          <w:sz w:val="18"/>
          <w:szCs w:val="18"/>
        </w:rPr>
        <w:t>8</w:t>
      </w:r>
      <w:r>
        <w:rPr>
          <w:rFonts w:hint="default" w:ascii="Times New Roman" w:hAnsi="Times New Roman" w:cs="Times New Roman"/>
          <w:sz w:val="18"/>
          <w:szCs w:val="18"/>
        </w:rPr>
        <w:fldChar w:fldCharType="end"/>
      </w:r>
      <w:r>
        <w:rPr>
          <w:rFonts w:hint="eastAsia" w:ascii="黑体" w:hAnsi="黑体"/>
          <w:sz w:val="18"/>
          <w:szCs w:val="18"/>
        </w:rPr>
        <w:t xml:space="preserve">                          产业层面的影响机制回归结果</w:t>
      </w:r>
    </w:p>
    <w:tbl>
      <w:tblPr>
        <w:tblStyle w:val="34"/>
        <w:tblW w:w="861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4"/>
        <w:gridCol w:w="3017"/>
        <w:gridCol w:w="3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84" w:type="dxa"/>
            <w:vMerge w:val="restart"/>
            <w:tcBorders>
              <w:top w:val="single" w:color="auto" w:sz="12" w:space="0"/>
              <w:left w:val="nil"/>
              <w:right w:val="single" w:color="auto" w:sz="4" w:space="0"/>
            </w:tcBorders>
            <w:vAlign w:val="center"/>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变量</w:t>
            </w:r>
          </w:p>
        </w:tc>
        <w:tc>
          <w:tcPr>
            <w:tcW w:w="3017" w:type="dxa"/>
            <w:tcBorders>
              <w:top w:val="single" w:color="auto" w:sz="12" w:space="0"/>
              <w:left w:val="single" w:color="auto" w:sz="4" w:space="0"/>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3018" w:type="dxa"/>
            <w:tcBorders>
              <w:top w:val="single" w:color="auto" w:sz="12" w:space="0"/>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84" w:type="dxa"/>
            <w:vMerge w:val="continue"/>
            <w:tcBorders>
              <w:left w:val="nil"/>
              <w:bottom w:val="nil"/>
              <w:right w:val="single" w:color="auto" w:sz="4" w:space="0"/>
            </w:tcBorders>
          </w:tcPr>
          <w:p>
            <w:pPr>
              <w:spacing w:line="300" w:lineRule="exact"/>
              <w:jc w:val="center"/>
              <w:rPr>
                <w:rFonts w:ascii="Times New Roman" w:hAnsi="Times New Roman" w:eastAsia="宋体" w:cs="Times New Roman"/>
                <w:kern w:val="0"/>
                <w:sz w:val="18"/>
                <w:szCs w:val="18"/>
              </w:rPr>
            </w:pPr>
          </w:p>
        </w:tc>
        <w:tc>
          <w:tcPr>
            <w:tcW w:w="3017" w:type="dxa"/>
            <w:tcBorders>
              <w:top w:val="nil"/>
              <w:left w:val="single" w:color="auto" w:sz="4" w:space="0"/>
              <w:bottom w:val="single" w:color="auto" w:sz="6" w:space="0"/>
              <w:righ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产业结构合理化</w:t>
            </w:r>
          </w:p>
        </w:tc>
        <w:tc>
          <w:tcPr>
            <w:tcW w:w="3018" w:type="dxa"/>
            <w:tcBorders>
              <w:top w:val="nil"/>
              <w:left w:val="single" w:color="auto" w:sz="4" w:space="0"/>
              <w:bottom w:val="single" w:color="auto" w:sz="6" w:space="0"/>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产业结构高级化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84" w:type="dxa"/>
            <w:tcBorders>
              <w:top w:val="single" w:color="auto" w:sz="6" w:space="0"/>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资本市场服务下沉</w:t>
            </w:r>
          </w:p>
        </w:tc>
        <w:tc>
          <w:tcPr>
            <w:tcW w:w="3017" w:type="dxa"/>
            <w:tcBorders>
              <w:top w:val="single" w:color="auto" w:sz="6" w:space="0"/>
              <w:left w:val="single" w:color="auto" w:sz="4" w:space="0"/>
              <w:bottom w:val="nil"/>
              <w:right w:val="single" w:color="auto" w:sz="4" w:space="0"/>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.0071</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.0028</w:t>
            </w:r>
            <w:r>
              <w:rPr>
                <w:rFonts w:ascii="Times New Roman" w:hAnsi="Times New Roman" w:eastAsia="宋体" w:cs="Times New Roman"/>
                <w:kern w:val="0"/>
                <w:sz w:val="18"/>
                <w:szCs w:val="18"/>
              </w:rPr>
              <w:t>）</w:t>
            </w:r>
          </w:p>
        </w:tc>
        <w:tc>
          <w:tcPr>
            <w:tcW w:w="3018" w:type="dxa"/>
            <w:tcBorders>
              <w:top w:val="single" w:color="auto" w:sz="6" w:space="0"/>
              <w:left w:val="single" w:color="auto" w:sz="4" w:space="0"/>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7.3366</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4.1149</w:t>
            </w:r>
            <w:r>
              <w:rPr>
                <w:rFonts w:ascii="Times New Roman" w:hAnsi="Times New Roman" w:eastAsia="宋体" w:cs="Times New Roman"/>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84"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农村居民收入</w:t>
            </w:r>
          </w:p>
        </w:tc>
        <w:tc>
          <w:tcPr>
            <w:tcW w:w="3017" w:type="dxa"/>
            <w:tcBorders>
              <w:top w:val="nil"/>
              <w:left w:val="single" w:color="auto" w:sz="4" w:space="0"/>
              <w:bottom w:val="nil"/>
              <w:right w:val="single" w:color="auto" w:sz="4" w:space="0"/>
            </w:tcBorders>
          </w:tcPr>
          <w:p>
            <w:pPr>
              <w:spacing w:line="300" w:lineRule="exact"/>
              <w:jc w:val="center"/>
              <w:rPr>
                <w:rFonts w:ascii="Times New Roman" w:hAnsi="Times New Roman" w:eastAsia="宋体" w:cs="Times New Roman"/>
                <w:kern w:val="0"/>
                <w:sz w:val="18"/>
                <w:szCs w:val="18"/>
                <w:vertAlign w:val="superscript"/>
              </w:rPr>
            </w:pP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.0188</w:t>
            </w:r>
            <w:r>
              <w:rPr>
                <w:rFonts w:hint="eastAsia"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.0048</w:t>
            </w:r>
            <w:r>
              <w:rPr>
                <w:rFonts w:ascii="Times New Roman" w:hAnsi="Times New Roman" w:eastAsia="宋体" w:cs="Times New Roman"/>
                <w:kern w:val="0"/>
                <w:sz w:val="18"/>
                <w:szCs w:val="18"/>
              </w:rPr>
              <w:t>）</w:t>
            </w:r>
          </w:p>
        </w:tc>
        <w:tc>
          <w:tcPr>
            <w:tcW w:w="3018"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3.6186</w:t>
            </w: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8.2352</w:t>
            </w:r>
            <w:r>
              <w:rPr>
                <w:rFonts w:ascii="Times New Roman" w:hAnsi="Times New Roman" w:eastAsia="宋体" w:cs="Times New Roman"/>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84"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存款水平</w:t>
            </w:r>
          </w:p>
        </w:tc>
        <w:tc>
          <w:tcPr>
            <w:tcW w:w="3017" w:type="dxa"/>
            <w:tcBorders>
              <w:top w:val="nil"/>
              <w:left w:val="single" w:color="auto" w:sz="4" w:space="0"/>
              <w:bottom w:val="nil"/>
              <w:right w:val="single" w:color="auto" w:sz="4" w:space="0"/>
            </w:tcBorders>
          </w:tcPr>
          <w:p>
            <w:pPr>
              <w:spacing w:line="300" w:lineRule="exact"/>
              <w:jc w:val="center"/>
              <w:rPr>
                <w:rFonts w:ascii="Times New Roman" w:hAnsi="Times New Roman" w:eastAsia="宋体" w:cs="Times New Roman"/>
                <w:kern w:val="0"/>
                <w:sz w:val="18"/>
                <w:szCs w:val="18"/>
                <w:vertAlign w:val="superscript"/>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0.0044</w:t>
            </w:r>
            <w:r>
              <w:rPr>
                <w:rFonts w:hint="eastAsia"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.0021</w:t>
            </w:r>
            <w:r>
              <w:rPr>
                <w:rFonts w:ascii="Times New Roman" w:hAnsi="Times New Roman" w:eastAsia="宋体" w:cs="Times New Roman"/>
                <w:kern w:val="0"/>
                <w:sz w:val="18"/>
                <w:szCs w:val="18"/>
              </w:rPr>
              <w:t>）</w:t>
            </w:r>
          </w:p>
        </w:tc>
        <w:tc>
          <w:tcPr>
            <w:tcW w:w="3018"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0.9857</w:t>
            </w: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6.1000</w:t>
            </w:r>
            <w:r>
              <w:rPr>
                <w:rFonts w:ascii="Times New Roman" w:hAnsi="Times New Roman" w:eastAsia="宋体" w:cs="Times New Roman"/>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84"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贷款水平</w:t>
            </w:r>
          </w:p>
        </w:tc>
        <w:tc>
          <w:tcPr>
            <w:tcW w:w="3017" w:type="dxa"/>
            <w:tcBorders>
              <w:top w:val="nil"/>
              <w:left w:val="single" w:color="auto" w:sz="4" w:space="0"/>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0.0015</w:t>
            </w: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.0028</w:t>
            </w:r>
            <w:r>
              <w:rPr>
                <w:rFonts w:ascii="Times New Roman" w:hAnsi="Times New Roman" w:eastAsia="宋体" w:cs="Times New Roman"/>
                <w:kern w:val="0"/>
                <w:sz w:val="18"/>
                <w:szCs w:val="18"/>
              </w:rPr>
              <w:t>）</w:t>
            </w:r>
          </w:p>
        </w:tc>
        <w:tc>
          <w:tcPr>
            <w:tcW w:w="3018"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29.0905</w:t>
            </w: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24.0834</w:t>
            </w:r>
            <w:r>
              <w:rPr>
                <w:rFonts w:ascii="Times New Roman" w:hAnsi="Times New Roman" w:eastAsia="宋体" w:cs="Times New Roman"/>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84"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医疗水平</w:t>
            </w:r>
          </w:p>
        </w:tc>
        <w:tc>
          <w:tcPr>
            <w:tcW w:w="3017" w:type="dxa"/>
            <w:tcBorders>
              <w:top w:val="nil"/>
              <w:left w:val="single" w:color="auto" w:sz="4" w:space="0"/>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0.0004</w:t>
            </w: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.0029</w:t>
            </w:r>
            <w:r>
              <w:rPr>
                <w:rFonts w:ascii="Times New Roman" w:hAnsi="Times New Roman" w:eastAsia="宋体" w:cs="Times New Roman"/>
                <w:kern w:val="0"/>
                <w:sz w:val="18"/>
                <w:szCs w:val="18"/>
              </w:rPr>
              <w:t>）</w:t>
            </w:r>
          </w:p>
        </w:tc>
        <w:tc>
          <w:tcPr>
            <w:tcW w:w="3018"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5.0549</w:t>
            </w: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9.1858</w:t>
            </w:r>
            <w:r>
              <w:rPr>
                <w:rFonts w:ascii="Times New Roman" w:hAnsi="Times New Roman" w:eastAsia="宋体" w:cs="Times New Roman"/>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84" w:type="dxa"/>
            <w:tcBorders>
              <w:top w:val="nil"/>
              <w:left w:val="nil"/>
              <w:bottom w:val="single" w:color="auto" w:sz="4" w:space="0"/>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教育水平</w:t>
            </w:r>
          </w:p>
        </w:tc>
        <w:tc>
          <w:tcPr>
            <w:tcW w:w="3017" w:type="dxa"/>
            <w:tcBorders>
              <w:top w:val="nil"/>
              <w:left w:val="single" w:color="auto" w:sz="4" w:space="0"/>
              <w:bottom w:val="single" w:color="auto" w:sz="4" w:space="0"/>
              <w:right w:val="single" w:color="auto" w:sz="4" w:space="0"/>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0.0006</w:t>
            </w: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.0019</w:t>
            </w:r>
            <w:r>
              <w:rPr>
                <w:rFonts w:ascii="Times New Roman" w:hAnsi="Times New Roman" w:eastAsia="宋体" w:cs="Times New Roman"/>
                <w:kern w:val="0"/>
                <w:sz w:val="18"/>
                <w:szCs w:val="18"/>
              </w:rPr>
              <w:t>）</w:t>
            </w:r>
          </w:p>
        </w:tc>
        <w:tc>
          <w:tcPr>
            <w:tcW w:w="3018" w:type="dxa"/>
            <w:tcBorders>
              <w:top w:val="nil"/>
              <w:left w:val="single" w:color="auto" w:sz="4" w:space="0"/>
              <w:bottom w:val="single" w:color="auto" w:sz="4" w:space="0"/>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4.0821</w:t>
            </w: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14.5491</w:t>
            </w:r>
            <w:r>
              <w:rPr>
                <w:rFonts w:ascii="Times New Roman" w:hAnsi="Times New Roman" w:eastAsia="宋体" w:cs="Times New Roman"/>
                <w:kern w:val="0"/>
                <w:sz w:val="18"/>
                <w:szCs w:val="18"/>
              </w:rPr>
              <w:t>）</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eastAsia" w:ascii="Times New Roman" w:hAnsi="Times New Roman" w:eastAsia="黑体"/>
          <w:sz w:val="18"/>
          <w:lang w:eastAsia="zh-CN"/>
        </w:rPr>
      </w:pPr>
      <w:r>
        <w:rPr>
          <w:rFonts w:hint="eastAsia" w:ascii="Times New Roman" w:hAnsi="Times New Roman" w:eastAsia="黑体"/>
          <w:sz w:val="18"/>
          <w:szCs w:val="18"/>
        </w:rPr>
        <w:t>附表</w:t>
      </w:r>
      <w:r>
        <w:rPr>
          <w:rFonts w:hint="default" w:ascii="Times New Roman" w:hAnsi="Times New Roman" w:eastAsia="黑体" w:cs="Times New Roman"/>
          <w:sz w:val="18"/>
          <w:szCs w:val="18"/>
        </w:rPr>
        <w:fldChar w:fldCharType="begin"/>
      </w:r>
      <w:r>
        <w:rPr>
          <w:rFonts w:hint="default" w:ascii="Times New Roman" w:hAnsi="Times New Roman" w:eastAsia="黑体" w:cs="Times New Roman"/>
          <w:sz w:val="18"/>
          <w:szCs w:val="18"/>
        </w:rPr>
        <w:instrText xml:space="preserve"> SEQ 附表 \* ARABIC </w:instrText>
      </w:r>
      <w:r>
        <w:rPr>
          <w:rFonts w:hint="default" w:ascii="Times New Roman" w:hAnsi="Times New Roman" w:eastAsia="黑体" w:cs="Times New Roman"/>
          <w:sz w:val="18"/>
          <w:szCs w:val="18"/>
        </w:rPr>
        <w:fldChar w:fldCharType="separate"/>
      </w:r>
      <w:r>
        <w:rPr>
          <w:rFonts w:hint="default" w:ascii="Times New Roman" w:hAnsi="Times New Roman" w:eastAsia="黑体" w:cs="Times New Roman"/>
          <w:sz w:val="18"/>
          <w:szCs w:val="18"/>
        </w:rPr>
        <w:t>8</w:t>
      </w:r>
      <w:r>
        <w:rPr>
          <w:rFonts w:hint="default" w:ascii="Times New Roman" w:hAnsi="Times New Roman" w:eastAsia="黑体" w:cs="Times New Roman"/>
          <w:sz w:val="18"/>
          <w:szCs w:val="18"/>
        </w:rPr>
        <w:fldChar w:fldCharType="end"/>
      </w:r>
      <w:r>
        <w:rPr>
          <w:rFonts w:hint="eastAsia" w:ascii="Times New Roman" w:hAnsi="Times New Roman" w:eastAsia="黑体" w:cs="Times New Roman"/>
          <w:sz w:val="18"/>
          <w:szCs w:val="18"/>
          <w:lang w:eastAsia="zh-CN"/>
        </w:rPr>
        <w:t>（</w:t>
      </w:r>
      <w:r>
        <w:rPr>
          <w:rFonts w:hint="eastAsia" w:ascii="Times New Roman" w:hAnsi="Times New Roman" w:eastAsia="黑体" w:cs="Times New Roman"/>
          <w:sz w:val="18"/>
          <w:szCs w:val="18"/>
          <w:lang w:val="en-US" w:eastAsia="zh-CN"/>
        </w:rPr>
        <w:t>续</w:t>
      </w:r>
      <w:r>
        <w:rPr>
          <w:rFonts w:hint="eastAsia" w:ascii="Times New Roman" w:hAnsi="Times New Roman" w:eastAsia="黑体" w:cs="Times New Roman"/>
          <w:sz w:val="18"/>
          <w:szCs w:val="18"/>
          <w:lang w:eastAsia="zh-CN"/>
        </w:rPr>
        <w:t>）</w:t>
      </w:r>
    </w:p>
    <w:tbl>
      <w:tblPr>
        <w:tblStyle w:val="34"/>
        <w:tblW w:w="861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4"/>
        <w:gridCol w:w="3017"/>
        <w:gridCol w:w="3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84" w:type="dxa"/>
            <w:tcBorders>
              <w:top w:val="single" w:color="auto" w:sz="4" w:space="0"/>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设施农业发展水平</w:t>
            </w:r>
          </w:p>
        </w:tc>
        <w:tc>
          <w:tcPr>
            <w:tcW w:w="3017" w:type="dxa"/>
            <w:tcBorders>
              <w:top w:val="single" w:color="auto" w:sz="4" w:space="0"/>
              <w:left w:val="single" w:color="auto" w:sz="4" w:space="0"/>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0.0004</w:t>
            </w: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.0003</w:t>
            </w:r>
            <w:r>
              <w:rPr>
                <w:rFonts w:ascii="Times New Roman" w:hAnsi="Times New Roman" w:eastAsia="宋体" w:cs="Times New Roman"/>
                <w:kern w:val="0"/>
                <w:sz w:val="18"/>
                <w:szCs w:val="18"/>
              </w:rPr>
              <w:t>）</w:t>
            </w:r>
          </w:p>
        </w:tc>
        <w:tc>
          <w:tcPr>
            <w:tcW w:w="3018" w:type="dxa"/>
            <w:tcBorders>
              <w:top w:val="single" w:color="auto" w:sz="4" w:space="0"/>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4.3170</w:t>
            </w: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3.4964</w:t>
            </w:r>
            <w:r>
              <w:rPr>
                <w:rFonts w:ascii="Times New Roman" w:hAnsi="Times New Roman" w:eastAsia="宋体" w:cs="Times New Roman"/>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84"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政府干预程度</w:t>
            </w:r>
          </w:p>
        </w:tc>
        <w:tc>
          <w:tcPr>
            <w:tcW w:w="3017" w:type="dxa"/>
            <w:tcBorders>
              <w:top w:val="nil"/>
              <w:left w:val="single" w:color="auto" w:sz="4" w:space="0"/>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0.0003</w:t>
            </w: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.0028</w:t>
            </w:r>
            <w:r>
              <w:rPr>
                <w:rFonts w:ascii="Times New Roman" w:hAnsi="Times New Roman" w:eastAsia="宋体" w:cs="Times New Roman"/>
                <w:kern w:val="0"/>
                <w:sz w:val="18"/>
                <w:szCs w:val="18"/>
              </w:rPr>
              <w:t>）</w:t>
            </w:r>
          </w:p>
        </w:tc>
        <w:tc>
          <w:tcPr>
            <w:tcW w:w="3018"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2.3672</w:t>
            </w: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2.8518</w:t>
            </w:r>
            <w:r>
              <w:rPr>
                <w:rFonts w:ascii="Times New Roman" w:hAnsi="Times New Roman" w:eastAsia="宋体" w:cs="Times New Roman"/>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84"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消费水平</w:t>
            </w:r>
          </w:p>
        </w:tc>
        <w:tc>
          <w:tcPr>
            <w:tcW w:w="3017" w:type="dxa"/>
            <w:tcBorders>
              <w:top w:val="nil"/>
              <w:left w:val="single" w:color="auto" w:sz="4" w:space="0"/>
              <w:bottom w:val="nil"/>
              <w:right w:val="single" w:color="auto" w:sz="4" w:space="0"/>
            </w:tcBorders>
          </w:tcPr>
          <w:p>
            <w:pPr>
              <w:spacing w:line="300" w:lineRule="exact"/>
              <w:jc w:val="center"/>
              <w:rPr>
                <w:rFonts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0.0049</w:t>
            </w:r>
            <w:r>
              <w:rPr>
                <w:rFonts w:hint="eastAsia"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w:t>
            </w:r>
            <w:r>
              <w:rPr>
                <w:rFonts w:hint="eastAsia" w:ascii="Times New Roman" w:hAnsi="Times New Roman" w:eastAsia="宋体" w:cs="Times New Roman"/>
                <w:kern w:val="0"/>
                <w:sz w:val="18"/>
                <w:szCs w:val="18"/>
              </w:rPr>
              <w:t>.0028</w:t>
            </w:r>
            <w:r>
              <w:rPr>
                <w:rFonts w:ascii="Times New Roman" w:hAnsi="Times New Roman" w:eastAsia="宋体" w:cs="Times New Roman"/>
                <w:kern w:val="0"/>
                <w:sz w:val="18"/>
                <w:szCs w:val="18"/>
              </w:rPr>
              <w:t>）</w:t>
            </w:r>
          </w:p>
        </w:tc>
        <w:tc>
          <w:tcPr>
            <w:tcW w:w="3018"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vertAlign w:val="superscript"/>
              </w:rPr>
            </w:pPr>
            <w:r>
              <w:rPr>
                <w:rFonts w:hint="eastAsia" w:ascii="Times New Roman" w:hAnsi="Times New Roman" w:eastAsia="宋体" w:cs="Times New Roman"/>
                <w:kern w:val="0"/>
                <w:sz w:val="18"/>
                <w:szCs w:val="18"/>
              </w:rPr>
              <w:t>4.9072</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2.3105</w:t>
            </w:r>
            <w:r>
              <w:rPr>
                <w:rFonts w:ascii="Times New Roman" w:hAnsi="Times New Roman" w:eastAsia="宋体" w:cs="Times New Roman"/>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84"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常数项</w:t>
            </w:r>
          </w:p>
        </w:tc>
        <w:tc>
          <w:tcPr>
            <w:tcW w:w="3017" w:type="dxa"/>
            <w:tcBorders>
              <w:top w:val="nil"/>
              <w:left w:val="single" w:color="auto" w:sz="4" w:space="0"/>
              <w:bottom w:val="nil"/>
              <w:right w:val="single" w:color="auto" w:sz="4" w:space="0"/>
            </w:tcBorders>
          </w:tcPr>
          <w:p>
            <w:pPr>
              <w:spacing w:line="300" w:lineRule="exact"/>
              <w:jc w:val="center"/>
              <w:rPr>
                <w:rFonts w:ascii="Times New Roman" w:hAnsi="Times New Roman" w:eastAsia="宋体" w:cs="Times New Roman"/>
                <w:kern w:val="0"/>
                <w:sz w:val="18"/>
                <w:szCs w:val="18"/>
                <w:vertAlign w:val="superscript"/>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1.1587</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0.0507</w:t>
            </w:r>
            <w:r>
              <w:rPr>
                <w:rFonts w:ascii="Times New Roman" w:hAnsi="Times New Roman" w:eastAsia="宋体" w:cs="Times New Roman"/>
                <w:kern w:val="0"/>
                <w:sz w:val="18"/>
                <w:szCs w:val="18"/>
              </w:rPr>
              <w:t>）</w:t>
            </w:r>
          </w:p>
        </w:tc>
        <w:tc>
          <w:tcPr>
            <w:tcW w:w="3018"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491.3384</w:t>
            </w: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408.1421</w:t>
            </w:r>
            <w:r>
              <w:rPr>
                <w:rFonts w:ascii="Times New Roman" w:hAnsi="Times New Roman" w:eastAsia="宋体" w:cs="Times New Roman"/>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84"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县域</w:t>
            </w:r>
            <w:r>
              <w:rPr>
                <w:rFonts w:ascii="Times New Roman" w:hAnsi="Times New Roman" w:eastAsia="宋体" w:cs="Times New Roman"/>
                <w:kern w:val="0"/>
                <w:sz w:val="18"/>
                <w:szCs w:val="18"/>
              </w:rPr>
              <w:t>固定效应</w:t>
            </w:r>
          </w:p>
        </w:tc>
        <w:tc>
          <w:tcPr>
            <w:tcW w:w="3017" w:type="dxa"/>
            <w:tcBorders>
              <w:top w:val="nil"/>
              <w:left w:val="single" w:color="auto" w:sz="4" w:space="0"/>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3018"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84" w:type="dxa"/>
            <w:tcBorders>
              <w:top w:val="nil"/>
              <w:left w:val="nil"/>
              <w:bottom w:val="single" w:color="auto" w:sz="4" w:space="0"/>
              <w:right w:val="single" w:color="auto" w:sz="4" w:space="0"/>
            </w:tcBorders>
          </w:tcPr>
          <w:p>
            <w:pPr>
              <w:spacing w:line="300" w:lineRule="exact"/>
              <w:jc w:val="lef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年份</w:t>
            </w:r>
            <w:r>
              <w:rPr>
                <w:rFonts w:ascii="Times New Roman" w:hAnsi="Times New Roman" w:eastAsia="宋体" w:cs="Times New Roman"/>
                <w:kern w:val="0"/>
                <w:sz w:val="18"/>
                <w:szCs w:val="18"/>
              </w:rPr>
              <w:t>固定效应</w:t>
            </w:r>
          </w:p>
        </w:tc>
        <w:tc>
          <w:tcPr>
            <w:tcW w:w="3017" w:type="dxa"/>
            <w:tcBorders>
              <w:top w:val="nil"/>
              <w:left w:val="single" w:color="auto" w:sz="4" w:space="0"/>
              <w:bottom w:val="single" w:color="auto" w:sz="4" w:space="0"/>
              <w:right w:val="single" w:color="auto" w:sz="4" w:space="0"/>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3018" w:type="dxa"/>
            <w:tcBorders>
              <w:top w:val="nil"/>
              <w:left w:val="single" w:color="auto" w:sz="4" w:space="0"/>
              <w:bottom w:val="single" w:color="auto" w:sz="4" w:space="0"/>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84" w:type="dxa"/>
            <w:tcBorders>
              <w:top w:val="single" w:color="auto" w:sz="4" w:space="0"/>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观测值数</w:t>
            </w:r>
          </w:p>
        </w:tc>
        <w:tc>
          <w:tcPr>
            <w:tcW w:w="3017" w:type="dxa"/>
            <w:tcBorders>
              <w:top w:val="single" w:color="auto" w:sz="4" w:space="0"/>
              <w:left w:val="single" w:color="auto" w:sz="4" w:space="0"/>
              <w:bottom w:val="nil"/>
              <w:right w:val="single" w:color="auto" w:sz="4" w:space="0"/>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4210</w:t>
            </w:r>
          </w:p>
        </w:tc>
        <w:tc>
          <w:tcPr>
            <w:tcW w:w="3018" w:type="dxa"/>
            <w:tcBorders>
              <w:top w:val="single" w:color="auto" w:sz="4" w:space="0"/>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4267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84" w:type="dxa"/>
            <w:tcBorders>
              <w:top w:val="nil"/>
              <w:left w:val="nil"/>
              <w:bottom w:val="single" w:color="auto" w:sz="12" w:space="0"/>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R</w:t>
            </w:r>
            <w:r>
              <w:rPr>
                <w:rFonts w:ascii="Times New Roman" w:hAnsi="Times New Roman" w:eastAsia="宋体" w:cs="Times New Roman"/>
                <w:kern w:val="0"/>
                <w:sz w:val="18"/>
                <w:szCs w:val="18"/>
                <w:vertAlign w:val="superscript"/>
              </w:rPr>
              <w:t>2</w:t>
            </w:r>
          </w:p>
        </w:tc>
        <w:tc>
          <w:tcPr>
            <w:tcW w:w="3017" w:type="dxa"/>
            <w:tcBorders>
              <w:top w:val="nil"/>
              <w:left w:val="single" w:color="auto" w:sz="4" w:space="0"/>
              <w:bottom w:val="single" w:color="auto" w:sz="12" w:space="0"/>
              <w:right w:val="single" w:color="auto" w:sz="4" w:space="0"/>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0.1130</w:t>
            </w:r>
          </w:p>
        </w:tc>
        <w:tc>
          <w:tcPr>
            <w:tcW w:w="3018" w:type="dxa"/>
            <w:tcBorders>
              <w:top w:val="nil"/>
              <w:left w:val="single" w:color="auto" w:sz="4" w:space="0"/>
              <w:bottom w:val="single" w:color="auto" w:sz="12" w:space="0"/>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0.1057</w:t>
            </w:r>
          </w:p>
        </w:tc>
      </w:tr>
    </w:tbl>
    <w:p>
      <w:pPr>
        <w:ind w:firstLine="332" w:firstLineChars="200"/>
        <w:rPr>
          <w:rFonts w:hint="eastAsia" w:ascii="等线" w:hAnsi="等线" w:eastAsia="等线" w:cs="Times New Roman"/>
          <w:szCs w:val="21"/>
        </w:rPr>
      </w:pPr>
      <w:r>
        <w:rPr>
          <w:rFonts w:ascii="宋体" w:hAnsi="宋体" w:eastAsia="宋体" w:cs="Times New Roman"/>
          <w:sz w:val="18"/>
          <w:szCs w:val="18"/>
        </w:rPr>
        <w:t>注：</w:t>
      </w:r>
      <w:r>
        <w:rPr>
          <w:rFonts w:hint="eastAsia" w:ascii="宋体" w:hAnsi="宋体" w:eastAsia="宋体" w:cs="Times New Roman"/>
          <w:sz w:val="18"/>
          <w:szCs w:val="18"/>
        </w:rPr>
        <w:t>①</w:t>
      </w:r>
      <w:r>
        <w:rPr>
          <w:rFonts w:ascii="Times New Roman" w:hAnsi="Times New Roman" w:eastAsia="宋体" w:cs="Times New Roman"/>
          <w:sz w:val="18"/>
          <w:szCs w:val="18"/>
        </w:rPr>
        <w:t>***</w:t>
      </w:r>
      <w:r>
        <w:rPr>
          <w:rFonts w:ascii="宋体" w:hAnsi="宋体" w:eastAsia="宋体" w:cs="Times New Roman"/>
          <w:sz w:val="18"/>
          <w:szCs w:val="18"/>
        </w:rPr>
        <w:t>、</w:t>
      </w:r>
      <w:r>
        <w:rPr>
          <w:rFonts w:ascii="Times New Roman" w:hAnsi="Times New Roman" w:eastAsia="宋体" w:cs="Times New Roman"/>
          <w:sz w:val="18"/>
          <w:szCs w:val="18"/>
        </w:rPr>
        <w:t>**</w:t>
      </w:r>
      <w:r>
        <w:rPr>
          <w:rFonts w:ascii="宋体" w:hAnsi="宋体" w:eastAsia="宋体" w:cs="Times New Roman"/>
          <w:sz w:val="18"/>
          <w:szCs w:val="18"/>
        </w:rPr>
        <w:t>和</w:t>
      </w:r>
      <w:r>
        <w:rPr>
          <w:rFonts w:ascii="Times New Roman" w:hAnsi="Times New Roman" w:eastAsia="宋体" w:cs="Times New Roman"/>
          <w:sz w:val="18"/>
          <w:szCs w:val="18"/>
        </w:rPr>
        <w:t>*</w:t>
      </w:r>
      <w:r>
        <w:rPr>
          <w:rFonts w:ascii="宋体" w:hAnsi="宋体" w:eastAsia="宋体" w:cs="Times New Roman"/>
          <w:sz w:val="18"/>
          <w:szCs w:val="18"/>
        </w:rPr>
        <w:t>分别表示</w:t>
      </w:r>
      <w:r>
        <w:rPr>
          <w:rFonts w:ascii="Times New Roman" w:hAnsi="Times New Roman" w:eastAsia="宋体" w:cs="Times New Roman"/>
          <w:sz w:val="18"/>
          <w:szCs w:val="18"/>
        </w:rPr>
        <w:t>1%</w:t>
      </w:r>
      <w:r>
        <w:rPr>
          <w:rFonts w:ascii="宋体" w:hAnsi="宋体" w:eastAsia="宋体" w:cs="Times New Roman"/>
          <w:sz w:val="18"/>
          <w:szCs w:val="18"/>
        </w:rPr>
        <w:t>、</w:t>
      </w:r>
      <w:r>
        <w:rPr>
          <w:rFonts w:ascii="Times New Roman" w:hAnsi="Times New Roman" w:eastAsia="宋体" w:cs="Times New Roman"/>
          <w:sz w:val="18"/>
          <w:szCs w:val="18"/>
        </w:rPr>
        <w:t>5%</w:t>
      </w:r>
      <w:r>
        <w:rPr>
          <w:rFonts w:ascii="宋体" w:hAnsi="宋体" w:eastAsia="宋体" w:cs="Times New Roman"/>
          <w:sz w:val="18"/>
          <w:szCs w:val="18"/>
        </w:rPr>
        <w:t>和</w:t>
      </w:r>
      <w:r>
        <w:rPr>
          <w:rFonts w:ascii="Times New Roman" w:hAnsi="Times New Roman" w:eastAsia="宋体" w:cs="Times New Roman"/>
          <w:sz w:val="18"/>
          <w:szCs w:val="18"/>
        </w:rPr>
        <w:t>10%</w:t>
      </w:r>
      <w:r>
        <w:rPr>
          <w:rFonts w:ascii="宋体" w:hAnsi="宋体" w:eastAsia="宋体" w:cs="Times New Roman"/>
          <w:sz w:val="18"/>
          <w:szCs w:val="18"/>
        </w:rPr>
        <w:t>的显著性水平；</w:t>
      </w:r>
      <w:r>
        <w:rPr>
          <w:rFonts w:hint="eastAsia" w:ascii="宋体" w:hAnsi="宋体" w:eastAsia="宋体" w:cs="Times New Roman"/>
          <w:sz w:val="18"/>
          <w:szCs w:val="18"/>
        </w:rPr>
        <w:t>②</w:t>
      </w:r>
      <w:r>
        <w:rPr>
          <w:rFonts w:ascii="宋体" w:hAnsi="宋体" w:eastAsia="宋体" w:cs="Times New Roman"/>
          <w:sz w:val="18"/>
          <w:szCs w:val="18"/>
        </w:rPr>
        <w:t>括号中的数值为聚类到县域层面的稳健标准误。</w:t>
      </w:r>
    </w:p>
    <w:p>
      <w:pPr>
        <w:pStyle w:val="9"/>
        <w:keepNext/>
        <w:ind w:firstLine="332" w:firstLineChars="200"/>
        <w:rPr>
          <w:rFonts w:ascii="Times New Roman" w:hAnsi="Times New Roman" w:cs="Times New Roman"/>
          <w:sz w:val="18"/>
          <w:szCs w:val="18"/>
        </w:rPr>
      </w:pPr>
      <w:r>
        <w:rPr>
          <w:rFonts w:ascii="Times New Roman" w:hAnsi="Times New Roman" w:cs="Times New Roman"/>
          <w:sz w:val="18"/>
          <w:szCs w:val="18"/>
        </w:rPr>
        <w:t>附表</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附表 \* ARABIC </w:instrText>
      </w:r>
      <w:r>
        <w:rPr>
          <w:rFonts w:ascii="Times New Roman" w:hAnsi="Times New Roman" w:cs="Times New Roman"/>
          <w:sz w:val="18"/>
          <w:szCs w:val="18"/>
        </w:rPr>
        <w:fldChar w:fldCharType="separate"/>
      </w:r>
      <w:r>
        <w:rPr>
          <w:rFonts w:ascii="Times New Roman" w:hAnsi="Times New Roman" w:cs="Times New Roman"/>
          <w:sz w:val="18"/>
          <w:szCs w:val="18"/>
        </w:rPr>
        <w:t>9</w:t>
      </w:r>
      <w:r>
        <w:rPr>
          <w:rFonts w:ascii="Times New Roman" w:hAnsi="Times New Roman" w:cs="Times New Roman"/>
          <w:sz w:val="18"/>
          <w:szCs w:val="18"/>
        </w:rPr>
        <w:fldChar w:fldCharType="end"/>
      </w:r>
      <w:r>
        <w:rPr>
          <w:rFonts w:hint="eastAsia" w:ascii="Times New Roman" w:hAnsi="Times New Roman" w:cs="Times New Roman"/>
          <w:sz w:val="18"/>
          <w:szCs w:val="18"/>
        </w:rPr>
        <w:t xml:space="preserve">                                 异质性回归结果</w:t>
      </w:r>
    </w:p>
    <w:tbl>
      <w:tblPr>
        <w:tblStyle w:val="34"/>
        <w:tblW w:w="8619" w:type="dxa"/>
        <w:tblInd w:w="108"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265"/>
        <w:gridCol w:w="1784"/>
        <w:gridCol w:w="1784"/>
        <w:gridCol w:w="1786"/>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265" w:type="dxa"/>
            <w:vMerge w:val="restart"/>
            <w:tcBorders>
              <w:top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Times New Roman"/>
                <w:kern w:val="0"/>
                <w:sz w:val="18"/>
                <w:szCs w:val="18"/>
              </w:rPr>
            </w:pPr>
            <w:r>
              <w:rPr>
                <w:rFonts w:hint="eastAsia" w:ascii="宋体" w:hAnsi="宋体" w:eastAsia="宋体"/>
                <w:kern w:val="0"/>
                <w:sz w:val="18"/>
                <w:szCs w:val="18"/>
              </w:rPr>
              <w:t>变量</w:t>
            </w:r>
          </w:p>
        </w:tc>
        <w:tc>
          <w:tcPr>
            <w:tcW w:w="5354" w:type="dxa"/>
            <w:gridSpan w:val="3"/>
            <w:tcBorders>
              <w:top w:val="single" w:color="auto" w:sz="12" w:space="0"/>
              <w:left w:val="single" w:color="auto"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Times New Roman"/>
                <w:kern w:val="0"/>
                <w:sz w:val="18"/>
                <w:szCs w:val="18"/>
              </w:rPr>
            </w:pPr>
            <w:r>
              <w:rPr>
                <w:rFonts w:hint="eastAsia" w:ascii="宋体" w:hAnsi="宋体" w:eastAsia="宋体"/>
                <w:kern w:val="0"/>
                <w:sz w:val="18"/>
                <w:szCs w:val="18"/>
              </w:rPr>
              <w:t>县域经济增长</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265" w:type="dxa"/>
            <w:vMerge w:val="continue"/>
            <w:tcBorders>
              <w:bottom w:val="single" w:color="auto" w:sz="6"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Times New Roman"/>
                <w:kern w:val="0"/>
                <w:sz w:val="18"/>
                <w:szCs w:val="18"/>
              </w:rPr>
            </w:pPr>
          </w:p>
        </w:tc>
        <w:tc>
          <w:tcPr>
            <w:tcW w:w="1784" w:type="dxa"/>
            <w:tcBorders>
              <w:top w:val="single" w:color="auto" w:sz="4" w:space="0"/>
              <w:left w:val="single" w:color="auto" w:sz="4" w:space="0"/>
              <w:bottom w:val="single"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w:t>
            </w:r>
          </w:p>
        </w:tc>
        <w:tc>
          <w:tcPr>
            <w:tcW w:w="1784" w:type="dxa"/>
            <w:tcBorders>
              <w:top w:val="single" w:color="auto" w:sz="4" w:space="0"/>
              <w:bottom w:val="single"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w:t>
            </w:r>
          </w:p>
        </w:tc>
        <w:tc>
          <w:tcPr>
            <w:tcW w:w="1786" w:type="dxa"/>
            <w:tcBorders>
              <w:top w:val="single" w:color="auto" w:sz="4" w:space="0"/>
              <w:bottom w:val="single"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265" w:type="dxa"/>
            <w:tcBorders>
              <w:top w:val="single" w:color="auto" w:sz="6"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资本市场服务下沉</w:t>
            </w:r>
          </w:p>
        </w:tc>
        <w:tc>
          <w:tcPr>
            <w:tcW w:w="1784" w:type="dxa"/>
            <w:tcBorders>
              <w:top w:val="single" w:color="auto" w:sz="6" w:space="0"/>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.202</w:t>
            </w:r>
            <w:r>
              <w:rPr>
                <w:rFonts w:hint="eastAsia" w:ascii="Times New Roman" w:hAnsi="Times New Roman" w:eastAsia="宋体" w:cs="Times New Roman"/>
                <w:kern w:val="0"/>
                <w:sz w:val="18"/>
                <w:szCs w:val="18"/>
              </w:rPr>
              <w:t>4</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（0.0412）</w:t>
            </w:r>
          </w:p>
        </w:tc>
        <w:tc>
          <w:tcPr>
            <w:tcW w:w="1784" w:type="dxa"/>
            <w:tcBorders>
              <w:top w:val="single"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.266</w:t>
            </w:r>
            <w:r>
              <w:rPr>
                <w:rFonts w:hint="eastAsia" w:ascii="Times New Roman" w:hAnsi="Times New Roman" w:eastAsia="宋体" w:cs="Times New Roman"/>
                <w:kern w:val="0"/>
                <w:sz w:val="18"/>
                <w:szCs w:val="18"/>
              </w:rPr>
              <w:t>6</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w:t>
            </w:r>
            <w:r>
              <w:rPr>
                <w:rFonts w:hint="eastAsia" w:ascii="Times New Roman" w:hAnsi="Times New Roman" w:eastAsia="宋体" w:cs="Times New Roman"/>
                <w:kern w:val="0"/>
                <w:sz w:val="18"/>
                <w:szCs w:val="18"/>
              </w:rPr>
              <w:t>600</w:t>
            </w:r>
            <w:r>
              <w:rPr>
                <w:rFonts w:ascii="Times New Roman" w:hAnsi="Times New Roman" w:eastAsia="宋体" w:cs="Times New Roman"/>
                <w:kern w:val="0"/>
                <w:sz w:val="18"/>
                <w:szCs w:val="18"/>
              </w:rPr>
              <w:t>）</w:t>
            </w:r>
          </w:p>
        </w:tc>
        <w:tc>
          <w:tcPr>
            <w:tcW w:w="1786" w:type="dxa"/>
            <w:tcBorders>
              <w:top w:val="single"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0.1999</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（0.0392）</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265" w:type="dxa"/>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资本市场服务下沉×高经济发展水平组</w:t>
            </w:r>
          </w:p>
        </w:tc>
        <w:tc>
          <w:tcPr>
            <w:tcW w:w="1784"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.1170</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.0478</w:t>
            </w:r>
            <w:r>
              <w:rPr>
                <w:rFonts w:hint="eastAsia" w:ascii="Times New Roman" w:hAnsi="Times New Roman" w:eastAsia="宋体" w:cs="Times New Roman"/>
                <w:kern w:val="0"/>
                <w:sz w:val="18"/>
                <w:szCs w:val="18"/>
              </w:rPr>
              <w:t>）</w:t>
            </w:r>
          </w:p>
        </w:tc>
        <w:tc>
          <w:tcPr>
            <w:tcW w:w="1784"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786"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265" w:type="dxa"/>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高经济发展水平组</w:t>
            </w:r>
          </w:p>
        </w:tc>
        <w:tc>
          <w:tcPr>
            <w:tcW w:w="1784"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.2572</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.0234</w:t>
            </w:r>
            <w:r>
              <w:rPr>
                <w:rFonts w:hint="eastAsia" w:ascii="Times New Roman" w:hAnsi="Times New Roman" w:eastAsia="宋体" w:cs="Times New Roman"/>
                <w:kern w:val="0"/>
                <w:sz w:val="18"/>
                <w:szCs w:val="18"/>
              </w:rPr>
              <w:t>）</w:t>
            </w:r>
          </w:p>
        </w:tc>
        <w:tc>
          <w:tcPr>
            <w:tcW w:w="1784"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786"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265" w:type="dxa"/>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资本市场服务下沉×高财政收入水平组</w:t>
            </w:r>
          </w:p>
        </w:tc>
        <w:tc>
          <w:tcPr>
            <w:tcW w:w="1784"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784"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.1584</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.06</w:t>
            </w:r>
            <w:r>
              <w:rPr>
                <w:rFonts w:hint="eastAsia" w:ascii="Times New Roman" w:hAnsi="Times New Roman" w:eastAsia="宋体" w:cs="Times New Roman"/>
                <w:kern w:val="0"/>
                <w:sz w:val="18"/>
                <w:szCs w:val="18"/>
              </w:rPr>
              <w:t>50）</w:t>
            </w:r>
          </w:p>
        </w:tc>
        <w:tc>
          <w:tcPr>
            <w:tcW w:w="1786"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265" w:type="dxa"/>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高财政收入水平组</w:t>
            </w:r>
          </w:p>
        </w:tc>
        <w:tc>
          <w:tcPr>
            <w:tcW w:w="1784"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784"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.0472</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.025</w:t>
            </w:r>
            <w:r>
              <w:rPr>
                <w:rFonts w:hint="eastAsia" w:ascii="Times New Roman" w:hAnsi="Times New Roman" w:eastAsia="宋体" w:cs="Times New Roman"/>
                <w:kern w:val="0"/>
                <w:sz w:val="18"/>
                <w:szCs w:val="18"/>
              </w:rPr>
              <w:t>8）</w:t>
            </w:r>
          </w:p>
        </w:tc>
        <w:tc>
          <w:tcPr>
            <w:tcW w:w="1786"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265" w:type="dxa"/>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20"/>
              </w:rPr>
              <w:t>资本市场服务下沉</w:t>
            </w:r>
            <w:r>
              <w:rPr>
                <w:rFonts w:hint="eastAsia" w:ascii="Times New Roman" w:hAnsi="Times New Roman" w:eastAsia="宋体" w:cs="Times New Roman"/>
                <w:kern w:val="0"/>
                <w:sz w:val="18"/>
                <w:szCs w:val="18"/>
              </w:rPr>
              <w:t>×</w:t>
            </w:r>
            <w:r>
              <w:rPr>
                <w:rFonts w:hint="eastAsia" w:ascii="Times New Roman" w:hAnsi="Times New Roman" w:eastAsia="宋体" w:cs="Times New Roman"/>
                <w:kern w:val="0"/>
                <w:sz w:val="18"/>
                <w:szCs w:val="20"/>
              </w:rPr>
              <w:t>高个体工商户数量组</w:t>
            </w:r>
          </w:p>
        </w:tc>
        <w:tc>
          <w:tcPr>
            <w:tcW w:w="1784"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784"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786"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0.0861</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（0.0405）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265" w:type="dxa"/>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20"/>
              </w:rPr>
            </w:pPr>
            <w:r>
              <w:rPr>
                <w:rFonts w:hint="eastAsia" w:ascii="Times New Roman" w:hAnsi="Times New Roman" w:eastAsia="宋体" w:cs="Times New Roman"/>
                <w:kern w:val="0"/>
                <w:sz w:val="18"/>
                <w:szCs w:val="20"/>
              </w:rPr>
              <w:t>高个体工商户数量组</w:t>
            </w:r>
          </w:p>
        </w:tc>
        <w:tc>
          <w:tcPr>
            <w:tcW w:w="1784"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784"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p>
        </w:tc>
        <w:tc>
          <w:tcPr>
            <w:tcW w:w="1786"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0.0434</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（0.0186）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265" w:type="dxa"/>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农村居民收入</w:t>
            </w:r>
          </w:p>
        </w:tc>
        <w:tc>
          <w:tcPr>
            <w:tcW w:w="1784"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0.506</w:t>
            </w:r>
            <w:r>
              <w:rPr>
                <w:rFonts w:hint="eastAsia" w:ascii="Times New Roman" w:hAnsi="Times New Roman" w:eastAsia="宋体" w:cs="Times New Roman"/>
                <w:kern w:val="0"/>
                <w:sz w:val="18"/>
                <w:szCs w:val="18"/>
              </w:rPr>
              <w:t>7</w:t>
            </w:r>
            <w:r>
              <w:rPr>
                <w:rFonts w:hint="eastAsia"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（0.084</w:t>
            </w:r>
            <w:r>
              <w:rPr>
                <w:rFonts w:hint="eastAsia" w:ascii="Times New Roman" w:hAnsi="Times New Roman" w:eastAsia="宋体" w:cs="Times New Roman"/>
                <w:kern w:val="0"/>
                <w:sz w:val="18"/>
                <w:szCs w:val="18"/>
              </w:rPr>
              <w:t>2</w:t>
            </w:r>
            <w:r>
              <w:rPr>
                <w:rFonts w:ascii="Times New Roman" w:hAnsi="Times New Roman" w:eastAsia="宋体" w:cs="Times New Roman"/>
                <w:kern w:val="0"/>
                <w:sz w:val="18"/>
                <w:szCs w:val="18"/>
              </w:rPr>
              <w:t>）</w:t>
            </w:r>
          </w:p>
        </w:tc>
        <w:tc>
          <w:tcPr>
            <w:tcW w:w="1784"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.4511</w:t>
            </w:r>
            <w:r>
              <w:rPr>
                <w:rFonts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（0.088</w:t>
            </w:r>
            <w:r>
              <w:rPr>
                <w:rFonts w:hint="eastAsia" w:ascii="Times New Roman" w:hAnsi="Times New Roman" w:eastAsia="宋体" w:cs="Times New Roman"/>
                <w:kern w:val="0"/>
                <w:sz w:val="18"/>
                <w:szCs w:val="18"/>
              </w:rPr>
              <w:t>1</w:t>
            </w:r>
            <w:r>
              <w:rPr>
                <w:rFonts w:ascii="Times New Roman" w:hAnsi="Times New Roman" w:eastAsia="宋体" w:cs="Times New Roman"/>
                <w:kern w:val="0"/>
                <w:sz w:val="18"/>
                <w:szCs w:val="18"/>
              </w:rPr>
              <w:t>）</w:t>
            </w:r>
          </w:p>
        </w:tc>
        <w:tc>
          <w:tcPr>
            <w:tcW w:w="1786"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0.4805</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w:t>
            </w:r>
            <w:r>
              <w:rPr>
                <w:rFonts w:hint="eastAsia" w:ascii="Times New Roman" w:hAnsi="Times New Roman" w:eastAsia="宋体" w:cs="Times New Roman"/>
                <w:kern w:val="0"/>
                <w:sz w:val="18"/>
                <w:szCs w:val="18"/>
                <w:lang w:val="en-US" w:eastAsia="zh-CN"/>
              </w:rPr>
              <w:t>0</w:t>
            </w:r>
            <w:r>
              <w:rPr>
                <w:rFonts w:hint="eastAsia" w:ascii="Times New Roman" w:hAnsi="Times New Roman" w:eastAsia="宋体" w:cs="Times New Roman"/>
                <w:kern w:val="0"/>
                <w:sz w:val="18"/>
                <w:szCs w:val="18"/>
              </w:rPr>
              <w:t>.0869）</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265" w:type="dxa"/>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存款水平</w:t>
            </w:r>
          </w:p>
        </w:tc>
        <w:tc>
          <w:tcPr>
            <w:tcW w:w="1784"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.1724</w:t>
            </w:r>
            <w:r>
              <w:rPr>
                <w:rFonts w:hint="eastAsia"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（0.05</w:t>
            </w:r>
            <w:r>
              <w:rPr>
                <w:rFonts w:hint="eastAsia" w:ascii="Times New Roman" w:hAnsi="Times New Roman" w:eastAsia="宋体" w:cs="Times New Roman"/>
                <w:kern w:val="0"/>
                <w:sz w:val="18"/>
                <w:szCs w:val="18"/>
              </w:rPr>
              <w:t>70</w:t>
            </w:r>
            <w:r>
              <w:rPr>
                <w:rFonts w:ascii="Times New Roman" w:hAnsi="Times New Roman" w:eastAsia="宋体" w:cs="Times New Roman"/>
                <w:kern w:val="0"/>
                <w:sz w:val="18"/>
                <w:szCs w:val="18"/>
              </w:rPr>
              <w:t>）</w:t>
            </w:r>
          </w:p>
        </w:tc>
        <w:tc>
          <w:tcPr>
            <w:tcW w:w="1784"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.172</w:t>
            </w:r>
            <w:r>
              <w:rPr>
                <w:rFonts w:hint="eastAsia" w:ascii="Times New Roman" w:hAnsi="Times New Roman" w:eastAsia="宋体" w:cs="Times New Roman"/>
                <w:kern w:val="0"/>
                <w:sz w:val="18"/>
                <w:szCs w:val="18"/>
              </w:rPr>
              <w:t>4</w:t>
            </w:r>
            <w:r>
              <w:rPr>
                <w:rFonts w:hint="eastAsia"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（0.061</w:t>
            </w:r>
            <w:r>
              <w:rPr>
                <w:rFonts w:hint="eastAsia" w:ascii="Times New Roman" w:hAnsi="Times New Roman" w:eastAsia="宋体" w:cs="Times New Roman"/>
                <w:kern w:val="0"/>
                <w:sz w:val="18"/>
                <w:szCs w:val="18"/>
              </w:rPr>
              <w:t>5</w:t>
            </w:r>
            <w:r>
              <w:rPr>
                <w:rFonts w:ascii="Times New Roman" w:hAnsi="Times New Roman" w:eastAsia="宋体" w:cs="Times New Roman"/>
                <w:kern w:val="0"/>
                <w:sz w:val="18"/>
                <w:szCs w:val="18"/>
              </w:rPr>
              <w:t>）</w:t>
            </w:r>
          </w:p>
        </w:tc>
        <w:tc>
          <w:tcPr>
            <w:tcW w:w="1786"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0.1680</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（0.0606）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265" w:type="dxa"/>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贷款水平</w:t>
            </w:r>
          </w:p>
        </w:tc>
        <w:tc>
          <w:tcPr>
            <w:tcW w:w="1784"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0.0229（0.0325）</w:t>
            </w:r>
          </w:p>
        </w:tc>
        <w:tc>
          <w:tcPr>
            <w:tcW w:w="1784"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.006</w:t>
            </w:r>
            <w:r>
              <w:rPr>
                <w:rFonts w:hint="eastAsia" w:ascii="Times New Roman" w:hAnsi="Times New Roman" w:eastAsia="宋体" w:cs="Times New Roman"/>
                <w:kern w:val="0"/>
                <w:sz w:val="18"/>
                <w:szCs w:val="18"/>
              </w:rPr>
              <w:t>3</w:t>
            </w:r>
            <w:r>
              <w:rPr>
                <w:rFonts w:ascii="Times New Roman" w:hAnsi="Times New Roman" w:eastAsia="宋体" w:cs="Times New Roman"/>
                <w:kern w:val="0"/>
                <w:sz w:val="18"/>
                <w:szCs w:val="18"/>
              </w:rPr>
              <w:t>（0.033</w:t>
            </w:r>
            <w:r>
              <w:rPr>
                <w:rFonts w:hint="eastAsia" w:ascii="Times New Roman" w:hAnsi="Times New Roman" w:eastAsia="宋体" w:cs="Times New Roman"/>
                <w:kern w:val="0"/>
                <w:sz w:val="18"/>
                <w:szCs w:val="18"/>
              </w:rPr>
              <w:t>6</w:t>
            </w:r>
            <w:r>
              <w:rPr>
                <w:rFonts w:ascii="Times New Roman" w:hAnsi="Times New Roman" w:eastAsia="宋体" w:cs="Times New Roman"/>
                <w:kern w:val="0"/>
                <w:sz w:val="18"/>
                <w:szCs w:val="18"/>
              </w:rPr>
              <w:t>）</w:t>
            </w:r>
          </w:p>
        </w:tc>
        <w:tc>
          <w:tcPr>
            <w:tcW w:w="1786"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0.0035（0.0338）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3265" w:type="dxa"/>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医疗水平</w:t>
            </w:r>
          </w:p>
        </w:tc>
        <w:tc>
          <w:tcPr>
            <w:tcW w:w="1784"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.0264</w:t>
            </w: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0.0292）</w:t>
            </w:r>
          </w:p>
        </w:tc>
        <w:tc>
          <w:tcPr>
            <w:tcW w:w="1784"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.024</w:t>
            </w:r>
            <w:r>
              <w:rPr>
                <w:rFonts w:hint="eastAsia" w:ascii="Times New Roman" w:hAnsi="Times New Roman" w:eastAsia="宋体" w:cs="Times New Roman"/>
                <w:kern w:val="0"/>
                <w:sz w:val="18"/>
                <w:szCs w:val="18"/>
              </w:rPr>
              <w:t>3</w:t>
            </w:r>
            <w:r>
              <w:rPr>
                <w:rFonts w:ascii="Times New Roman" w:hAnsi="Times New Roman" w:eastAsia="宋体" w:cs="Times New Roman"/>
                <w:kern w:val="0"/>
                <w:sz w:val="18"/>
                <w:szCs w:val="18"/>
              </w:rPr>
              <w:t>（0.030</w:t>
            </w:r>
            <w:r>
              <w:rPr>
                <w:rFonts w:hint="eastAsia" w:ascii="Times New Roman" w:hAnsi="Times New Roman" w:eastAsia="宋体" w:cs="Times New Roman"/>
                <w:kern w:val="0"/>
                <w:sz w:val="18"/>
                <w:szCs w:val="18"/>
              </w:rPr>
              <w:t>6</w:t>
            </w:r>
            <w:r>
              <w:rPr>
                <w:rFonts w:ascii="Times New Roman" w:hAnsi="Times New Roman" w:eastAsia="宋体" w:cs="Times New Roman"/>
                <w:kern w:val="0"/>
                <w:sz w:val="18"/>
                <w:szCs w:val="18"/>
              </w:rPr>
              <w:t>）</w:t>
            </w:r>
          </w:p>
        </w:tc>
        <w:tc>
          <w:tcPr>
            <w:tcW w:w="1786"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0.0185（0.0310）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265" w:type="dxa"/>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教育水平</w:t>
            </w:r>
          </w:p>
        </w:tc>
        <w:tc>
          <w:tcPr>
            <w:tcW w:w="1784"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.1654</w:t>
            </w:r>
            <w:r>
              <w:rPr>
                <w:rFonts w:hint="eastAsia"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（0.04</w:t>
            </w:r>
            <w:r>
              <w:rPr>
                <w:rFonts w:hint="eastAsia" w:ascii="Times New Roman" w:hAnsi="Times New Roman" w:eastAsia="宋体" w:cs="Times New Roman"/>
                <w:kern w:val="0"/>
                <w:sz w:val="18"/>
                <w:szCs w:val="18"/>
              </w:rPr>
              <w:t>11</w:t>
            </w:r>
            <w:r>
              <w:rPr>
                <w:rFonts w:ascii="Times New Roman" w:hAnsi="Times New Roman" w:eastAsia="宋体" w:cs="Times New Roman"/>
                <w:kern w:val="0"/>
                <w:sz w:val="18"/>
                <w:szCs w:val="18"/>
              </w:rPr>
              <w:t>）</w:t>
            </w:r>
          </w:p>
        </w:tc>
        <w:tc>
          <w:tcPr>
            <w:tcW w:w="1784"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.163</w:t>
            </w:r>
            <w:r>
              <w:rPr>
                <w:rFonts w:hint="eastAsia" w:ascii="Times New Roman" w:hAnsi="Times New Roman" w:eastAsia="宋体" w:cs="Times New Roman"/>
                <w:kern w:val="0"/>
                <w:sz w:val="18"/>
                <w:szCs w:val="18"/>
              </w:rPr>
              <w:t>8</w:t>
            </w:r>
            <w:r>
              <w:rPr>
                <w:rFonts w:hint="eastAsia"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（0.0452）</w:t>
            </w:r>
          </w:p>
        </w:tc>
        <w:tc>
          <w:tcPr>
            <w:tcW w:w="1786"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0.1740</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（0.0447）</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265" w:type="dxa"/>
            <w:tcBorders>
              <w:bottom w:val="nil"/>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设施农业发展水平</w:t>
            </w:r>
          </w:p>
        </w:tc>
        <w:tc>
          <w:tcPr>
            <w:tcW w:w="1784" w:type="dxa"/>
            <w:tcBorders>
              <w:left w:val="single" w:color="auto" w:sz="4" w:space="0"/>
              <w:bottom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0.0003（0.006</w:t>
            </w:r>
            <w:r>
              <w:rPr>
                <w:rFonts w:hint="eastAsia" w:ascii="Times New Roman" w:hAnsi="Times New Roman" w:eastAsia="宋体" w:cs="Times New Roman"/>
                <w:kern w:val="0"/>
                <w:sz w:val="18"/>
                <w:szCs w:val="18"/>
              </w:rPr>
              <w:t>9</w:t>
            </w:r>
            <w:r>
              <w:rPr>
                <w:rFonts w:ascii="Times New Roman" w:hAnsi="Times New Roman" w:eastAsia="宋体" w:cs="Times New Roman"/>
                <w:kern w:val="0"/>
                <w:sz w:val="18"/>
                <w:szCs w:val="18"/>
              </w:rPr>
              <w:t>）</w:t>
            </w:r>
          </w:p>
        </w:tc>
        <w:tc>
          <w:tcPr>
            <w:tcW w:w="1784" w:type="dxa"/>
            <w:tcBorders>
              <w:bottom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.003</w:t>
            </w:r>
            <w:r>
              <w:rPr>
                <w:rFonts w:hint="eastAsia" w:ascii="Times New Roman" w:hAnsi="Times New Roman" w:eastAsia="宋体" w:cs="Times New Roman"/>
                <w:kern w:val="0"/>
                <w:sz w:val="18"/>
                <w:szCs w:val="18"/>
              </w:rPr>
              <w:t>7</w:t>
            </w:r>
            <w:r>
              <w:rPr>
                <w:rFonts w:ascii="Times New Roman" w:hAnsi="Times New Roman" w:eastAsia="宋体" w:cs="Times New Roman"/>
                <w:kern w:val="0"/>
                <w:sz w:val="18"/>
                <w:szCs w:val="18"/>
              </w:rPr>
              <w:t>（0.0072）</w:t>
            </w:r>
          </w:p>
        </w:tc>
        <w:tc>
          <w:tcPr>
            <w:tcW w:w="1786" w:type="dxa"/>
            <w:tcBorders>
              <w:bottom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Cambria Math" w:hAnsi="Cambria Math" w:cs="Cambria Math"/>
                <w:kern w:val="0"/>
                <w:sz w:val="18"/>
                <w:szCs w:val="18"/>
              </w:rPr>
              <w:t>−</w:t>
            </w:r>
            <w:r>
              <w:rPr>
                <w:rFonts w:hint="eastAsia" w:ascii="Times New Roman" w:hAnsi="Times New Roman" w:eastAsia="宋体" w:cs="Times New Roman"/>
                <w:kern w:val="0"/>
                <w:sz w:val="18"/>
                <w:szCs w:val="18"/>
              </w:rPr>
              <w:t>0.0032（0.0073）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265" w:type="dxa"/>
            <w:tcBorders>
              <w:top w:val="nil"/>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政府干预程度</w:t>
            </w:r>
          </w:p>
        </w:tc>
        <w:tc>
          <w:tcPr>
            <w:tcW w:w="1784" w:type="dxa"/>
            <w:tcBorders>
              <w:top w:val="nil"/>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.1967</w:t>
            </w:r>
            <w:r>
              <w:rPr>
                <w:rFonts w:hint="eastAsia"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（0.0447）</w:t>
            </w:r>
          </w:p>
        </w:tc>
        <w:tc>
          <w:tcPr>
            <w:tcW w:w="1784" w:type="dxa"/>
            <w:tcBorders>
              <w:top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.2390</w:t>
            </w:r>
            <w:r>
              <w:rPr>
                <w:rFonts w:hint="eastAsia"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（0.050</w:t>
            </w:r>
            <w:r>
              <w:rPr>
                <w:rFonts w:hint="eastAsia" w:ascii="Times New Roman" w:hAnsi="Times New Roman" w:eastAsia="宋体" w:cs="Times New Roman"/>
                <w:kern w:val="0"/>
                <w:sz w:val="18"/>
                <w:szCs w:val="18"/>
              </w:rPr>
              <w:t>2</w:t>
            </w:r>
            <w:r>
              <w:rPr>
                <w:rFonts w:ascii="Times New Roman" w:hAnsi="Times New Roman" w:eastAsia="宋体" w:cs="Times New Roman"/>
                <w:kern w:val="0"/>
                <w:sz w:val="18"/>
                <w:szCs w:val="18"/>
              </w:rPr>
              <w:t>）</w:t>
            </w:r>
          </w:p>
        </w:tc>
        <w:tc>
          <w:tcPr>
            <w:tcW w:w="1786" w:type="dxa"/>
            <w:tcBorders>
              <w:top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0.2391</w:t>
            </w:r>
            <w:r>
              <w:rPr>
                <w:rFonts w:hint="eastAsia" w:ascii="Times New Roman" w:hAnsi="Times New Roman" w:eastAsia="宋体" w:cs="Times New Roman"/>
                <w:kern w:val="0"/>
                <w:sz w:val="18"/>
                <w:szCs w:val="18"/>
                <w:vertAlign w:val="superscript"/>
              </w:rPr>
              <w:t>***</w:t>
            </w:r>
            <w:r>
              <w:rPr>
                <w:rFonts w:hint="eastAsia" w:ascii="Times New Roman" w:hAnsi="Times New Roman" w:eastAsia="宋体" w:cs="Times New Roman"/>
                <w:kern w:val="0"/>
                <w:sz w:val="18"/>
                <w:szCs w:val="18"/>
              </w:rPr>
              <w:t>（0.0498）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265" w:type="dxa"/>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消费水平</w:t>
            </w:r>
          </w:p>
        </w:tc>
        <w:tc>
          <w:tcPr>
            <w:tcW w:w="1784"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0.1388</w:t>
            </w:r>
            <w:r>
              <w:rPr>
                <w:rFonts w:hint="eastAsia"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（0.031</w:t>
            </w:r>
            <w:r>
              <w:rPr>
                <w:rFonts w:hint="eastAsia" w:ascii="Times New Roman" w:hAnsi="Times New Roman" w:eastAsia="宋体" w:cs="Times New Roman"/>
                <w:kern w:val="0"/>
                <w:sz w:val="18"/>
                <w:szCs w:val="18"/>
              </w:rPr>
              <w:t>4</w:t>
            </w:r>
            <w:r>
              <w:rPr>
                <w:rFonts w:ascii="Times New Roman" w:hAnsi="Times New Roman" w:eastAsia="宋体" w:cs="Times New Roman"/>
                <w:kern w:val="0"/>
                <w:sz w:val="18"/>
                <w:szCs w:val="18"/>
              </w:rPr>
              <w:t>）</w:t>
            </w:r>
          </w:p>
        </w:tc>
        <w:tc>
          <w:tcPr>
            <w:tcW w:w="1784"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0.1797</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（0.033</w:t>
            </w:r>
            <w:r>
              <w:rPr>
                <w:rFonts w:hint="eastAsia" w:ascii="Times New Roman" w:hAnsi="Times New Roman" w:eastAsia="宋体" w:cs="Times New Roman"/>
                <w:kern w:val="0"/>
                <w:sz w:val="18"/>
                <w:szCs w:val="18"/>
              </w:rPr>
              <w:t>7</w:t>
            </w:r>
            <w:r>
              <w:rPr>
                <w:rFonts w:ascii="Times New Roman" w:hAnsi="Times New Roman" w:eastAsia="宋体" w:cs="Times New Roman"/>
                <w:kern w:val="0"/>
                <w:sz w:val="18"/>
                <w:szCs w:val="18"/>
              </w:rPr>
              <w:t>）</w:t>
            </w:r>
          </w:p>
        </w:tc>
        <w:tc>
          <w:tcPr>
            <w:tcW w:w="1786"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0.1867</w:t>
            </w:r>
            <w:r>
              <w:rPr>
                <w:rFonts w:hint="eastAsia" w:ascii="Times New Roman" w:hAnsi="Times New Roman" w:eastAsia="宋体" w:cs="Times New Roman"/>
                <w:kern w:val="0"/>
                <w:sz w:val="18"/>
                <w:szCs w:val="18"/>
                <w:vertAlign w:val="superscript"/>
              </w:rPr>
              <w:t xml:space="preserve"> ***</w:t>
            </w:r>
            <w:r>
              <w:rPr>
                <w:rFonts w:hint="eastAsia" w:ascii="Times New Roman" w:hAnsi="Times New Roman" w:eastAsia="宋体" w:cs="Times New Roman"/>
                <w:kern w:val="0"/>
                <w:sz w:val="18"/>
                <w:szCs w:val="18"/>
              </w:rPr>
              <w:t>（0.0340）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265" w:type="dxa"/>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常数项</w:t>
            </w:r>
          </w:p>
        </w:tc>
        <w:tc>
          <w:tcPr>
            <w:tcW w:w="1784"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.4767（1.144</w:t>
            </w:r>
            <w:r>
              <w:rPr>
                <w:rFonts w:hint="eastAsia" w:ascii="Times New Roman" w:hAnsi="Times New Roman" w:eastAsia="宋体" w:cs="Times New Roman"/>
                <w:kern w:val="0"/>
                <w:sz w:val="18"/>
                <w:szCs w:val="18"/>
              </w:rPr>
              <w:t>1</w:t>
            </w:r>
            <w:r>
              <w:rPr>
                <w:rFonts w:ascii="Times New Roman" w:hAnsi="Times New Roman" w:eastAsia="宋体" w:cs="Times New Roman"/>
                <w:kern w:val="0"/>
                <w:sz w:val="18"/>
                <w:szCs w:val="18"/>
              </w:rPr>
              <w:t>）</w:t>
            </w:r>
          </w:p>
        </w:tc>
        <w:tc>
          <w:tcPr>
            <w:tcW w:w="1784"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.229</w:t>
            </w:r>
            <w:r>
              <w:rPr>
                <w:rFonts w:hint="eastAsia" w:ascii="Times New Roman" w:hAnsi="Times New Roman" w:eastAsia="宋体" w:cs="Times New Roman"/>
                <w:kern w:val="0"/>
                <w:sz w:val="18"/>
                <w:szCs w:val="18"/>
              </w:rPr>
              <w:t>3</w:t>
            </w:r>
            <w:r>
              <w:rPr>
                <w:rFonts w:ascii="Times New Roman" w:hAnsi="Times New Roman" w:eastAsia="宋体" w:cs="Times New Roman"/>
                <w:kern w:val="0"/>
                <w:sz w:val="18"/>
                <w:szCs w:val="18"/>
              </w:rPr>
              <w:t>（1.2237）</w:t>
            </w:r>
          </w:p>
        </w:tc>
        <w:tc>
          <w:tcPr>
            <w:tcW w:w="1786"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0.0246（1.2280）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265" w:type="dxa"/>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县域</w:t>
            </w:r>
            <w:r>
              <w:rPr>
                <w:rFonts w:ascii="Times New Roman" w:hAnsi="Times New Roman" w:eastAsia="宋体" w:cs="Times New Roman"/>
                <w:kern w:val="0"/>
                <w:sz w:val="18"/>
                <w:szCs w:val="18"/>
              </w:rPr>
              <w:t>固定效应</w:t>
            </w:r>
          </w:p>
        </w:tc>
        <w:tc>
          <w:tcPr>
            <w:tcW w:w="1784"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784"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786"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已控制</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265" w:type="dxa"/>
            <w:tcBorders>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年份</w:t>
            </w:r>
            <w:r>
              <w:rPr>
                <w:rFonts w:ascii="Times New Roman" w:hAnsi="Times New Roman" w:eastAsia="宋体" w:cs="Times New Roman"/>
                <w:kern w:val="0"/>
                <w:sz w:val="18"/>
                <w:szCs w:val="18"/>
              </w:rPr>
              <w:t>固定效应</w:t>
            </w:r>
          </w:p>
        </w:tc>
        <w:tc>
          <w:tcPr>
            <w:tcW w:w="1784" w:type="dxa"/>
            <w:tcBorders>
              <w:left w:val="single" w:color="auto"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784" w:type="dxa"/>
            <w:tcBorders>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1786" w:type="dxa"/>
            <w:tcBorders>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已控制</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265" w:type="dxa"/>
            <w:tcBorders>
              <w:top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观测值数</w:t>
            </w:r>
          </w:p>
        </w:tc>
        <w:tc>
          <w:tcPr>
            <w:tcW w:w="1784" w:type="dxa"/>
            <w:tcBorders>
              <w:top w:val="single" w:color="auto" w:sz="4" w:space="0"/>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45</w:t>
            </w:r>
            <w:r>
              <w:rPr>
                <w:rFonts w:hint="eastAsia" w:ascii="Times New Roman" w:hAnsi="Times New Roman" w:eastAsia="宋体" w:cs="Times New Roman"/>
                <w:kern w:val="0"/>
                <w:sz w:val="18"/>
                <w:szCs w:val="18"/>
              </w:rPr>
              <w:t>63</w:t>
            </w:r>
          </w:p>
        </w:tc>
        <w:tc>
          <w:tcPr>
            <w:tcW w:w="1784" w:type="dxa"/>
            <w:tcBorders>
              <w:top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45</w:t>
            </w:r>
            <w:r>
              <w:rPr>
                <w:rFonts w:hint="eastAsia" w:ascii="Times New Roman" w:hAnsi="Times New Roman" w:eastAsia="宋体" w:cs="Times New Roman"/>
                <w:kern w:val="0"/>
                <w:sz w:val="18"/>
                <w:szCs w:val="18"/>
              </w:rPr>
              <w:t>63</w:t>
            </w:r>
          </w:p>
        </w:tc>
        <w:tc>
          <w:tcPr>
            <w:tcW w:w="1786" w:type="dxa"/>
            <w:tcBorders>
              <w:top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4563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3265" w:type="dxa"/>
            <w:tcBorders>
              <w:bottom w:val="single" w:color="auto" w:sz="12"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R</w:t>
            </w:r>
            <w:r>
              <w:rPr>
                <w:rFonts w:ascii="Times New Roman" w:hAnsi="Times New Roman" w:eastAsia="宋体" w:cs="Times New Roman"/>
                <w:kern w:val="0"/>
                <w:sz w:val="18"/>
                <w:szCs w:val="18"/>
                <w:vertAlign w:val="superscript"/>
              </w:rPr>
              <w:t>2</w:t>
            </w:r>
          </w:p>
        </w:tc>
        <w:tc>
          <w:tcPr>
            <w:tcW w:w="1784"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0.91</w:t>
            </w:r>
            <w:r>
              <w:rPr>
                <w:rFonts w:hint="eastAsia" w:ascii="Times New Roman" w:hAnsi="Times New Roman" w:eastAsia="宋体" w:cs="Times New Roman"/>
                <w:kern w:val="0"/>
                <w:sz w:val="18"/>
                <w:szCs w:val="18"/>
              </w:rPr>
              <w:t>34</w:t>
            </w:r>
          </w:p>
        </w:tc>
        <w:tc>
          <w:tcPr>
            <w:tcW w:w="1784"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0.905</w:t>
            </w:r>
            <w:r>
              <w:rPr>
                <w:rFonts w:hint="eastAsia" w:ascii="Times New Roman" w:hAnsi="Times New Roman" w:eastAsia="宋体" w:cs="Times New Roman"/>
                <w:kern w:val="0"/>
                <w:sz w:val="18"/>
                <w:szCs w:val="18"/>
              </w:rPr>
              <w:t>7</w:t>
            </w:r>
          </w:p>
        </w:tc>
        <w:tc>
          <w:tcPr>
            <w:tcW w:w="1786"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0.9054</w:t>
            </w:r>
          </w:p>
        </w:tc>
      </w:tr>
    </w:tbl>
    <w:p>
      <w:pPr>
        <w:ind w:firstLine="332" w:firstLineChars="200"/>
        <w:rPr>
          <w:rFonts w:hint="eastAsia"/>
        </w:rPr>
      </w:pPr>
      <w:r>
        <w:rPr>
          <w:rFonts w:ascii="宋体" w:hAnsi="宋体" w:eastAsia="宋体" w:cs="Times New Roman"/>
          <w:sz w:val="18"/>
          <w:szCs w:val="18"/>
        </w:rPr>
        <w:t>注：</w:t>
      </w:r>
      <w:r>
        <w:rPr>
          <w:rFonts w:hint="eastAsia" w:ascii="宋体" w:hAnsi="宋体" w:eastAsia="宋体" w:cs="Times New Roman"/>
          <w:sz w:val="18"/>
          <w:szCs w:val="18"/>
        </w:rPr>
        <w:t>①</w:t>
      </w:r>
      <w:r>
        <w:rPr>
          <w:rFonts w:ascii="Times New Roman" w:hAnsi="Times New Roman" w:eastAsia="宋体" w:cs="Times New Roman"/>
          <w:sz w:val="18"/>
          <w:szCs w:val="18"/>
        </w:rPr>
        <w:t>***</w:t>
      </w:r>
      <w:r>
        <w:rPr>
          <w:rFonts w:ascii="宋体" w:hAnsi="宋体" w:eastAsia="宋体" w:cs="Times New Roman"/>
          <w:sz w:val="18"/>
          <w:szCs w:val="18"/>
        </w:rPr>
        <w:t>、</w:t>
      </w:r>
      <w:r>
        <w:rPr>
          <w:rFonts w:ascii="Times New Roman" w:hAnsi="Times New Roman" w:eastAsia="宋体" w:cs="Times New Roman"/>
          <w:sz w:val="18"/>
          <w:szCs w:val="18"/>
        </w:rPr>
        <w:t>**</w:t>
      </w:r>
      <w:r>
        <w:rPr>
          <w:rFonts w:ascii="宋体" w:hAnsi="宋体" w:eastAsia="宋体" w:cs="Times New Roman"/>
          <w:sz w:val="18"/>
          <w:szCs w:val="18"/>
        </w:rPr>
        <w:t>和</w:t>
      </w:r>
      <w:r>
        <w:rPr>
          <w:rFonts w:ascii="Times New Roman" w:hAnsi="Times New Roman" w:eastAsia="宋体" w:cs="Times New Roman"/>
          <w:sz w:val="18"/>
          <w:szCs w:val="18"/>
        </w:rPr>
        <w:t>*</w:t>
      </w:r>
      <w:r>
        <w:rPr>
          <w:rFonts w:ascii="宋体" w:hAnsi="宋体" w:eastAsia="宋体" w:cs="Times New Roman"/>
          <w:sz w:val="18"/>
          <w:szCs w:val="18"/>
        </w:rPr>
        <w:t>分别表示</w:t>
      </w:r>
      <w:r>
        <w:rPr>
          <w:rFonts w:ascii="Times New Roman" w:hAnsi="Times New Roman" w:eastAsia="宋体" w:cs="Times New Roman"/>
          <w:sz w:val="18"/>
          <w:szCs w:val="18"/>
        </w:rPr>
        <w:t>1%</w:t>
      </w:r>
      <w:r>
        <w:rPr>
          <w:rFonts w:ascii="宋体" w:hAnsi="宋体" w:eastAsia="宋体" w:cs="Times New Roman"/>
          <w:sz w:val="18"/>
          <w:szCs w:val="18"/>
        </w:rPr>
        <w:t>、</w:t>
      </w:r>
      <w:r>
        <w:rPr>
          <w:rFonts w:ascii="Times New Roman" w:hAnsi="Times New Roman" w:eastAsia="宋体" w:cs="Times New Roman"/>
          <w:sz w:val="18"/>
          <w:szCs w:val="18"/>
        </w:rPr>
        <w:t>5%</w:t>
      </w:r>
      <w:r>
        <w:rPr>
          <w:rFonts w:ascii="宋体" w:hAnsi="宋体" w:eastAsia="宋体" w:cs="Times New Roman"/>
          <w:sz w:val="18"/>
          <w:szCs w:val="18"/>
        </w:rPr>
        <w:t>和</w:t>
      </w:r>
      <w:r>
        <w:rPr>
          <w:rFonts w:ascii="Times New Roman" w:hAnsi="Times New Roman" w:eastAsia="宋体" w:cs="Times New Roman"/>
          <w:sz w:val="18"/>
          <w:szCs w:val="18"/>
        </w:rPr>
        <w:t>10%</w:t>
      </w:r>
      <w:r>
        <w:rPr>
          <w:rFonts w:ascii="宋体" w:hAnsi="宋体" w:eastAsia="宋体" w:cs="Times New Roman"/>
          <w:sz w:val="18"/>
          <w:szCs w:val="18"/>
        </w:rPr>
        <w:t>的显著性水平；</w:t>
      </w:r>
      <w:r>
        <w:rPr>
          <w:rFonts w:hint="eastAsia" w:ascii="宋体" w:hAnsi="宋体" w:eastAsia="宋体" w:cs="Times New Roman"/>
          <w:sz w:val="18"/>
          <w:szCs w:val="18"/>
        </w:rPr>
        <w:t>②</w:t>
      </w:r>
      <w:r>
        <w:rPr>
          <w:rFonts w:ascii="宋体" w:hAnsi="宋体" w:eastAsia="宋体" w:cs="Times New Roman"/>
          <w:sz w:val="18"/>
          <w:szCs w:val="18"/>
        </w:rPr>
        <w:t>括号中的数值为聚类到县域层面的稳健标准误。</w:t>
      </w:r>
    </w:p>
    <w:p>
      <w:pPr>
        <w:bidi w:val="0"/>
      </w:pPr>
    </w:p>
    <w:p>
      <w:pPr>
        <w:pStyle w:val="2"/>
      </w:pPr>
    </w:p>
    <w:p>
      <w:pPr>
        <w:pStyle w:val="9"/>
        <w:keepNext/>
        <w:ind w:firstLine="332" w:firstLineChars="200"/>
        <w:rPr>
          <w:rFonts w:ascii="Times New Roman" w:hAnsi="Times New Roman" w:cs="Times New Roman"/>
          <w:sz w:val="18"/>
          <w:szCs w:val="18"/>
        </w:rPr>
      </w:pPr>
      <w:r>
        <w:rPr>
          <w:rFonts w:ascii="Times New Roman" w:hAnsi="Times New Roman" w:cs="Times New Roman"/>
          <w:sz w:val="18"/>
          <w:szCs w:val="18"/>
        </w:rPr>
        <w:t>附表</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附表 \* ARABIC </w:instrText>
      </w:r>
      <w:r>
        <w:rPr>
          <w:rFonts w:ascii="Times New Roman" w:hAnsi="Times New Roman" w:cs="Times New Roman"/>
          <w:sz w:val="18"/>
          <w:szCs w:val="18"/>
        </w:rPr>
        <w:fldChar w:fldCharType="separate"/>
      </w:r>
      <w:r>
        <w:rPr>
          <w:rFonts w:ascii="Times New Roman" w:hAnsi="Times New Roman" w:cs="Times New Roman"/>
          <w:sz w:val="18"/>
          <w:szCs w:val="18"/>
        </w:rPr>
        <w:t>10</w:t>
      </w:r>
      <w:r>
        <w:rPr>
          <w:rFonts w:ascii="Times New Roman" w:hAnsi="Times New Roman" w:cs="Times New Roman"/>
          <w:sz w:val="18"/>
          <w:szCs w:val="18"/>
        </w:rPr>
        <w:fldChar w:fldCharType="end"/>
      </w:r>
      <w:r>
        <w:rPr>
          <w:rFonts w:hint="eastAsia" w:ascii="Times New Roman" w:hAnsi="Times New Roman" w:cs="Times New Roman"/>
          <w:sz w:val="18"/>
          <w:szCs w:val="18"/>
        </w:rPr>
        <w:t xml:space="preserve">                   基于县域存贷款水平的调节效应回归结果</w:t>
      </w:r>
    </w:p>
    <w:tbl>
      <w:tblPr>
        <w:tblStyle w:val="34"/>
        <w:tblW w:w="8619" w:type="dxa"/>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2"/>
        <w:gridCol w:w="3343"/>
        <w:gridCol w:w="2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62" w:type="dxa"/>
            <w:vMerge w:val="restart"/>
            <w:tcBorders>
              <w:top w:val="single" w:color="auto" w:sz="12" w:space="0"/>
              <w:left w:val="nil"/>
              <w:right w:val="single" w:color="auto" w:sz="4" w:space="0"/>
            </w:tcBorders>
            <w:vAlign w:val="center"/>
          </w:tcPr>
          <w:p>
            <w:pPr>
              <w:spacing w:line="300" w:lineRule="exact"/>
              <w:jc w:val="center"/>
              <w:rPr>
                <w:rFonts w:hint="eastAsia" w:ascii="宋体" w:hAnsi="宋体" w:eastAsia="宋体" w:cs="Times New Roman"/>
                <w:kern w:val="0"/>
                <w:sz w:val="18"/>
                <w:szCs w:val="18"/>
              </w:rPr>
            </w:pPr>
            <w:r>
              <w:rPr>
                <w:rFonts w:hint="eastAsia" w:ascii="宋体" w:hAnsi="宋体" w:eastAsia="宋体"/>
                <w:kern w:val="0"/>
                <w:sz w:val="18"/>
                <w:szCs w:val="18"/>
              </w:rPr>
              <w:t>变量</w:t>
            </w:r>
          </w:p>
        </w:tc>
        <w:tc>
          <w:tcPr>
            <w:tcW w:w="6057" w:type="dxa"/>
            <w:gridSpan w:val="2"/>
            <w:tcBorders>
              <w:top w:val="single" w:color="auto" w:sz="12" w:space="0"/>
              <w:left w:val="single" w:color="auto" w:sz="4" w:space="0"/>
              <w:bottom w:val="single" w:color="auto" w:sz="4" w:space="0"/>
              <w:right w:val="nil"/>
            </w:tcBorders>
          </w:tcPr>
          <w:p>
            <w:pPr>
              <w:spacing w:line="300" w:lineRule="exact"/>
              <w:jc w:val="center"/>
              <w:rPr>
                <w:rFonts w:hint="eastAsia" w:ascii="宋体" w:hAnsi="宋体" w:eastAsia="宋体" w:cs="Times New Roman"/>
                <w:kern w:val="0"/>
                <w:sz w:val="18"/>
                <w:szCs w:val="18"/>
              </w:rPr>
            </w:pPr>
            <w:r>
              <w:rPr>
                <w:rFonts w:ascii="宋体" w:hAnsi="宋体" w:eastAsia="宋体"/>
                <w:kern w:val="0"/>
                <w:sz w:val="18"/>
                <w:szCs w:val="18"/>
              </w:rPr>
              <w:t>县域经济增长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62" w:type="dxa"/>
            <w:vMerge w:val="continue"/>
            <w:tcBorders>
              <w:left w:val="nil"/>
              <w:bottom w:val="single" w:color="auto" w:sz="4" w:space="0"/>
              <w:right w:val="single" w:color="auto" w:sz="4" w:space="0"/>
            </w:tcBorders>
          </w:tcPr>
          <w:p>
            <w:pPr>
              <w:spacing w:line="300" w:lineRule="exact"/>
              <w:jc w:val="center"/>
              <w:rPr>
                <w:rFonts w:hint="eastAsia" w:ascii="宋体" w:hAnsi="宋体" w:eastAsia="宋体" w:cs="Times New Roman"/>
                <w:kern w:val="0"/>
                <w:sz w:val="18"/>
                <w:szCs w:val="18"/>
              </w:rPr>
            </w:pPr>
          </w:p>
        </w:tc>
        <w:tc>
          <w:tcPr>
            <w:tcW w:w="3343" w:type="dxa"/>
            <w:tcBorders>
              <w:top w:val="single" w:color="auto" w:sz="4" w:space="0"/>
              <w:left w:val="single" w:color="auto" w:sz="4" w:space="0"/>
              <w:bottom w:val="single" w:color="auto" w:sz="4" w:space="0"/>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w:t>
            </w:r>
          </w:p>
        </w:tc>
        <w:tc>
          <w:tcPr>
            <w:tcW w:w="2714" w:type="dxa"/>
            <w:tcBorders>
              <w:top w:val="single" w:color="auto" w:sz="4" w:space="0"/>
              <w:left w:val="nil"/>
              <w:bottom w:val="single" w:color="auto" w:sz="4" w:space="0"/>
              <w:right w:val="nil"/>
            </w:tcBorders>
          </w:tcPr>
          <w:p>
            <w:pPr>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62" w:type="dxa"/>
            <w:tcBorders>
              <w:top w:val="single" w:color="auto" w:sz="4" w:space="0"/>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资本市场服务下沉</w:t>
            </w:r>
          </w:p>
        </w:tc>
        <w:tc>
          <w:tcPr>
            <w:tcW w:w="3343" w:type="dxa"/>
            <w:tcBorders>
              <w:top w:val="single" w:color="auto" w:sz="4" w:space="0"/>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2.2101</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（0.6969）</w:t>
            </w:r>
          </w:p>
        </w:tc>
        <w:tc>
          <w:tcPr>
            <w:tcW w:w="2714" w:type="dxa"/>
            <w:tcBorders>
              <w:top w:val="single" w:color="auto" w:sz="4" w:space="0"/>
              <w:left w:val="nil"/>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1.7711</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（0.4313）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62"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资本市场服务下沉</w:t>
            </w:r>
            <w:r>
              <w:rPr>
                <w:rFonts w:hint="eastAsia" w:ascii="Times New Roman" w:hAnsi="Times New Roman" w:eastAsia="宋体" w:cs="Times New Roman"/>
                <w:kern w:val="0"/>
                <w:sz w:val="18"/>
                <w:szCs w:val="18"/>
              </w:rPr>
              <w:t>×存款水平</w:t>
            </w:r>
          </w:p>
        </w:tc>
        <w:tc>
          <w:tcPr>
            <w:tcW w:w="3343"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ascii="Times New Roman" w:hAnsi="Times New Roman" w:eastAsia="宋体" w:cs="Times New Roman"/>
                <w:kern w:val="0"/>
                <w:sz w:val="18"/>
                <w:szCs w:val="18"/>
              </w:rPr>
              <w:t>0.1414</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（0.0473）</w:t>
            </w:r>
          </w:p>
        </w:tc>
        <w:tc>
          <w:tcPr>
            <w:tcW w:w="2714"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62"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资本市场服务下沉</w:t>
            </w:r>
            <w:r>
              <w:rPr>
                <w:rFonts w:hint="eastAsia" w:ascii="Times New Roman" w:hAnsi="Times New Roman" w:eastAsia="宋体" w:cs="Times New Roman"/>
                <w:kern w:val="0"/>
                <w:sz w:val="18"/>
                <w:szCs w:val="18"/>
              </w:rPr>
              <w:t>×贷款水平</w:t>
            </w:r>
          </w:p>
        </w:tc>
        <w:tc>
          <w:tcPr>
            <w:tcW w:w="3343"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p>
        </w:tc>
        <w:tc>
          <w:tcPr>
            <w:tcW w:w="2714"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ascii="Times New Roman" w:hAnsi="Times New Roman" w:eastAsia="宋体" w:cs="Times New Roman"/>
                <w:kern w:val="0"/>
                <w:sz w:val="18"/>
                <w:szCs w:val="18"/>
              </w:rPr>
              <w:t>0.1134</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62"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农村居民收入</w:t>
            </w:r>
          </w:p>
        </w:tc>
        <w:tc>
          <w:tcPr>
            <w:tcW w:w="3343"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0.4347</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（0.0881）</w:t>
            </w:r>
          </w:p>
        </w:tc>
        <w:tc>
          <w:tcPr>
            <w:tcW w:w="2714"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0.4362</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62"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存款水平</w:t>
            </w:r>
          </w:p>
        </w:tc>
        <w:tc>
          <w:tcPr>
            <w:tcW w:w="3343"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0.1761</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（0.0611）</w:t>
            </w:r>
          </w:p>
        </w:tc>
        <w:tc>
          <w:tcPr>
            <w:tcW w:w="2714"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0.1726</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（0.0609）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62"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贷款水平</w:t>
            </w:r>
          </w:p>
        </w:tc>
        <w:tc>
          <w:tcPr>
            <w:tcW w:w="3343"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0.0046（0.0340）</w:t>
            </w:r>
          </w:p>
        </w:tc>
        <w:tc>
          <w:tcPr>
            <w:tcW w:w="2714"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0.0079（0.0340）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62"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医疗水平</w:t>
            </w:r>
          </w:p>
        </w:tc>
        <w:tc>
          <w:tcPr>
            <w:tcW w:w="3343"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ascii="Times New Roman" w:hAnsi="Times New Roman" w:eastAsia="宋体" w:cs="Times New Roman"/>
                <w:kern w:val="0"/>
                <w:sz w:val="18"/>
                <w:szCs w:val="18"/>
              </w:rPr>
              <w:t>0.0207（0.0308）</w:t>
            </w:r>
          </w:p>
        </w:tc>
        <w:tc>
          <w:tcPr>
            <w:tcW w:w="2714"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ascii="Times New Roman" w:hAnsi="Times New Roman" w:eastAsia="宋体" w:cs="Times New Roman"/>
                <w:kern w:val="0"/>
                <w:sz w:val="18"/>
                <w:szCs w:val="18"/>
              </w:rPr>
              <w:t>0.0192（0.0309）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62"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教育水平</w:t>
            </w:r>
          </w:p>
        </w:tc>
        <w:tc>
          <w:tcPr>
            <w:tcW w:w="3343"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ascii="Times New Roman" w:hAnsi="Times New Roman" w:eastAsia="宋体" w:cs="Times New Roman"/>
                <w:kern w:val="0"/>
                <w:sz w:val="18"/>
                <w:szCs w:val="18"/>
              </w:rPr>
              <w:t>0.1630</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（0.0440）</w:t>
            </w:r>
          </w:p>
        </w:tc>
        <w:tc>
          <w:tcPr>
            <w:tcW w:w="2714"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ascii="Times New Roman" w:hAnsi="Times New Roman" w:eastAsia="宋体" w:cs="Times New Roman"/>
                <w:kern w:val="0"/>
                <w:sz w:val="18"/>
                <w:szCs w:val="18"/>
              </w:rPr>
              <w:t>0.1601</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62"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设施农业发展水平</w:t>
            </w:r>
          </w:p>
        </w:tc>
        <w:tc>
          <w:tcPr>
            <w:tcW w:w="3343"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ascii="Times New Roman" w:hAnsi="Times New Roman" w:eastAsia="宋体" w:cs="Times New Roman"/>
                <w:kern w:val="0"/>
                <w:sz w:val="18"/>
                <w:szCs w:val="18"/>
              </w:rPr>
              <w:t>0.0035（0.0073）</w:t>
            </w:r>
          </w:p>
        </w:tc>
        <w:tc>
          <w:tcPr>
            <w:tcW w:w="2714"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Cambria Math" w:hAnsi="Cambria Math" w:cs="Cambria Math"/>
                <w:kern w:val="0"/>
                <w:sz w:val="18"/>
                <w:szCs w:val="18"/>
              </w:rPr>
              <w:t>−</w:t>
            </w:r>
            <w:r>
              <w:rPr>
                <w:rFonts w:ascii="Times New Roman" w:hAnsi="Times New Roman" w:eastAsia="宋体" w:cs="Times New Roman"/>
                <w:kern w:val="0"/>
                <w:sz w:val="18"/>
                <w:szCs w:val="18"/>
              </w:rPr>
              <w:t>0.0037（0.0073）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62"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政府干预程度</w:t>
            </w:r>
          </w:p>
        </w:tc>
        <w:tc>
          <w:tcPr>
            <w:tcW w:w="3343"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0.2425</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（0.0503）</w:t>
            </w:r>
          </w:p>
        </w:tc>
        <w:tc>
          <w:tcPr>
            <w:tcW w:w="2714"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0.2425</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62"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消费水平</w:t>
            </w:r>
          </w:p>
        </w:tc>
        <w:tc>
          <w:tcPr>
            <w:tcW w:w="3343"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0.1874</w:t>
            </w:r>
            <w:r>
              <w:rPr>
                <w:rFonts w:ascii="Times New Roman" w:hAnsi="Times New Roman" w:eastAsia="宋体" w:cs="Times New Roman"/>
                <w:kern w:val="0"/>
                <w:sz w:val="18"/>
                <w:szCs w:val="18"/>
                <w:vertAlign w:val="superscript"/>
              </w:rPr>
              <w:t>***</w:t>
            </w:r>
            <w:r>
              <w:rPr>
                <w:rFonts w:ascii="Times New Roman" w:hAnsi="Times New Roman" w:eastAsia="宋体" w:cs="Times New Roman"/>
                <w:kern w:val="0"/>
                <w:sz w:val="18"/>
                <w:szCs w:val="18"/>
              </w:rPr>
              <w:t>（0.0339）</w:t>
            </w:r>
          </w:p>
        </w:tc>
        <w:tc>
          <w:tcPr>
            <w:tcW w:w="2714"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0.1874（0.0339）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62"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常数项</w:t>
            </w:r>
          </w:p>
        </w:tc>
        <w:tc>
          <w:tcPr>
            <w:tcW w:w="3343"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0.1951（1.2261）</w:t>
            </w:r>
          </w:p>
        </w:tc>
        <w:tc>
          <w:tcPr>
            <w:tcW w:w="2714"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0.1471（1.2236）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62"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县域</w:t>
            </w:r>
            <w:r>
              <w:rPr>
                <w:rFonts w:ascii="Times New Roman" w:hAnsi="Times New Roman" w:eastAsia="宋体" w:cs="Times New Roman"/>
                <w:kern w:val="0"/>
                <w:sz w:val="18"/>
                <w:szCs w:val="18"/>
              </w:rPr>
              <w:t>固定效应</w:t>
            </w:r>
          </w:p>
        </w:tc>
        <w:tc>
          <w:tcPr>
            <w:tcW w:w="3343"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2714"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62"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年份</w:t>
            </w:r>
            <w:r>
              <w:rPr>
                <w:rFonts w:ascii="Times New Roman" w:hAnsi="Times New Roman" w:eastAsia="宋体" w:cs="Times New Roman"/>
                <w:kern w:val="0"/>
                <w:sz w:val="18"/>
                <w:szCs w:val="18"/>
              </w:rPr>
              <w:t>固定效应</w:t>
            </w:r>
          </w:p>
        </w:tc>
        <w:tc>
          <w:tcPr>
            <w:tcW w:w="3343"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c>
          <w:tcPr>
            <w:tcW w:w="2714"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已控制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62" w:type="dxa"/>
            <w:tcBorders>
              <w:top w:val="nil"/>
              <w:left w:val="nil"/>
              <w:bottom w:val="nil"/>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观测值数</w:t>
            </w:r>
          </w:p>
        </w:tc>
        <w:tc>
          <w:tcPr>
            <w:tcW w:w="3343" w:type="dxa"/>
            <w:tcBorders>
              <w:top w:val="nil"/>
              <w:left w:val="single" w:color="auto" w:sz="4" w:space="0"/>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4563</w:t>
            </w:r>
          </w:p>
        </w:tc>
        <w:tc>
          <w:tcPr>
            <w:tcW w:w="2714" w:type="dxa"/>
            <w:tcBorders>
              <w:top w:val="nil"/>
              <w:left w:val="nil"/>
              <w:bottom w:val="nil"/>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562" w:type="dxa"/>
            <w:tcBorders>
              <w:top w:val="nil"/>
              <w:left w:val="nil"/>
              <w:bottom w:val="single" w:color="auto" w:sz="12" w:space="0"/>
              <w:right w:val="single" w:color="auto" w:sz="4" w:space="0"/>
            </w:tcBorders>
          </w:tcPr>
          <w:p>
            <w:pPr>
              <w:spacing w:line="30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R2</w:t>
            </w:r>
          </w:p>
        </w:tc>
        <w:tc>
          <w:tcPr>
            <w:tcW w:w="3343" w:type="dxa"/>
            <w:tcBorders>
              <w:top w:val="nil"/>
              <w:left w:val="single" w:color="auto" w:sz="4" w:space="0"/>
              <w:bottom w:val="single" w:color="auto" w:sz="12" w:space="0"/>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0.9056</w:t>
            </w:r>
          </w:p>
        </w:tc>
        <w:tc>
          <w:tcPr>
            <w:tcW w:w="2714" w:type="dxa"/>
            <w:tcBorders>
              <w:top w:val="nil"/>
              <w:left w:val="nil"/>
              <w:bottom w:val="single" w:color="auto" w:sz="12" w:space="0"/>
              <w:right w:val="nil"/>
            </w:tcBorders>
          </w:tcPr>
          <w:p>
            <w:pPr>
              <w:spacing w:line="3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0.9057</w:t>
            </w:r>
          </w:p>
        </w:tc>
      </w:tr>
    </w:tbl>
    <w:p>
      <w:pPr>
        <w:ind w:firstLine="332" w:firstLineChars="200"/>
        <w:rPr>
          <w:rFonts w:hint="eastAsia" w:ascii="宋体" w:hAnsi="宋体" w:eastAsia="宋体" w:cs="Times New Roman"/>
          <w:szCs w:val="18"/>
        </w:rPr>
      </w:pPr>
      <w:r>
        <w:rPr>
          <w:rFonts w:ascii="宋体" w:hAnsi="宋体" w:eastAsia="宋体" w:cs="Times New Roman"/>
          <w:sz w:val="18"/>
          <w:szCs w:val="18"/>
        </w:rPr>
        <w:t>注：</w:t>
      </w:r>
      <w:r>
        <w:rPr>
          <w:rFonts w:hint="eastAsia" w:ascii="宋体" w:hAnsi="宋体" w:eastAsia="宋体" w:cs="Times New Roman"/>
          <w:sz w:val="18"/>
          <w:szCs w:val="18"/>
        </w:rPr>
        <w:t>①</w:t>
      </w:r>
      <w:r>
        <w:rPr>
          <w:rFonts w:ascii="Times New Roman" w:hAnsi="Times New Roman" w:eastAsia="宋体" w:cs="Times New Roman"/>
          <w:sz w:val="18"/>
          <w:szCs w:val="18"/>
        </w:rPr>
        <w:t>***</w:t>
      </w:r>
      <w:r>
        <w:rPr>
          <w:rFonts w:ascii="宋体" w:hAnsi="宋体" w:eastAsia="宋体" w:cs="Times New Roman"/>
          <w:sz w:val="18"/>
          <w:szCs w:val="18"/>
        </w:rPr>
        <w:t>分别表示</w:t>
      </w:r>
      <w:r>
        <w:rPr>
          <w:rFonts w:ascii="Times New Roman" w:hAnsi="Times New Roman" w:eastAsia="宋体" w:cs="Times New Roman"/>
          <w:sz w:val="18"/>
          <w:szCs w:val="18"/>
        </w:rPr>
        <w:t>1%</w:t>
      </w:r>
      <w:r>
        <w:rPr>
          <w:rFonts w:ascii="宋体" w:hAnsi="宋体" w:eastAsia="宋体" w:cs="Times New Roman"/>
          <w:sz w:val="18"/>
          <w:szCs w:val="18"/>
        </w:rPr>
        <w:t>的显著性水平；</w:t>
      </w:r>
      <w:r>
        <w:rPr>
          <w:rFonts w:hint="eastAsia" w:ascii="宋体" w:hAnsi="宋体" w:eastAsia="宋体" w:cs="Times New Roman"/>
          <w:sz w:val="18"/>
          <w:szCs w:val="18"/>
        </w:rPr>
        <w:t>②</w:t>
      </w:r>
      <w:r>
        <w:rPr>
          <w:rFonts w:ascii="宋体" w:hAnsi="宋体" w:eastAsia="宋体" w:cs="Times New Roman"/>
          <w:sz w:val="18"/>
          <w:szCs w:val="18"/>
        </w:rPr>
        <w:t>括号中的数值为聚类到县域层面的稳健标准误。</w:t>
      </w:r>
    </w:p>
    <w:p>
      <w:pPr>
        <w:pStyle w:val="96"/>
        <w:ind w:firstLine="166" w:firstLineChars="100"/>
        <w:rPr>
          <w:rFonts w:hint="eastAsia" w:ascii="宋体" w:hAnsi="宋体"/>
          <w:b/>
          <w:bCs/>
          <w:color w:val="000000"/>
          <w:sz w:val="18"/>
          <w:szCs w:val="18"/>
        </w:rPr>
      </w:pPr>
    </w:p>
    <w:p>
      <w:pPr>
        <w:keepNext w:val="0"/>
        <w:keepLines w:val="0"/>
        <w:widowControl/>
        <w:suppressLineNumbers w:val="0"/>
        <w:jc w:val="left"/>
        <w:rPr>
          <w:rFonts w:ascii="Calibri" w:hAnsi="Calibri" w:eastAsia="宋体"/>
        </w:rPr>
      </w:pPr>
      <w:r>
        <w:rPr>
          <w:rFonts w:hint="eastAsia" w:ascii="宋体" w:hAnsi="宋体" w:eastAsia="宋体" w:cs="宋体"/>
          <w:b/>
          <w:bCs/>
          <w:color w:val="FF0000"/>
          <w:kern w:val="0"/>
          <w:sz w:val="21"/>
          <w:szCs w:val="21"/>
          <w:lang w:val="en-US" w:eastAsia="zh-CN" w:bidi="ar"/>
        </w:rPr>
        <w:t>注：该附录是本刊所发表论文的组成部分，同样被视为作者在本刊公开发表的内容。如研究中使用该附录中的内容，请务必在研究成果上注明引文和下载附件出处</w:t>
      </w:r>
      <w:r>
        <w:rPr>
          <w:rFonts w:hint="eastAsia" w:ascii="宋体" w:hAnsi="宋体" w:eastAsia="宋体" w:cs="宋体"/>
          <w:color w:val="3C3C3C"/>
          <w:kern w:val="0"/>
          <w:sz w:val="21"/>
          <w:szCs w:val="21"/>
          <w:lang w:val="en-US" w:eastAsia="zh-CN" w:bidi="ar"/>
        </w:rPr>
        <w:t>。</w:t>
      </w:r>
      <w:r>
        <w:rPr>
          <w:rFonts w:hint="eastAsia" w:ascii="宋体" w:hAnsi="宋体" w:eastAsia="宋体" w:cs="宋体"/>
          <w:b/>
          <w:bCs/>
          <w:color w:val="FF0000"/>
          <w:kern w:val="0"/>
          <w:sz w:val="21"/>
          <w:szCs w:val="21"/>
          <w:lang w:val="en-US" w:eastAsia="zh-CN" w:bidi="ar"/>
        </w:rPr>
        <w:t xml:space="preserve"> </w:t>
      </w:r>
    </w:p>
    <w:p>
      <w:pPr>
        <w:keepNext w:val="0"/>
        <w:keepLines w:val="0"/>
        <w:widowControl/>
        <w:suppressLineNumbers w:val="0"/>
        <w:jc w:val="left"/>
        <w:rPr>
          <w:rFonts w:ascii="Calibri" w:hAnsi="Calibri" w:eastAsia="宋体"/>
        </w:rPr>
      </w:pPr>
      <w:r>
        <w:rPr>
          <w:rFonts w:hint="eastAsia" w:ascii="宋体" w:hAnsi="宋体" w:eastAsia="宋体" w:cs="宋体"/>
          <w:color w:val="3C3C3C"/>
          <w:kern w:val="0"/>
          <w:sz w:val="21"/>
          <w:szCs w:val="21"/>
          <w:lang w:val="en-US" w:eastAsia="zh-CN" w:bidi="ar"/>
        </w:rPr>
        <w:t xml:space="preserve">引用示例： </w:t>
      </w:r>
    </w:p>
    <w:p>
      <w:pPr>
        <w:keepNext w:val="0"/>
        <w:keepLines w:val="0"/>
        <w:widowControl/>
        <w:suppressLineNumbers w:val="0"/>
        <w:jc w:val="left"/>
        <w:rPr>
          <w:rFonts w:ascii="Calibri" w:hAnsi="Calibri" w:eastAsia="宋体"/>
        </w:rPr>
      </w:pPr>
      <w:r>
        <w:rPr>
          <w:rFonts w:ascii="黑体" w:hAnsi="宋体" w:eastAsia="黑体" w:cs="黑体"/>
          <w:color w:val="000000"/>
          <w:kern w:val="0"/>
          <w:sz w:val="21"/>
          <w:szCs w:val="21"/>
          <w:lang w:val="en-US" w:eastAsia="zh-CN" w:bidi="ar"/>
        </w:rPr>
        <w:t>参考文献引用范例</w:t>
      </w:r>
      <w:r>
        <w:rPr>
          <w:rFonts w:hint="eastAsia" w:ascii="Arial" w:hAnsi="Arial" w:eastAsia="宋体" w:cs="Arial"/>
          <w:i w:val="0"/>
          <w:iCs w:val="0"/>
          <w:caps w:val="0"/>
          <w:color w:val="333333"/>
          <w:spacing w:val="0"/>
          <w:sz w:val="21"/>
          <w:szCs w:val="21"/>
          <w:shd w:val="clear" w:fill="FFFFFF"/>
          <w:lang w:val="en-US" w:eastAsia="zh-CN"/>
        </w:rPr>
        <w:t>（具体请根据目标投稿期刊对应调整体例</w:t>
      </w:r>
      <w:r>
        <w:rPr>
          <w:rFonts w:hint="eastAsia" w:ascii="Arial" w:hAnsi="Arial" w:cs="Arial"/>
          <w:i w:val="0"/>
          <w:iCs w:val="0"/>
          <w:caps w:val="0"/>
          <w:color w:val="333333"/>
          <w:spacing w:val="0"/>
          <w:sz w:val="21"/>
          <w:szCs w:val="21"/>
          <w:shd w:val="clear" w:fill="FFFFFF"/>
          <w:lang w:val="en-US" w:eastAsia="zh-CN"/>
        </w:rPr>
        <w:t>）</w:t>
      </w:r>
      <w:r>
        <w:rPr>
          <w:rFonts w:hint="eastAsia" w:ascii="Arial" w:hAnsi="Arial" w:eastAsia="宋体" w:cs="Arial"/>
          <w:i w:val="0"/>
          <w:iCs w:val="0"/>
          <w:caps w:val="0"/>
          <w:color w:val="333333"/>
          <w:spacing w:val="0"/>
          <w:sz w:val="21"/>
          <w:szCs w:val="21"/>
          <w:shd w:val="clear" w:fill="FFFFFF"/>
          <w:lang w:val="en-US" w:eastAsia="zh-CN"/>
        </w:rPr>
        <w:t xml:space="preserve">： </w:t>
      </w:r>
    </w:p>
    <w:p>
      <w:pPr>
        <w:keepNext w:val="0"/>
        <w:keepLines w:val="0"/>
        <w:widowControl/>
        <w:suppressLineNumbers w:val="0"/>
        <w:jc w:val="left"/>
        <w:rPr>
          <w:rFonts w:hint="default" w:ascii="Times New Roman" w:hAnsi="Times New Roman" w:eastAsia="宋体" w:cs="Times New Roman"/>
          <w:color w:val="000000"/>
          <w:spacing w:val="-2"/>
          <w:kern w:val="0"/>
          <w:sz w:val="21"/>
          <w:szCs w:val="21"/>
          <w:lang w:val="en-US" w:eastAsia="zh-CN" w:bidi="ar"/>
        </w:rPr>
      </w:pPr>
      <w:r>
        <w:rPr>
          <w:rFonts w:hint="eastAsia" w:ascii="宋体" w:hAnsi="宋体" w:eastAsia="宋体" w:cs="宋体"/>
          <w:color w:val="000000"/>
          <w:spacing w:val="-2"/>
          <w:kern w:val="0"/>
          <w:sz w:val="21"/>
          <w:szCs w:val="21"/>
          <w:lang w:val="en-US" w:eastAsia="zh-CN" w:bidi="ar"/>
        </w:rPr>
        <w:t>[</w:t>
      </w:r>
      <w:r>
        <w:rPr>
          <w:rFonts w:hint="default" w:ascii="Times New Roman" w:hAnsi="Times New Roman" w:eastAsia="宋体" w:cs="Times New Roman"/>
          <w:color w:val="000000"/>
          <w:spacing w:val="-2"/>
          <w:kern w:val="0"/>
          <w:sz w:val="21"/>
          <w:szCs w:val="21"/>
          <w:lang w:val="en-US" w:eastAsia="zh-CN" w:bidi="ar"/>
        </w:rPr>
        <w:t>1</w:t>
      </w:r>
      <w:r>
        <w:rPr>
          <w:rFonts w:hint="eastAsia" w:ascii="宋体" w:hAnsi="宋体" w:eastAsia="宋体" w:cs="宋体"/>
          <w:color w:val="000000"/>
          <w:spacing w:val="-2"/>
          <w:kern w:val="0"/>
          <w:sz w:val="21"/>
          <w:szCs w:val="21"/>
          <w:lang w:val="en-US" w:eastAsia="zh-CN" w:bidi="ar"/>
        </w:rPr>
        <w:t>]</w:t>
      </w:r>
      <w:r>
        <w:rPr>
          <w:rFonts w:ascii="Arial" w:hAnsi="Arial" w:eastAsia="宋体" w:cs="Arial"/>
          <w:i w:val="0"/>
          <w:iCs w:val="0"/>
          <w:caps w:val="0"/>
          <w:color w:val="333333"/>
          <w:spacing w:val="-2"/>
          <w:sz w:val="21"/>
          <w:szCs w:val="21"/>
          <w:shd w:val="clear" w:fill="FFFFFF"/>
        </w:rPr>
        <w:t>王术坤</w:t>
      </w:r>
      <w:r>
        <w:rPr>
          <w:rFonts w:hint="eastAsia" w:ascii="Arial" w:hAnsi="Arial" w:eastAsia="宋体" w:cs="Arial"/>
          <w:i w:val="0"/>
          <w:iCs w:val="0"/>
          <w:caps w:val="0"/>
          <w:color w:val="333333"/>
          <w:spacing w:val="-2"/>
          <w:sz w:val="21"/>
          <w:szCs w:val="21"/>
          <w:shd w:val="clear" w:fill="FFFFFF"/>
          <w:lang w:eastAsia="zh-CN"/>
        </w:rPr>
        <w:t>、</w:t>
      </w:r>
      <w:r>
        <w:rPr>
          <w:rFonts w:ascii="Arial" w:hAnsi="Arial" w:eastAsia="宋体" w:cs="Arial"/>
          <w:i w:val="0"/>
          <w:iCs w:val="0"/>
          <w:caps w:val="0"/>
          <w:color w:val="333333"/>
          <w:spacing w:val="-2"/>
          <w:sz w:val="21"/>
          <w:szCs w:val="21"/>
          <w:shd w:val="clear" w:fill="FFFFFF"/>
        </w:rPr>
        <w:t>林文声</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lang w:val="en-US" w:eastAsia="zh-CN"/>
        </w:rPr>
        <w:t>202</w:t>
      </w:r>
      <w:r>
        <w:rPr>
          <w:rFonts w:hint="eastAsia" w:ascii="Times New Roman" w:hAnsi="Times New Roman" w:eastAsia="宋体" w:cs="Times New Roman"/>
          <w:i w:val="0"/>
          <w:iCs w:val="0"/>
          <w:caps w:val="0"/>
          <w:color w:val="333333"/>
          <w:spacing w:val="-2"/>
          <w:sz w:val="21"/>
          <w:szCs w:val="21"/>
          <w:shd w:val="clear" w:fill="FFFFFF"/>
          <w:lang w:val="en-US" w:eastAsia="zh-CN"/>
        </w:rPr>
        <w:t>3</w:t>
      </w:r>
      <w:r>
        <w:rPr>
          <w:rFonts w:hint="default" w:ascii="Times New Roman" w:hAnsi="Times New Roman" w:eastAsia="宋体" w:cs="Times New Roman"/>
          <w:i w:val="0"/>
          <w:iCs w:val="0"/>
          <w:caps w:val="0"/>
          <w:color w:val="333333"/>
          <w:spacing w:val="-2"/>
          <w:sz w:val="21"/>
          <w:szCs w:val="21"/>
          <w:shd w:val="clear" w:fill="FFFFFF"/>
          <w:lang w:val="en-US" w:eastAsia="zh-CN"/>
        </w:rPr>
        <w:t>：《</w:t>
      </w:r>
      <w:r>
        <w:rPr>
          <w:rFonts w:hint="default" w:ascii="Times New Roman" w:hAnsi="Times New Roman" w:eastAsia="宋体" w:cs="Times New Roman"/>
          <w:i w:val="0"/>
          <w:iCs w:val="0"/>
          <w:caps w:val="0"/>
          <w:color w:val="333333"/>
          <w:spacing w:val="-2"/>
          <w:sz w:val="21"/>
          <w:szCs w:val="21"/>
          <w:shd w:val="clear" w:fill="FFFFFF"/>
        </w:rPr>
        <w:t>高标准农田建设的农地流转市场转型效应</w:t>
      </w:r>
      <w:r>
        <w:rPr>
          <w:rFonts w:hint="default" w:ascii="Times New Roman" w:hAnsi="Times New Roman" w:eastAsia="宋体" w:cs="Times New Roman"/>
          <w:i w:val="0"/>
          <w:iCs w:val="0"/>
          <w:caps w:val="0"/>
          <w:color w:val="333333"/>
          <w:spacing w:val="-2"/>
          <w:sz w:val="21"/>
          <w:szCs w:val="21"/>
          <w:shd w:val="clear" w:fill="FFFFFF"/>
          <w:lang w:val="en-US" w:eastAsia="zh-CN"/>
        </w:rPr>
        <w:t>》</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rPr>
        <w:t>中国农村经济</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lang w:val="en-US" w:eastAsia="zh-CN"/>
        </w:rPr>
        <w:t>第1</w:t>
      </w:r>
      <w:r>
        <w:rPr>
          <w:rFonts w:hint="eastAsia" w:ascii="Times New Roman" w:hAnsi="Times New Roman" w:eastAsia="宋体" w:cs="Times New Roman"/>
          <w:i w:val="0"/>
          <w:iCs w:val="0"/>
          <w:caps w:val="0"/>
          <w:color w:val="333333"/>
          <w:spacing w:val="-2"/>
          <w:sz w:val="21"/>
          <w:szCs w:val="21"/>
          <w:shd w:val="clear" w:fill="FFFFFF"/>
          <w:lang w:val="en-US" w:eastAsia="zh-CN"/>
        </w:rPr>
        <w:t>2</w:t>
      </w:r>
      <w:r>
        <w:rPr>
          <w:rFonts w:hint="default" w:ascii="Times New Roman" w:hAnsi="Times New Roman" w:eastAsia="宋体" w:cs="Times New Roman"/>
          <w:i w:val="0"/>
          <w:iCs w:val="0"/>
          <w:caps w:val="0"/>
          <w:color w:val="333333"/>
          <w:spacing w:val="-2"/>
          <w:sz w:val="21"/>
          <w:szCs w:val="21"/>
          <w:shd w:val="clear" w:fill="FFFFFF"/>
          <w:lang w:val="en-US" w:eastAsia="zh-CN"/>
        </w:rPr>
        <w:t>期，第</w:t>
      </w:r>
      <w:r>
        <w:rPr>
          <w:rFonts w:hint="default" w:ascii="Times New Roman" w:hAnsi="Times New Roman" w:eastAsia="宋体" w:cs="Times New Roman"/>
          <w:i w:val="0"/>
          <w:iCs w:val="0"/>
          <w:caps w:val="0"/>
          <w:color w:val="333333"/>
          <w:spacing w:val="-2"/>
          <w:sz w:val="21"/>
          <w:szCs w:val="21"/>
          <w:shd w:val="clear" w:fill="FFFFFF"/>
        </w:rPr>
        <w:t>23-43</w:t>
      </w:r>
      <w:r>
        <w:rPr>
          <w:rFonts w:hint="default" w:ascii="Times New Roman" w:hAnsi="Times New Roman" w:eastAsia="宋体" w:cs="Times New Roman"/>
          <w:i w:val="0"/>
          <w:iCs w:val="0"/>
          <w:caps w:val="0"/>
          <w:color w:val="333333"/>
          <w:spacing w:val="-2"/>
          <w:sz w:val="21"/>
          <w:szCs w:val="21"/>
          <w:shd w:val="clear" w:fill="FFFFFF"/>
          <w:lang w:val="en-US" w:eastAsia="zh-CN"/>
        </w:rPr>
        <w:t>页</w:t>
      </w:r>
      <w:r>
        <w:rPr>
          <w:rFonts w:hint="default" w:ascii="Times New Roman" w:hAnsi="Times New Roman" w:eastAsia="宋体" w:cs="Times New Roman"/>
          <w:i w:val="0"/>
          <w:iCs w:val="0"/>
          <w:caps w:val="0"/>
          <w:color w:val="333333"/>
          <w:spacing w:val="-2"/>
          <w:sz w:val="21"/>
          <w:szCs w:val="21"/>
          <w:shd w:val="clear" w:fill="FFFFFF"/>
          <w:lang w:eastAsia="zh-CN"/>
        </w:rPr>
        <w:t>。</w:t>
      </w:r>
    </w:p>
    <w:p>
      <w:pPr>
        <w:keepNext w:val="0"/>
        <w:keepLines w:val="0"/>
        <w:widowControl/>
        <w:suppressLineNumbers w:val="0"/>
        <w:jc w:val="left"/>
        <w:rPr>
          <w:rFonts w:hint="eastAsia" w:ascii="黑体" w:hAnsi="宋体" w:eastAsia="黑体" w:cs="黑体"/>
          <w:color w:val="000000"/>
          <w:kern w:val="0"/>
          <w:sz w:val="21"/>
          <w:szCs w:val="21"/>
          <w:lang w:val="en-US" w:eastAsia="zh-CN" w:bidi="ar"/>
        </w:rPr>
      </w:pPr>
    </w:p>
    <w:p>
      <w:pPr>
        <w:keepNext w:val="0"/>
        <w:keepLines w:val="0"/>
        <w:widowControl/>
        <w:suppressLineNumbers w:val="0"/>
        <w:jc w:val="left"/>
        <w:rPr>
          <w:rFonts w:ascii="Calibri" w:hAnsi="Calibri" w:eastAsia="宋体"/>
        </w:rPr>
      </w:pPr>
      <w:r>
        <w:rPr>
          <w:rFonts w:hint="eastAsia" w:ascii="黑体" w:hAnsi="宋体" w:eastAsia="黑体" w:cs="黑体"/>
          <w:color w:val="000000"/>
          <w:kern w:val="0"/>
          <w:sz w:val="21"/>
          <w:szCs w:val="21"/>
          <w:lang w:val="en-US" w:eastAsia="zh-CN" w:bidi="ar"/>
        </w:rPr>
        <w:t>如果研究中使用了未在《中国农村经济》纸质版刊发、但在杂志网站上正式公开发表的数字内容（包括数据、程序、附录文件），请务必在研究成果正文中注明：</w:t>
      </w:r>
    </w:p>
    <w:p>
      <w:pPr>
        <w:keepNext w:val="0"/>
        <w:keepLines w:val="0"/>
        <w:pageBreakBefore w:val="0"/>
        <w:widowControl w:val="0"/>
        <w:kinsoku/>
        <w:wordWrap/>
        <w:overflowPunct/>
        <w:topLinePunct w:val="0"/>
        <w:autoSpaceDE/>
        <w:autoSpaceDN/>
        <w:bidi w:val="0"/>
        <w:adjustRightInd/>
        <w:snapToGrid/>
        <w:spacing w:before="157" w:beforeLines="50"/>
        <w:textAlignment w:val="auto"/>
        <w:rPr>
          <w:rFonts w:ascii="Calibri" w:hAnsi="Calibri" w:eastAsia="宋体"/>
          <w:spacing w:val="-1"/>
        </w:rPr>
      </w:pPr>
      <w:r>
        <w:rPr>
          <w:rFonts w:hint="eastAsia" w:ascii="Calibri" w:hAnsi="Calibri" w:eastAsia="宋体"/>
          <w:spacing w:val="-1"/>
        </w:rPr>
        <w:t>某数据（及程序等或其他材料</w:t>
      </w:r>
      <w:r>
        <w:rPr>
          <w:rFonts w:hint="eastAsia" w:ascii="Calibri" w:hAnsi="Calibri"/>
          <w:spacing w:val="-1"/>
          <w:lang w:eastAsia="zh-CN"/>
        </w:rPr>
        <w:t>）</w:t>
      </w:r>
      <w:r>
        <w:rPr>
          <w:rFonts w:hint="eastAsia" w:ascii="Calibri" w:hAnsi="Calibri" w:eastAsia="宋体"/>
          <w:spacing w:val="-1"/>
        </w:rPr>
        <w:t>来自</w:t>
      </w:r>
      <w:r>
        <w:rPr>
          <w:rFonts w:ascii="Arial" w:hAnsi="Arial" w:eastAsia="宋体" w:cs="Arial"/>
          <w:i w:val="0"/>
          <w:iCs w:val="0"/>
          <w:caps w:val="0"/>
          <w:color w:val="333333"/>
          <w:spacing w:val="-1"/>
          <w:sz w:val="21"/>
          <w:szCs w:val="21"/>
          <w:shd w:val="clear" w:fill="FFFFFF"/>
        </w:rPr>
        <w:t>王术坤</w:t>
      </w:r>
      <w:r>
        <w:rPr>
          <w:rFonts w:hint="eastAsia" w:ascii="Arial" w:hAnsi="Arial" w:eastAsia="宋体" w:cs="Arial"/>
          <w:i w:val="0"/>
          <w:iCs w:val="0"/>
          <w:caps w:val="0"/>
          <w:color w:val="333333"/>
          <w:spacing w:val="-1"/>
          <w:sz w:val="21"/>
          <w:szCs w:val="21"/>
          <w:shd w:val="clear" w:fill="FFFFFF"/>
          <w:lang w:eastAsia="zh-CN"/>
        </w:rPr>
        <w:t>、</w:t>
      </w:r>
      <w:r>
        <w:rPr>
          <w:rFonts w:ascii="Arial" w:hAnsi="Arial" w:eastAsia="宋体" w:cs="Arial"/>
          <w:i w:val="0"/>
          <w:iCs w:val="0"/>
          <w:caps w:val="0"/>
          <w:color w:val="333333"/>
          <w:spacing w:val="-1"/>
          <w:sz w:val="21"/>
          <w:szCs w:val="21"/>
          <w:shd w:val="clear" w:fill="FFFFFF"/>
        </w:rPr>
        <w:t>林文声</w:t>
      </w:r>
      <w:r>
        <w:rPr>
          <w:rFonts w:hint="eastAsia" w:ascii="Calibri" w:hAnsi="Calibri" w:eastAsia="宋体"/>
          <w:spacing w:val="-1"/>
        </w:rPr>
        <w:t>（</w:t>
      </w:r>
      <w:r>
        <w:rPr>
          <w:rFonts w:hint="eastAsia" w:ascii="Times New Roman" w:hAnsi="Times New Roman" w:eastAsia="宋体" w:cs="Times New Roman"/>
          <w:i w:val="0"/>
          <w:iCs w:val="0"/>
          <w:caps w:val="0"/>
          <w:color w:val="333333"/>
          <w:spacing w:val="-1"/>
          <w:sz w:val="21"/>
          <w:szCs w:val="21"/>
          <w:shd w:val="clear" w:fill="FFFFFF"/>
          <w:lang w:val="en-US" w:eastAsia="zh-CN"/>
        </w:rPr>
        <w:t>2023</w:t>
      </w:r>
      <w:r>
        <w:rPr>
          <w:rFonts w:hint="eastAsia" w:cs="Times New Roman"/>
          <w:i w:val="0"/>
          <w:iCs w:val="0"/>
          <w:caps w:val="0"/>
          <w:color w:val="333333"/>
          <w:spacing w:val="-1"/>
          <w:sz w:val="21"/>
          <w:szCs w:val="21"/>
          <w:shd w:val="clear" w:fill="FFFFFF"/>
          <w:lang w:val="en-US" w:eastAsia="zh-CN"/>
        </w:rPr>
        <w:t>）</w:t>
      </w:r>
      <w:r>
        <w:rPr>
          <w:rFonts w:hint="eastAsia" w:ascii="Calibri" w:hAnsi="Calibri" w:eastAsia="宋体"/>
          <w:spacing w:val="-1"/>
        </w:rPr>
        <w:t>，详见《中国农村经济》网站（</w:t>
      </w:r>
      <w:r>
        <w:rPr>
          <w:rFonts w:hint="default" w:ascii="Times New Roman" w:hAnsi="Times New Roman" w:eastAsia="宋体" w:cs="Times New Roman"/>
          <w:spacing w:val="-1"/>
        </w:rPr>
        <w:t>zgncjj.ajcass.</w:t>
      </w:r>
      <w:r>
        <w:rPr>
          <w:rFonts w:hint="eastAsia" w:eastAsia="宋体" w:cs="Times New Roman"/>
          <w:spacing w:val="-1"/>
          <w:lang w:val="en-US" w:eastAsia="zh-CN"/>
        </w:rPr>
        <w:t>com</w:t>
      </w:r>
      <w:r>
        <w:rPr>
          <w:rFonts w:hint="eastAsia" w:ascii="Calibri" w:hAnsi="Calibri"/>
          <w:spacing w:val="-1"/>
          <w:lang w:eastAsia="zh-CN"/>
        </w:rPr>
        <w:t>）</w:t>
      </w:r>
      <w:r>
        <w:rPr>
          <w:rFonts w:hint="eastAsia" w:ascii="Calibri" w:hAnsi="Calibri" w:eastAsia="宋体"/>
          <w:spacing w:val="-1"/>
        </w:rPr>
        <w:t>该文的</w:t>
      </w:r>
      <w:r>
        <w:rPr>
          <w:rFonts w:hint="eastAsia" w:ascii="Calibri" w:hAnsi="Calibri" w:eastAsia="宋体"/>
          <w:spacing w:val="-1"/>
          <w:lang w:val="en-US" w:eastAsia="zh-CN"/>
        </w:rPr>
        <w:t>对应</w:t>
      </w:r>
      <w:r>
        <w:rPr>
          <w:rFonts w:hint="eastAsia" w:ascii="Calibri" w:hAnsi="Calibri" w:eastAsia="宋体"/>
          <w:spacing w:val="-1"/>
        </w:rPr>
        <w:t>附件。</w:t>
      </w:r>
    </w:p>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lang w:val="en-US" w:eastAsia="zh-CN"/>
        </w:rPr>
      </w:pPr>
    </w:p>
    <w:sectPr>
      <w:headerReference r:id="rId5" w:type="first"/>
      <w:footerReference r:id="rId7" w:type="first"/>
      <w:headerReference r:id="rId4" w:type="default"/>
      <w:footerReference r:id="rId6" w:type="default"/>
      <w:footnotePr>
        <w:numFmt w:val="decimalEnclosedCircleChinese"/>
        <w:numRestart w:val="eachPage"/>
      </w:footnotePr>
      <w:pgSz w:w="11906" w:h="16838"/>
      <w:pgMar w:top="2154" w:right="1644" w:bottom="2268" w:left="1644" w:header="1701" w:footer="1814" w:gutter="0"/>
      <w:pgBorders>
        <w:top w:val="none" w:sz="0" w:space="0"/>
        <w:left w:val="none" w:sz="0" w:space="0"/>
        <w:bottom w:val="none" w:sz="0" w:space="0"/>
        <w:right w:val="none" w:sz="0" w:space="0"/>
      </w:pgBorders>
      <w:pgNumType w:fmt="numberInDash"/>
      <w:cols w:space="0" w:num="1"/>
      <w:titlePg/>
      <w:docGrid w:type="linesAndChars" w:linePitch="365" w:charSpace="-28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altName w:val="Arial"/>
    <w:panose1 w:val="020B0606020202030204"/>
    <w:charset w:val="00"/>
    <w:family w:val="swiss"/>
    <w:pitch w:val="default"/>
    <w:sig w:usb0="00000000" w:usb1="00000000" w:usb2="00000000" w:usb3="00000000" w:csb0="2000009F" w:csb1="DFD70000"/>
  </w:font>
  <w:font w:name="仿宋_GB2312">
    <w:altName w:val="仿宋"/>
    <w:panose1 w:val="02010609030101010101"/>
    <w:charset w:val="86"/>
    <w:family w:val="modern"/>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imes New Roman Regular">
    <w:altName w:val="Times New Roman"/>
    <w:panose1 w:val="02020603050405020304"/>
    <w:charset w:val="00"/>
    <w:family w:val="auto"/>
    <w:pitch w:val="default"/>
    <w:sig w:usb0="00000000" w:usb1="00000000" w:usb2="00000009" w:usb3="00000000" w:csb0="400001FF" w:csb1="FFFF0000"/>
  </w:font>
  <w:font w:name="Cambria">
    <w:panose1 w:val="02040503050406030204"/>
    <w:charset w:val="00"/>
    <w:family w:val="roman"/>
    <w:pitch w:val="default"/>
    <w:sig w:usb0="E00006FF" w:usb1="420024FF" w:usb2="02000000" w:usb3="00000000" w:csb0="2000019F" w:csb1="00000000"/>
  </w:font>
  <w:font w:name="Times">
    <w:altName w:val="Times New Roman"/>
    <w:panose1 w:val="00000000000000000000"/>
    <w:charset w:val="00"/>
    <w:family w:val="roman"/>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Light">
    <w:panose1 w:val="020B0502040204020203"/>
    <w:charset w:val="86"/>
    <w:family w:val="auto"/>
    <w:pitch w:val="default"/>
    <w:sig w:usb0="80000287" w:usb1="2ACF001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Calibri Light">
    <w:panose1 w:val="020F0302020204030204"/>
    <w:charset w:val="00"/>
    <w:family w:val="auto"/>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6" name="文本框 20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frCbshECAAALBAAADgAAAAAAAAABACAA&#10;AAAfAQAAZHJzL2Uyb0RvYy54bWxQSwUGAAAAAAYABgBZAQAAogUAAAAA&#10;">
              <v:fill on="f" focussize="0,0"/>
              <v:stroke on="f" weight="0.5pt"/>
              <v:imagedata o:title=""/>
              <o:lock v:ext="edit" aspectratio="f"/>
              <v:textbox inset="0mm,0mm,0mm,0mm" style="mso-fit-shape-to-text:t;">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5" name="文本框 2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Q71USAgAACwQAAA4AAABkcnMvZTJvRG9jLnhtbK1TzY7TMBC+I/EO&#10;lu80adGu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xQ71USAgAACwQAAA4AAAAAAAAAAQAg&#10;AAAAHwEAAGRycy9lMm9Eb2MueG1sUEsFBgAAAAAGAAYAWQEAAKMFAAAAAA==&#10;">
              <v:fill on="f" focussize="0,0"/>
              <v:stroke on="f" weight="0.5pt"/>
              <v:imagedata o:title=""/>
              <o:lock v:ext="edit" aspectratio="f"/>
              <v:textbox inset="0mm,0mm,0mm,0mm" style="mso-fit-shape-to-text:t;">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default" w:ascii="Calibri" w:hAnsi="Calibri" w:eastAsia="宋体" w:cs="Times New Roman"/>
          <w:kern w:val="2"/>
          <w:sz w:val="18"/>
          <w:szCs w:val="24"/>
          <w:lang w:val="en-US" w:eastAsia="zh-CN" w:bidi="ar-SA"/>
        </w:rPr>
      </w:pPr>
      <w:r>
        <w:rPr>
          <w:rFonts w:ascii="Calibri" w:hAnsi="Calibri" w:eastAsia="宋体" w:cs="Times New Roman"/>
          <w:kern w:val="2"/>
          <w:sz w:val="18"/>
          <w:szCs w:val="24"/>
          <w:vertAlign w:val="superscript"/>
          <w:lang w:val="en-US" w:eastAsia="zh-CN" w:bidi="ar-SA"/>
        </w:rPr>
        <w:t>*</w:t>
      </w:r>
      <w:r>
        <w:rPr>
          <w:rFonts w:hint="eastAsia" w:ascii="Times New Roman" w:hAnsi="Times New Roman" w:eastAsia="宋体" w:cs="Times New Roman"/>
          <w:kern w:val="2"/>
          <w:sz w:val="18"/>
          <w:szCs w:val="18"/>
          <w:lang w:val="en-US" w:eastAsia="zh-CN" w:bidi="ar-SA"/>
        </w:rPr>
        <w:t>附录由</w:t>
      </w:r>
      <w:r>
        <w:rPr>
          <w:rFonts w:hint="eastAsia" w:cs="Times New Roman"/>
          <w:kern w:val="2"/>
          <w:sz w:val="18"/>
          <w:szCs w:val="18"/>
          <w:lang w:val="en-US" w:eastAsia="zh-CN" w:bidi="ar-SA"/>
        </w:rPr>
        <w:t>作</w:t>
      </w:r>
      <w:r>
        <w:rPr>
          <w:rFonts w:hint="eastAsia" w:ascii="Times New Roman" w:hAnsi="Times New Roman" w:eastAsia="宋体" w:cs="Times New Roman"/>
          <w:kern w:val="2"/>
          <w:sz w:val="18"/>
          <w:szCs w:val="18"/>
          <w:lang w:val="en-US" w:eastAsia="zh-CN" w:bidi="ar-SA"/>
        </w:rPr>
        <w:t>者提供，文责自负。</w:t>
      </w:r>
      <w:r>
        <w:rPr>
          <w:rFonts w:hint="eastAsia" w:cs="Times New Roman"/>
          <w:kern w:val="2"/>
          <w:sz w:val="18"/>
          <w:szCs w:val="18"/>
          <w:lang w:val="en-US" w:eastAsia="zh-CN" w:bidi="ar-SA"/>
        </w:rPr>
        <w:t>引用该附录中的内容请注明出处，具体要求详见文末。</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eastAsia" w:eastAsia="黑体" w:cs="Times New Roman"/>
        <w:lang w:val="en-US" w:eastAsia="zh-CN"/>
      </w:rPr>
    </w:pPr>
    <w:r>
      <w:rPr>
        <w:rFonts w:hint="eastAsia" w:eastAsia="黑体" w:cs="Times New Roman"/>
        <w:lang w:val="en-US" w:eastAsia="zh-CN"/>
      </w:rPr>
      <w:t>王修华等  资本市场服务下沉何以支持县域经济增长</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default" w:eastAsia="宋体"/>
        <w:lang w:val="en-US" w:eastAsia="zh-CN"/>
      </w:rPr>
    </w:pPr>
    <w:r>
      <w:rPr>
        <w:rFonts w:ascii="Times New Roman" w:hAnsi="Times New Roman" w:cs="Times New Roman"/>
      </w:rPr>
      <w:drawing>
        <wp:inline distT="0" distB="0" distL="0" distR="0">
          <wp:extent cx="1009650" cy="190500"/>
          <wp:effectExtent l="0" t="0" r="0" b="0"/>
          <wp:docPr id="20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9650" cy="190500"/>
                  </a:xfrm>
                  <a:prstGeom prst="rect">
                    <a:avLst/>
                  </a:prstGeom>
                  <a:noFill/>
                  <a:ln>
                    <a:noFill/>
                  </a:ln>
                </pic:spPr>
              </pic:pic>
            </a:graphicData>
          </a:graphic>
        </wp:inline>
      </w:drawing>
    </w:r>
    <w:r>
      <w:rPr>
        <w:rFonts w:hint="eastAsia" w:cs="Times New Roman"/>
        <w:lang w:val="en-US" w:eastAsia="zh-CN"/>
      </w:rPr>
      <w:t xml:space="preserve">                                                       </w:t>
    </w:r>
    <w:r>
      <w:rPr>
        <w:rFonts w:ascii="Times New Roman" w:hAnsi="Times New Roman" w:eastAsia="黑体" w:cs="Times New Roman"/>
      </w:rPr>
      <w:t>202</w:t>
    </w:r>
    <w:r>
      <w:rPr>
        <w:rFonts w:hint="eastAsia" w:eastAsia="黑体" w:cs="Times New Roman"/>
        <w:lang w:val="en-US" w:eastAsia="zh-CN"/>
      </w:rPr>
      <w:t>5年第6期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hideSpellingErrors/>
  <w:hideGrammaticalErrors/>
  <w:documentProtection w:enforcement="0"/>
  <w:defaultTabStop w:val="420"/>
  <w:drawingGridHorizontalSpacing w:val="98"/>
  <w:drawingGridVerticalSpacing w:val="183"/>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ztLAwMDI0MzIwNTNT0lEKTi0uzszPAymwrAUAbZInuSwAAAA="/>
    <w:docVar w:name="commondata" w:val="eyJoZGlkIjoiNjgxY2UyODNjNTRlYjdkYzAzOGM2MzZmMGZhZDU2NDEifQ=="/>
  </w:docVars>
  <w:rsids>
    <w:rsidRoot w:val="00172A27"/>
    <w:rsid w:val="000014CF"/>
    <w:rsid w:val="0000201D"/>
    <w:rsid w:val="000042CD"/>
    <w:rsid w:val="00005170"/>
    <w:rsid w:val="000061F8"/>
    <w:rsid w:val="000071B4"/>
    <w:rsid w:val="000072DB"/>
    <w:rsid w:val="000078FC"/>
    <w:rsid w:val="00010060"/>
    <w:rsid w:val="000106B5"/>
    <w:rsid w:val="00010D0D"/>
    <w:rsid w:val="00010F5A"/>
    <w:rsid w:val="000116E9"/>
    <w:rsid w:val="000119B8"/>
    <w:rsid w:val="000119BA"/>
    <w:rsid w:val="00012275"/>
    <w:rsid w:val="000127E4"/>
    <w:rsid w:val="00013676"/>
    <w:rsid w:val="00013993"/>
    <w:rsid w:val="00013D6C"/>
    <w:rsid w:val="00014B33"/>
    <w:rsid w:val="00014D60"/>
    <w:rsid w:val="00015208"/>
    <w:rsid w:val="000162AA"/>
    <w:rsid w:val="000163C5"/>
    <w:rsid w:val="00016BD2"/>
    <w:rsid w:val="00016C82"/>
    <w:rsid w:val="000170B5"/>
    <w:rsid w:val="00017951"/>
    <w:rsid w:val="00017EC8"/>
    <w:rsid w:val="000202C8"/>
    <w:rsid w:val="000215DD"/>
    <w:rsid w:val="00021DC9"/>
    <w:rsid w:val="000225B4"/>
    <w:rsid w:val="00022853"/>
    <w:rsid w:val="00022D24"/>
    <w:rsid w:val="0002309A"/>
    <w:rsid w:val="000243FF"/>
    <w:rsid w:val="00025A4A"/>
    <w:rsid w:val="00025D38"/>
    <w:rsid w:val="00026378"/>
    <w:rsid w:val="000274AE"/>
    <w:rsid w:val="0003155E"/>
    <w:rsid w:val="00031A18"/>
    <w:rsid w:val="00032159"/>
    <w:rsid w:val="000325AC"/>
    <w:rsid w:val="00032A7A"/>
    <w:rsid w:val="00032E7A"/>
    <w:rsid w:val="00033258"/>
    <w:rsid w:val="0003408C"/>
    <w:rsid w:val="000340B5"/>
    <w:rsid w:val="00034223"/>
    <w:rsid w:val="0003425D"/>
    <w:rsid w:val="000344E9"/>
    <w:rsid w:val="00034A50"/>
    <w:rsid w:val="00036609"/>
    <w:rsid w:val="00036ADD"/>
    <w:rsid w:val="00036E48"/>
    <w:rsid w:val="000374EA"/>
    <w:rsid w:val="000378AD"/>
    <w:rsid w:val="00037E30"/>
    <w:rsid w:val="00040D90"/>
    <w:rsid w:val="00040DD5"/>
    <w:rsid w:val="00043E7A"/>
    <w:rsid w:val="00046585"/>
    <w:rsid w:val="00046E49"/>
    <w:rsid w:val="00046E56"/>
    <w:rsid w:val="00047931"/>
    <w:rsid w:val="00050A33"/>
    <w:rsid w:val="000513BB"/>
    <w:rsid w:val="0005195C"/>
    <w:rsid w:val="00051DCD"/>
    <w:rsid w:val="000542D3"/>
    <w:rsid w:val="000549C8"/>
    <w:rsid w:val="000556C0"/>
    <w:rsid w:val="00056091"/>
    <w:rsid w:val="00056813"/>
    <w:rsid w:val="00056F45"/>
    <w:rsid w:val="00057875"/>
    <w:rsid w:val="00060A1F"/>
    <w:rsid w:val="00060D28"/>
    <w:rsid w:val="00061674"/>
    <w:rsid w:val="0006197E"/>
    <w:rsid w:val="00061F52"/>
    <w:rsid w:val="00062AC1"/>
    <w:rsid w:val="00062C26"/>
    <w:rsid w:val="00062E70"/>
    <w:rsid w:val="00063079"/>
    <w:rsid w:val="00063D1C"/>
    <w:rsid w:val="00064224"/>
    <w:rsid w:val="000642E8"/>
    <w:rsid w:val="0006453A"/>
    <w:rsid w:val="0006453F"/>
    <w:rsid w:val="00064B71"/>
    <w:rsid w:val="00064C1E"/>
    <w:rsid w:val="00065256"/>
    <w:rsid w:val="000677C0"/>
    <w:rsid w:val="00070144"/>
    <w:rsid w:val="000707AA"/>
    <w:rsid w:val="00072EA0"/>
    <w:rsid w:val="000731AE"/>
    <w:rsid w:val="00073A3A"/>
    <w:rsid w:val="0007499B"/>
    <w:rsid w:val="000749FF"/>
    <w:rsid w:val="00074C5D"/>
    <w:rsid w:val="00075C42"/>
    <w:rsid w:val="0008062B"/>
    <w:rsid w:val="00080F00"/>
    <w:rsid w:val="000812D1"/>
    <w:rsid w:val="00081546"/>
    <w:rsid w:val="00081E7C"/>
    <w:rsid w:val="000827D2"/>
    <w:rsid w:val="00082A0C"/>
    <w:rsid w:val="0008301B"/>
    <w:rsid w:val="0008406F"/>
    <w:rsid w:val="000848F1"/>
    <w:rsid w:val="00084D70"/>
    <w:rsid w:val="00084DA3"/>
    <w:rsid w:val="00084F8D"/>
    <w:rsid w:val="00085D84"/>
    <w:rsid w:val="000862BE"/>
    <w:rsid w:val="00086E55"/>
    <w:rsid w:val="00087519"/>
    <w:rsid w:val="00087691"/>
    <w:rsid w:val="00087742"/>
    <w:rsid w:val="00087A2E"/>
    <w:rsid w:val="00087E5A"/>
    <w:rsid w:val="00090398"/>
    <w:rsid w:val="00091B73"/>
    <w:rsid w:val="000922E3"/>
    <w:rsid w:val="0009300E"/>
    <w:rsid w:val="0009370D"/>
    <w:rsid w:val="00094922"/>
    <w:rsid w:val="0009527A"/>
    <w:rsid w:val="000959B5"/>
    <w:rsid w:val="00095FFA"/>
    <w:rsid w:val="00097EAE"/>
    <w:rsid w:val="000A067E"/>
    <w:rsid w:val="000A1B13"/>
    <w:rsid w:val="000A25A9"/>
    <w:rsid w:val="000A2E84"/>
    <w:rsid w:val="000A5CD3"/>
    <w:rsid w:val="000A5E13"/>
    <w:rsid w:val="000A5E63"/>
    <w:rsid w:val="000A5F0B"/>
    <w:rsid w:val="000A61BF"/>
    <w:rsid w:val="000A6215"/>
    <w:rsid w:val="000B007C"/>
    <w:rsid w:val="000B036D"/>
    <w:rsid w:val="000B0A5A"/>
    <w:rsid w:val="000B1C82"/>
    <w:rsid w:val="000B28D6"/>
    <w:rsid w:val="000B2E3A"/>
    <w:rsid w:val="000B40E6"/>
    <w:rsid w:val="000B41E0"/>
    <w:rsid w:val="000B7161"/>
    <w:rsid w:val="000B7281"/>
    <w:rsid w:val="000B79CE"/>
    <w:rsid w:val="000C0DC0"/>
    <w:rsid w:val="000C1187"/>
    <w:rsid w:val="000C1243"/>
    <w:rsid w:val="000C1BC9"/>
    <w:rsid w:val="000C1FAF"/>
    <w:rsid w:val="000C2783"/>
    <w:rsid w:val="000C3B79"/>
    <w:rsid w:val="000C40DF"/>
    <w:rsid w:val="000C505B"/>
    <w:rsid w:val="000C506D"/>
    <w:rsid w:val="000C52A8"/>
    <w:rsid w:val="000C54E0"/>
    <w:rsid w:val="000C5E2B"/>
    <w:rsid w:val="000C78DC"/>
    <w:rsid w:val="000C7987"/>
    <w:rsid w:val="000C7D60"/>
    <w:rsid w:val="000D0695"/>
    <w:rsid w:val="000D0868"/>
    <w:rsid w:val="000D0C56"/>
    <w:rsid w:val="000D13EB"/>
    <w:rsid w:val="000D1723"/>
    <w:rsid w:val="000D1935"/>
    <w:rsid w:val="000D200A"/>
    <w:rsid w:val="000D29F7"/>
    <w:rsid w:val="000D359E"/>
    <w:rsid w:val="000D3986"/>
    <w:rsid w:val="000D444C"/>
    <w:rsid w:val="000D44F0"/>
    <w:rsid w:val="000D485A"/>
    <w:rsid w:val="000D5191"/>
    <w:rsid w:val="000D5434"/>
    <w:rsid w:val="000D5C36"/>
    <w:rsid w:val="000D7A32"/>
    <w:rsid w:val="000D7A39"/>
    <w:rsid w:val="000E0A25"/>
    <w:rsid w:val="000E0DC6"/>
    <w:rsid w:val="000E0E7C"/>
    <w:rsid w:val="000E110E"/>
    <w:rsid w:val="000E11E8"/>
    <w:rsid w:val="000E1884"/>
    <w:rsid w:val="000E22B5"/>
    <w:rsid w:val="000E26A0"/>
    <w:rsid w:val="000E344B"/>
    <w:rsid w:val="000E3E23"/>
    <w:rsid w:val="000E4076"/>
    <w:rsid w:val="000E49E1"/>
    <w:rsid w:val="000E53C6"/>
    <w:rsid w:val="000E62F2"/>
    <w:rsid w:val="000E7477"/>
    <w:rsid w:val="000E7588"/>
    <w:rsid w:val="000E7B6E"/>
    <w:rsid w:val="000E7E7A"/>
    <w:rsid w:val="000F1540"/>
    <w:rsid w:val="000F1553"/>
    <w:rsid w:val="000F1A7B"/>
    <w:rsid w:val="000F273D"/>
    <w:rsid w:val="000F31C8"/>
    <w:rsid w:val="000F4253"/>
    <w:rsid w:val="000F4F36"/>
    <w:rsid w:val="000F6127"/>
    <w:rsid w:val="000F657B"/>
    <w:rsid w:val="000F7C1C"/>
    <w:rsid w:val="00100561"/>
    <w:rsid w:val="00101835"/>
    <w:rsid w:val="0010193F"/>
    <w:rsid w:val="00101A2C"/>
    <w:rsid w:val="00102484"/>
    <w:rsid w:val="00102F77"/>
    <w:rsid w:val="0010433A"/>
    <w:rsid w:val="00104773"/>
    <w:rsid w:val="00104A3E"/>
    <w:rsid w:val="00104B20"/>
    <w:rsid w:val="00105178"/>
    <w:rsid w:val="00106385"/>
    <w:rsid w:val="0010689C"/>
    <w:rsid w:val="00106F72"/>
    <w:rsid w:val="00107388"/>
    <w:rsid w:val="0010783D"/>
    <w:rsid w:val="00107C73"/>
    <w:rsid w:val="00107DE9"/>
    <w:rsid w:val="00110767"/>
    <w:rsid w:val="00110912"/>
    <w:rsid w:val="00111614"/>
    <w:rsid w:val="0011327E"/>
    <w:rsid w:val="00113DEC"/>
    <w:rsid w:val="00114BD6"/>
    <w:rsid w:val="0011507D"/>
    <w:rsid w:val="001151C6"/>
    <w:rsid w:val="0011540E"/>
    <w:rsid w:val="0011571F"/>
    <w:rsid w:val="00117E40"/>
    <w:rsid w:val="00120222"/>
    <w:rsid w:val="00120B2D"/>
    <w:rsid w:val="0012186F"/>
    <w:rsid w:val="001236CA"/>
    <w:rsid w:val="00123FEE"/>
    <w:rsid w:val="001240DD"/>
    <w:rsid w:val="001251A7"/>
    <w:rsid w:val="001258D0"/>
    <w:rsid w:val="001276AD"/>
    <w:rsid w:val="001300B8"/>
    <w:rsid w:val="00130133"/>
    <w:rsid w:val="0013034E"/>
    <w:rsid w:val="00130566"/>
    <w:rsid w:val="001305BD"/>
    <w:rsid w:val="001307BF"/>
    <w:rsid w:val="001319C1"/>
    <w:rsid w:val="00131F55"/>
    <w:rsid w:val="001320EF"/>
    <w:rsid w:val="00134944"/>
    <w:rsid w:val="00134BB4"/>
    <w:rsid w:val="00134EDF"/>
    <w:rsid w:val="00134F27"/>
    <w:rsid w:val="00135368"/>
    <w:rsid w:val="0013537E"/>
    <w:rsid w:val="0013555B"/>
    <w:rsid w:val="0013749C"/>
    <w:rsid w:val="0013776F"/>
    <w:rsid w:val="00137B36"/>
    <w:rsid w:val="00140AE4"/>
    <w:rsid w:val="0014104D"/>
    <w:rsid w:val="0014137E"/>
    <w:rsid w:val="0014286A"/>
    <w:rsid w:val="001429AE"/>
    <w:rsid w:val="00143DFA"/>
    <w:rsid w:val="001444C1"/>
    <w:rsid w:val="00144B76"/>
    <w:rsid w:val="0014581C"/>
    <w:rsid w:val="00146A30"/>
    <w:rsid w:val="00150261"/>
    <w:rsid w:val="00150A8F"/>
    <w:rsid w:val="00150D18"/>
    <w:rsid w:val="00150E4C"/>
    <w:rsid w:val="0015108A"/>
    <w:rsid w:val="0015151A"/>
    <w:rsid w:val="00151E9E"/>
    <w:rsid w:val="001526E2"/>
    <w:rsid w:val="00152E15"/>
    <w:rsid w:val="00152EE2"/>
    <w:rsid w:val="0015391E"/>
    <w:rsid w:val="00153F78"/>
    <w:rsid w:val="001542EC"/>
    <w:rsid w:val="00154843"/>
    <w:rsid w:val="00154AB2"/>
    <w:rsid w:val="00154E6E"/>
    <w:rsid w:val="001550D1"/>
    <w:rsid w:val="00155F77"/>
    <w:rsid w:val="00156739"/>
    <w:rsid w:val="00156A73"/>
    <w:rsid w:val="00156CEC"/>
    <w:rsid w:val="00157721"/>
    <w:rsid w:val="00157C0F"/>
    <w:rsid w:val="00160901"/>
    <w:rsid w:val="00161B98"/>
    <w:rsid w:val="00161E36"/>
    <w:rsid w:val="00162964"/>
    <w:rsid w:val="00162991"/>
    <w:rsid w:val="00162BB5"/>
    <w:rsid w:val="00162C06"/>
    <w:rsid w:val="00163075"/>
    <w:rsid w:val="0016348F"/>
    <w:rsid w:val="00163C1A"/>
    <w:rsid w:val="00164046"/>
    <w:rsid w:val="001645F0"/>
    <w:rsid w:val="001646D6"/>
    <w:rsid w:val="0016575C"/>
    <w:rsid w:val="001664F7"/>
    <w:rsid w:val="00166FB7"/>
    <w:rsid w:val="001675C0"/>
    <w:rsid w:val="0016769C"/>
    <w:rsid w:val="00170ABA"/>
    <w:rsid w:val="00171D88"/>
    <w:rsid w:val="00172474"/>
    <w:rsid w:val="00172A27"/>
    <w:rsid w:val="00173934"/>
    <w:rsid w:val="001739EE"/>
    <w:rsid w:val="00174EF4"/>
    <w:rsid w:val="00175711"/>
    <w:rsid w:val="00176045"/>
    <w:rsid w:val="0017621A"/>
    <w:rsid w:val="00176ED1"/>
    <w:rsid w:val="0017717E"/>
    <w:rsid w:val="00177A0D"/>
    <w:rsid w:val="00177F62"/>
    <w:rsid w:val="00180439"/>
    <w:rsid w:val="00180789"/>
    <w:rsid w:val="00180892"/>
    <w:rsid w:val="00180BB9"/>
    <w:rsid w:val="00181183"/>
    <w:rsid w:val="001823B2"/>
    <w:rsid w:val="001823C9"/>
    <w:rsid w:val="00182740"/>
    <w:rsid w:val="00182866"/>
    <w:rsid w:val="00183C97"/>
    <w:rsid w:val="00184E87"/>
    <w:rsid w:val="00186B01"/>
    <w:rsid w:val="00186D72"/>
    <w:rsid w:val="00187084"/>
    <w:rsid w:val="001871AF"/>
    <w:rsid w:val="00187627"/>
    <w:rsid w:val="001878B2"/>
    <w:rsid w:val="001909EF"/>
    <w:rsid w:val="001921D0"/>
    <w:rsid w:val="0019233B"/>
    <w:rsid w:val="00192FDB"/>
    <w:rsid w:val="00193A12"/>
    <w:rsid w:val="00193F92"/>
    <w:rsid w:val="001960D1"/>
    <w:rsid w:val="00196559"/>
    <w:rsid w:val="0019711D"/>
    <w:rsid w:val="00197452"/>
    <w:rsid w:val="00197C59"/>
    <w:rsid w:val="00197EC7"/>
    <w:rsid w:val="001A1FC1"/>
    <w:rsid w:val="001A23A7"/>
    <w:rsid w:val="001A2899"/>
    <w:rsid w:val="001A2938"/>
    <w:rsid w:val="001A29FD"/>
    <w:rsid w:val="001A2F8F"/>
    <w:rsid w:val="001A34C0"/>
    <w:rsid w:val="001A415C"/>
    <w:rsid w:val="001A4A9C"/>
    <w:rsid w:val="001A5014"/>
    <w:rsid w:val="001A510B"/>
    <w:rsid w:val="001A5AFF"/>
    <w:rsid w:val="001A5E1B"/>
    <w:rsid w:val="001A603D"/>
    <w:rsid w:val="001A7050"/>
    <w:rsid w:val="001B0565"/>
    <w:rsid w:val="001B0DBA"/>
    <w:rsid w:val="001B130B"/>
    <w:rsid w:val="001B2D1E"/>
    <w:rsid w:val="001B4056"/>
    <w:rsid w:val="001B4844"/>
    <w:rsid w:val="001B48D9"/>
    <w:rsid w:val="001B4CF5"/>
    <w:rsid w:val="001B4FE2"/>
    <w:rsid w:val="001B534E"/>
    <w:rsid w:val="001B682B"/>
    <w:rsid w:val="001B7040"/>
    <w:rsid w:val="001B77F0"/>
    <w:rsid w:val="001C0D59"/>
    <w:rsid w:val="001C1C0F"/>
    <w:rsid w:val="001C1F78"/>
    <w:rsid w:val="001C2411"/>
    <w:rsid w:val="001C251D"/>
    <w:rsid w:val="001C2F9E"/>
    <w:rsid w:val="001C30DC"/>
    <w:rsid w:val="001C4C78"/>
    <w:rsid w:val="001C56D0"/>
    <w:rsid w:val="001C57AE"/>
    <w:rsid w:val="001C595A"/>
    <w:rsid w:val="001C5E3B"/>
    <w:rsid w:val="001C6290"/>
    <w:rsid w:val="001C693A"/>
    <w:rsid w:val="001C69CA"/>
    <w:rsid w:val="001C6C17"/>
    <w:rsid w:val="001C6CA1"/>
    <w:rsid w:val="001C7231"/>
    <w:rsid w:val="001C7B01"/>
    <w:rsid w:val="001D03E9"/>
    <w:rsid w:val="001D0651"/>
    <w:rsid w:val="001D11CE"/>
    <w:rsid w:val="001D15C1"/>
    <w:rsid w:val="001D18D1"/>
    <w:rsid w:val="001D22B3"/>
    <w:rsid w:val="001D305F"/>
    <w:rsid w:val="001D3261"/>
    <w:rsid w:val="001D4F50"/>
    <w:rsid w:val="001D5868"/>
    <w:rsid w:val="001D5A13"/>
    <w:rsid w:val="001D6E9E"/>
    <w:rsid w:val="001D71CA"/>
    <w:rsid w:val="001D7645"/>
    <w:rsid w:val="001E076F"/>
    <w:rsid w:val="001E09DB"/>
    <w:rsid w:val="001E249B"/>
    <w:rsid w:val="001E2AA0"/>
    <w:rsid w:val="001E2C7A"/>
    <w:rsid w:val="001E5E4B"/>
    <w:rsid w:val="001E6E6B"/>
    <w:rsid w:val="001E774D"/>
    <w:rsid w:val="001E7D14"/>
    <w:rsid w:val="001F0A51"/>
    <w:rsid w:val="001F0BC8"/>
    <w:rsid w:val="001F2711"/>
    <w:rsid w:val="001F2BCA"/>
    <w:rsid w:val="001F39E0"/>
    <w:rsid w:val="001F430D"/>
    <w:rsid w:val="001F43DB"/>
    <w:rsid w:val="001F5729"/>
    <w:rsid w:val="001F660D"/>
    <w:rsid w:val="00200C30"/>
    <w:rsid w:val="00202C86"/>
    <w:rsid w:val="00203344"/>
    <w:rsid w:val="00204950"/>
    <w:rsid w:val="0020501E"/>
    <w:rsid w:val="002061EA"/>
    <w:rsid w:val="002061EB"/>
    <w:rsid w:val="00206CE4"/>
    <w:rsid w:val="002075A1"/>
    <w:rsid w:val="00207A0D"/>
    <w:rsid w:val="00207E96"/>
    <w:rsid w:val="00210F79"/>
    <w:rsid w:val="002110E6"/>
    <w:rsid w:val="00211985"/>
    <w:rsid w:val="002126DE"/>
    <w:rsid w:val="00212F20"/>
    <w:rsid w:val="00213BDD"/>
    <w:rsid w:val="00214291"/>
    <w:rsid w:val="00214626"/>
    <w:rsid w:val="00214FDC"/>
    <w:rsid w:val="00215E76"/>
    <w:rsid w:val="00215F2D"/>
    <w:rsid w:val="00216697"/>
    <w:rsid w:val="00216BB3"/>
    <w:rsid w:val="00217E17"/>
    <w:rsid w:val="00220441"/>
    <w:rsid w:val="00222F3A"/>
    <w:rsid w:val="00223512"/>
    <w:rsid w:val="00224166"/>
    <w:rsid w:val="002257F0"/>
    <w:rsid w:val="002274E6"/>
    <w:rsid w:val="00230295"/>
    <w:rsid w:val="002308E6"/>
    <w:rsid w:val="00232378"/>
    <w:rsid w:val="00232B06"/>
    <w:rsid w:val="00234D28"/>
    <w:rsid w:val="0023501D"/>
    <w:rsid w:val="00235518"/>
    <w:rsid w:val="00236550"/>
    <w:rsid w:val="002404FF"/>
    <w:rsid w:val="00240DFC"/>
    <w:rsid w:val="0024180F"/>
    <w:rsid w:val="002425CD"/>
    <w:rsid w:val="00242A24"/>
    <w:rsid w:val="00243819"/>
    <w:rsid w:val="00243B08"/>
    <w:rsid w:val="0024423B"/>
    <w:rsid w:val="00244361"/>
    <w:rsid w:val="00245E49"/>
    <w:rsid w:val="00246793"/>
    <w:rsid w:val="002467FB"/>
    <w:rsid w:val="00246E6C"/>
    <w:rsid w:val="00247F08"/>
    <w:rsid w:val="002506F1"/>
    <w:rsid w:val="0025117D"/>
    <w:rsid w:val="00251235"/>
    <w:rsid w:val="00252960"/>
    <w:rsid w:val="00253521"/>
    <w:rsid w:val="00253ECE"/>
    <w:rsid w:val="00254607"/>
    <w:rsid w:val="002555CE"/>
    <w:rsid w:val="0025584F"/>
    <w:rsid w:val="002562C2"/>
    <w:rsid w:val="00256820"/>
    <w:rsid w:val="00256E34"/>
    <w:rsid w:val="00257725"/>
    <w:rsid w:val="002578C8"/>
    <w:rsid w:val="00257CE1"/>
    <w:rsid w:val="00260A49"/>
    <w:rsid w:val="00260AAD"/>
    <w:rsid w:val="00260CBC"/>
    <w:rsid w:val="0026182C"/>
    <w:rsid w:val="00261894"/>
    <w:rsid w:val="00261BB6"/>
    <w:rsid w:val="00262832"/>
    <w:rsid w:val="00263746"/>
    <w:rsid w:val="002658EF"/>
    <w:rsid w:val="00265C32"/>
    <w:rsid w:val="00265DFA"/>
    <w:rsid w:val="00266343"/>
    <w:rsid w:val="00266811"/>
    <w:rsid w:val="00266EE7"/>
    <w:rsid w:val="002671B8"/>
    <w:rsid w:val="00270B5B"/>
    <w:rsid w:val="00271B5F"/>
    <w:rsid w:val="00272E19"/>
    <w:rsid w:val="00274478"/>
    <w:rsid w:val="00274A20"/>
    <w:rsid w:val="00274D1A"/>
    <w:rsid w:val="00274DB6"/>
    <w:rsid w:val="00274E4F"/>
    <w:rsid w:val="002751FC"/>
    <w:rsid w:val="0027592C"/>
    <w:rsid w:val="00275991"/>
    <w:rsid w:val="002767C5"/>
    <w:rsid w:val="0027719D"/>
    <w:rsid w:val="0027798C"/>
    <w:rsid w:val="00277DD9"/>
    <w:rsid w:val="00280358"/>
    <w:rsid w:val="00284CDB"/>
    <w:rsid w:val="00284F11"/>
    <w:rsid w:val="00285120"/>
    <w:rsid w:val="00285B98"/>
    <w:rsid w:val="0028618E"/>
    <w:rsid w:val="00286196"/>
    <w:rsid w:val="00286B0C"/>
    <w:rsid w:val="00287325"/>
    <w:rsid w:val="00290BA8"/>
    <w:rsid w:val="00291068"/>
    <w:rsid w:val="00291B76"/>
    <w:rsid w:val="00292D43"/>
    <w:rsid w:val="00292E00"/>
    <w:rsid w:val="00292E30"/>
    <w:rsid w:val="00293159"/>
    <w:rsid w:val="00293D04"/>
    <w:rsid w:val="00294675"/>
    <w:rsid w:val="00294A17"/>
    <w:rsid w:val="00294FA0"/>
    <w:rsid w:val="00295091"/>
    <w:rsid w:val="00295C8E"/>
    <w:rsid w:val="00295FB2"/>
    <w:rsid w:val="00296BAD"/>
    <w:rsid w:val="00297FA6"/>
    <w:rsid w:val="002A022B"/>
    <w:rsid w:val="002A0A7C"/>
    <w:rsid w:val="002A2812"/>
    <w:rsid w:val="002A3F41"/>
    <w:rsid w:val="002A42F5"/>
    <w:rsid w:val="002A6D66"/>
    <w:rsid w:val="002A6DF3"/>
    <w:rsid w:val="002A6F7F"/>
    <w:rsid w:val="002A782B"/>
    <w:rsid w:val="002B0A18"/>
    <w:rsid w:val="002B0F98"/>
    <w:rsid w:val="002B158D"/>
    <w:rsid w:val="002B28F9"/>
    <w:rsid w:val="002B2BD1"/>
    <w:rsid w:val="002B39D8"/>
    <w:rsid w:val="002B7C5A"/>
    <w:rsid w:val="002B7E48"/>
    <w:rsid w:val="002C0EE2"/>
    <w:rsid w:val="002C202E"/>
    <w:rsid w:val="002C2316"/>
    <w:rsid w:val="002C252B"/>
    <w:rsid w:val="002C2834"/>
    <w:rsid w:val="002C2AB4"/>
    <w:rsid w:val="002C4757"/>
    <w:rsid w:val="002C4AC7"/>
    <w:rsid w:val="002C4EFE"/>
    <w:rsid w:val="002C6AE8"/>
    <w:rsid w:val="002C7114"/>
    <w:rsid w:val="002C756E"/>
    <w:rsid w:val="002C7BAC"/>
    <w:rsid w:val="002C7FCE"/>
    <w:rsid w:val="002D0192"/>
    <w:rsid w:val="002D0655"/>
    <w:rsid w:val="002D17CC"/>
    <w:rsid w:val="002D2F0D"/>
    <w:rsid w:val="002D2F92"/>
    <w:rsid w:val="002D366C"/>
    <w:rsid w:val="002D3F48"/>
    <w:rsid w:val="002D4952"/>
    <w:rsid w:val="002D5119"/>
    <w:rsid w:val="002D555B"/>
    <w:rsid w:val="002D55AF"/>
    <w:rsid w:val="002D5C54"/>
    <w:rsid w:val="002D6B05"/>
    <w:rsid w:val="002D6B0D"/>
    <w:rsid w:val="002D6B18"/>
    <w:rsid w:val="002D7652"/>
    <w:rsid w:val="002D77C3"/>
    <w:rsid w:val="002D77F0"/>
    <w:rsid w:val="002D7BEF"/>
    <w:rsid w:val="002E062E"/>
    <w:rsid w:val="002E07F1"/>
    <w:rsid w:val="002E241B"/>
    <w:rsid w:val="002E2FC0"/>
    <w:rsid w:val="002E3793"/>
    <w:rsid w:val="002E58E9"/>
    <w:rsid w:val="002E5B68"/>
    <w:rsid w:val="002E6662"/>
    <w:rsid w:val="002E7507"/>
    <w:rsid w:val="002E7AB7"/>
    <w:rsid w:val="002E7D05"/>
    <w:rsid w:val="002F0257"/>
    <w:rsid w:val="002F0C3B"/>
    <w:rsid w:val="002F177B"/>
    <w:rsid w:val="002F1CD5"/>
    <w:rsid w:val="002F1F4D"/>
    <w:rsid w:val="002F2057"/>
    <w:rsid w:val="002F28BF"/>
    <w:rsid w:val="002F2945"/>
    <w:rsid w:val="002F2ADA"/>
    <w:rsid w:val="002F2D20"/>
    <w:rsid w:val="002F3075"/>
    <w:rsid w:val="002F35D2"/>
    <w:rsid w:val="002F413D"/>
    <w:rsid w:val="002F4658"/>
    <w:rsid w:val="002F579D"/>
    <w:rsid w:val="002F5AF4"/>
    <w:rsid w:val="002F5F7B"/>
    <w:rsid w:val="003008EF"/>
    <w:rsid w:val="00301B63"/>
    <w:rsid w:val="00302054"/>
    <w:rsid w:val="0030231B"/>
    <w:rsid w:val="00303BA9"/>
    <w:rsid w:val="00304508"/>
    <w:rsid w:val="00304BE0"/>
    <w:rsid w:val="00306060"/>
    <w:rsid w:val="003060E3"/>
    <w:rsid w:val="0030613D"/>
    <w:rsid w:val="00306DBA"/>
    <w:rsid w:val="003075F0"/>
    <w:rsid w:val="003077B6"/>
    <w:rsid w:val="00307F3D"/>
    <w:rsid w:val="00311E81"/>
    <w:rsid w:val="003122B7"/>
    <w:rsid w:val="003126A9"/>
    <w:rsid w:val="00313B5C"/>
    <w:rsid w:val="003143C7"/>
    <w:rsid w:val="00314AD9"/>
    <w:rsid w:val="003164D5"/>
    <w:rsid w:val="003173F7"/>
    <w:rsid w:val="00317677"/>
    <w:rsid w:val="003205EB"/>
    <w:rsid w:val="0032161A"/>
    <w:rsid w:val="00321649"/>
    <w:rsid w:val="0032182D"/>
    <w:rsid w:val="00321E5C"/>
    <w:rsid w:val="0032253F"/>
    <w:rsid w:val="003226D3"/>
    <w:rsid w:val="00322C7A"/>
    <w:rsid w:val="00324017"/>
    <w:rsid w:val="003241D9"/>
    <w:rsid w:val="00324380"/>
    <w:rsid w:val="00324A9B"/>
    <w:rsid w:val="0032507B"/>
    <w:rsid w:val="00325E59"/>
    <w:rsid w:val="00327D3A"/>
    <w:rsid w:val="00330443"/>
    <w:rsid w:val="00330573"/>
    <w:rsid w:val="0033129D"/>
    <w:rsid w:val="003315B1"/>
    <w:rsid w:val="0033164B"/>
    <w:rsid w:val="00331743"/>
    <w:rsid w:val="00331AFA"/>
    <w:rsid w:val="0033241A"/>
    <w:rsid w:val="003327A8"/>
    <w:rsid w:val="00333511"/>
    <w:rsid w:val="003349BA"/>
    <w:rsid w:val="00334E38"/>
    <w:rsid w:val="003350C9"/>
    <w:rsid w:val="00335846"/>
    <w:rsid w:val="00335951"/>
    <w:rsid w:val="00336590"/>
    <w:rsid w:val="0033667A"/>
    <w:rsid w:val="003368D2"/>
    <w:rsid w:val="0033705A"/>
    <w:rsid w:val="0034162D"/>
    <w:rsid w:val="00341EB6"/>
    <w:rsid w:val="003427D0"/>
    <w:rsid w:val="00342A86"/>
    <w:rsid w:val="00342DD7"/>
    <w:rsid w:val="003437D5"/>
    <w:rsid w:val="00343DAD"/>
    <w:rsid w:val="003440B5"/>
    <w:rsid w:val="003443D1"/>
    <w:rsid w:val="00344B87"/>
    <w:rsid w:val="003452A0"/>
    <w:rsid w:val="0034530D"/>
    <w:rsid w:val="00346A57"/>
    <w:rsid w:val="00350142"/>
    <w:rsid w:val="00351232"/>
    <w:rsid w:val="003515D2"/>
    <w:rsid w:val="00351B96"/>
    <w:rsid w:val="00352187"/>
    <w:rsid w:val="0035353E"/>
    <w:rsid w:val="00354ECB"/>
    <w:rsid w:val="003552B5"/>
    <w:rsid w:val="003552B8"/>
    <w:rsid w:val="003559C0"/>
    <w:rsid w:val="00355BE9"/>
    <w:rsid w:val="00356811"/>
    <w:rsid w:val="00356F35"/>
    <w:rsid w:val="00357F59"/>
    <w:rsid w:val="00360F96"/>
    <w:rsid w:val="00361B28"/>
    <w:rsid w:val="00361C8E"/>
    <w:rsid w:val="0036267F"/>
    <w:rsid w:val="00362920"/>
    <w:rsid w:val="00362A8F"/>
    <w:rsid w:val="00362CF3"/>
    <w:rsid w:val="0036365B"/>
    <w:rsid w:val="003638E9"/>
    <w:rsid w:val="00364122"/>
    <w:rsid w:val="00364384"/>
    <w:rsid w:val="0036467A"/>
    <w:rsid w:val="00364D81"/>
    <w:rsid w:val="00367EE7"/>
    <w:rsid w:val="00370613"/>
    <w:rsid w:val="00370BF4"/>
    <w:rsid w:val="003710B4"/>
    <w:rsid w:val="003712EB"/>
    <w:rsid w:val="00371783"/>
    <w:rsid w:val="00372E35"/>
    <w:rsid w:val="00372E81"/>
    <w:rsid w:val="0037379E"/>
    <w:rsid w:val="00373AC2"/>
    <w:rsid w:val="00374B3D"/>
    <w:rsid w:val="00375645"/>
    <w:rsid w:val="0037600B"/>
    <w:rsid w:val="003761C9"/>
    <w:rsid w:val="00376543"/>
    <w:rsid w:val="003774CB"/>
    <w:rsid w:val="0038297F"/>
    <w:rsid w:val="00382A11"/>
    <w:rsid w:val="00383557"/>
    <w:rsid w:val="003840F9"/>
    <w:rsid w:val="00384105"/>
    <w:rsid w:val="00384DD6"/>
    <w:rsid w:val="00385100"/>
    <w:rsid w:val="0038567A"/>
    <w:rsid w:val="00385B3C"/>
    <w:rsid w:val="003864AE"/>
    <w:rsid w:val="00386D92"/>
    <w:rsid w:val="00386F24"/>
    <w:rsid w:val="003870EA"/>
    <w:rsid w:val="003911C1"/>
    <w:rsid w:val="003917EA"/>
    <w:rsid w:val="003917F5"/>
    <w:rsid w:val="00391E2D"/>
    <w:rsid w:val="00392146"/>
    <w:rsid w:val="00393384"/>
    <w:rsid w:val="00393F5E"/>
    <w:rsid w:val="00394457"/>
    <w:rsid w:val="003949AC"/>
    <w:rsid w:val="00396104"/>
    <w:rsid w:val="00396BA7"/>
    <w:rsid w:val="00397816"/>
    <w:rsid w:val="003978B0"/>
    <w:rsid w:val="00397AA0"/>
    <w:rsid w:val="00397BD3"/>
    <w:rsid w:val="003A0988"/>
    <w:rsid w:val="003A0CA0"/>
    <w:rsid w:val="003A0E17"/>
    <w:rsid w:val="003A0F5C"/>
    <w:rsid w:val="003A161E"/>
    <w:rsid w:val="003A16B7"/>
    <w:rsid w:val="003A1D1D"/>
    <w:rsid w:val="003A243C"/>
    <w:rsid w:val="003A26E7"/>
    <w:rsid w:val="003A29D7"/>
    <w:rsid w:val="003A2C0B"/>
    <w:rsid w:val="003A3354"/>
    <w:rsid w:val="003A3536"/>
    <w:rsid w:val="003A3CF8"/>
    <w:rsid w:val="003A3F4E"/>
    <w:rsid w:val="003A418E"/>
    <w:rsid w:val="003A49A2"/>
    <w:rsid w:val="003A6165"/>
    <w:rsid w:val="003A6D10"/>
    <w:rsid w:val="003A75E4"/>
    <w:rsid w:val="003B0619"/>
    <w:rsid w:val="003B07CA"/>
    <w:rsid w:val="003B1783"/>
    <w:rsid w:val="003B23C0"/>
    <w:rsid w:val="003B2E22"/>
    <w:rsid w:val="003B2F13"/>
    <w:rsid w:val="003B39BB"/>
    <w:rsid w:val="003B3D5B"/>
    <w:rsid w:val="003B50F1"/>
    <w:rsid w:val="003B5AC4"/>
    <w:rsid w:val="003B5BC1"/>
    <w:rsid w:val="003B6644"/>
    <w:rsid w:val="003B6C2C"/>
    <w:rsid w:val="003B763F"/>
    <w:rsid w:val="003B7EE7"/>
    <w:rsid w:val="003C0033"/>
    <w:rsid w:val="003C0101"/>
    <w:rsid w:val="003C013A"/>
    <w:rsid w:val="003C0746"/>
    <w:rsid w:val="003C0F0B"/>
    <w:rsid w:val="003C167F"/>
    <w:rsid w:val="003C18AF"/>
    <w:rsid w:val="003C2780"/>
    <w:rsid w:val="003C29B8"/>
    <w:rsid w:val="003C3E8A"/>
    <w:rsid w:val="003C4BF3"/>
    <w:rsid w:val="003C4DC8"/>
    <w:rsid w:val="003C56FA"/>
    <w:rsid w:val="003C5E34"/>
    <w:rsid w:val="003C64A6"/>
    <w:rsid w:val="003C7878"/>
    <w:rsid w:val="003C7A72"/>
    <w:rsid w:val="003D1D8F"/>
    <w:rsid w:val="003D23B2"/>
    <w:rsid w:val="003D2B38"/>
    <w:rsid w:val="003D2CAE"/>
    <w:rsid w:val="003D2D78"/>
    <w:rsid w:val="003D427C"/>
    <w:rsid w:val="003D4324"/>
    <w:rsid w:val="003D4588"/>
    <w:rsid w:val="003D4BE0"/>
    <w:rsid w:val="003D52EF"/>
    <w:rsid w:val="003D5562"/>
    <w:rsid w:val="003D55D9"/>
    <w:rsid w:val="003D594E"/>
    <w:rsid w:val="003D6729"/>
    <w:rsid w:val="003D7D33"/>
    <w:rsid w:val="003E283B"/>
    <w:rsid w:val="003E396B"/>
    <w:rsid w:val="003E3E52"/>
    <w:rsid w:val="003E4F1F"/>
    <w:rsid w:val="003E4F38"/>
    <w:rsid w:val="003E5430"/>
    <w:rsid w:val="003E66CD"/>
    <w:rsid w:val="003E794E"/>
    <w:rsid w:val="003F065A"/>
    <w:rsid w:val="003F0DAF"/>
    <w:rsid w:val="003F1EC5"/>
    <w:rsid w:val="003F2381"/>
    <w:rsid w:val="003F2389"/>
    <w:rsid w:val="003F2EF2"/>
    <w:rsid w:val="003F4339"/>
    <w:rsid w:val="003F45F5"/>
    <w:rsid w:val="003F4690"/>
    <w:rsid w:val="003F6306"/>
    <w:rsid w:val="003F657B"/>
    <w:rsid w:val="003F6E75"/>
    <w:rsid w:val="003F7E4D"/>
    <w:rsid w:val="0040113F"/>
    <w:rsid w:val="00401E2A"/>
    <w:rsid w:val="00401F78"/>
    <w:rsid w:val="00402403"/>
    <w:rsid w:val="0040261E"/>
    <w:rsid w:val="00402938"/>
    <w:rsid w:val="00403768"/>
    <w:rsid w:val="0040408F"/>
    <w:rsid w:val="0040416A"/>
    <w:rsid w:val="0040443C"/>
    <w:rsid w:val="00404CDF"/>
    <w:rsid w:val="00406EBE"/>
    <w:rsid w:val="00407470"/>
    <w:rsid w:val="00407495"/>
    <w:rsid w:val="0041045D"/>
    <w:rsid w:val="004113DA"/>
    <w:rsid w:val="00412564"/>
    <w:rsid w:val="004138EA"/>
    <w:rsid w:val="004139F7"/>
    <w:rsid w:val="004147C5"/>
    <w:rsid w:val="00414AA0"/>
    <w:rsid w:val="0041510C"/>
    <w:rsid w:val="004152F1"/>
    <w:rsid w:val="004160E4"/>
    <w:rsid w:val="004164F4"/>
    <w:rsid w:val="004168E2"/>
    <w:rsid w:val="00417AE0"/>
    <w:rsid w:val="00417F46"/>
    <w:rsid w:val="00421A6D"/>
    <w:rsid w:val="00422F10"/>
    <w:rsid w:val="0042371B"/>
    <w:rsid w:val="004238BA"/>
    <w:rsid w:val="00423DB2"/>
    <w:rsid w:val="00423DC4"/>
    <w:rsid w:val="00423FFA"/>
    <w:rsid w:val="0042470F"/>
    <w:rsid w:val="00425326"/>
    <w:rsid w:val="00425577"/>
    <w:rsid w:val="004261FD"/>
    <w:rsid w:val="00426B51"/>
    <w:rsid w:val="00426F65"/>
    <w:rsid w:val="0042728D"/>
    <w:rsid w:val="00430051"/>
    <w:rsid w:val="00431037"/>
    <w:rsid w:val="00431409"/>
    <w:rsid w:val="004314DC"/>
    <w:rsid w:val="004314F8"/>
    <w:rsid w:val="00431702"/>
    <w:rsid w:val="004323E2"/>
    <w:rsid w:val="00432FAF"/>
    <w:rsid w:val="004336DC"/>
    <w:rsid w:val="00434722"/>
    <w:rsid w:val="00435487"/>
    <w:rsid w:val="00436D3F"/>
    <w:rsid w:val="00437F09"/>
    <w:rsid w:val="00440666"/>
    <w:rsid w:val="00441466"/>
    <w:rsid w:val="004421B3"/>
    <w:rsid w:val="00442D99"/>
    <w:rsid w:val="004431F3"/>
    <w:rsid w:val="00443C59"/>
    <w:rsid w:val="00444772"/>
    <w:rsid w:val="004449E5"/>
    <w:rsid w:val="00445131"/>
    <w:rsid w:val="00445436"/>
    <w:rsid w:val="004464FD"/>
    <w:rsid w:val="0044781E"/>
    <w:rsid w:val="00450126"/>
    <w:rsid w:val="0045146D"/>
    <w:rsid w:val="004531B0"/>
    <w:rsid w:val="0045581F"/>
    <w:rsid w:val="00456354"/>
    <w:rsid w:val="0045640F"/>
    <w:rsid w:val="00456547"/>
    <w:rsid w:val="00457168"/>
    <w:rsid w:val="00457652"/>
    <w:rsid w:val="00457AA9"/>
    <w:rsid w:val="00460124"/>
    <w:rsid w:val="00460B52"/>
    <w:rsid w:val="00460E5C"/>
    <w:rsid w:val="00460EDE"/>
    <w:rsid w:val="00461D00"/>
    <w:rsid w:val="00461F63"/>
    <w:rsid w:val="004627F9"/>
    <w:rsid w:val="00462858"/>
    <w:rsid w:val="004629B2"/>
    <w:rsid w:val="00462AAB"/>
    <w:rsid w:val="0046347D"/>
    <w:rsid w:val="00463778"/>
    <w:rsid w:val="00463F98"/>
    <w:rsid w:val="00464219"/>
    <w:rsid w:val="00464DD0"/>
    <w:rsid w:val="004656E6"/>
    <w:rsid w:val="00465860"/>
    <w:rsid w:val="004662E2"/>
    <w:rsid w:val="00467644"/>
    <w:rsid w:val="00470034"/>
    <w:rsid w:val="004709CD"/>
    <w:rsid w:val="00474AB2"/>
    <w:rsid w:val="00474DEC"/>
    <w:rsid w:val="00475093"/>
    <w:rsid w:val="00476A0F"/>
    <w:rsid w:val="004773C4"/>
    <w:rsid w:val="0047791F"/>
    <w:rsid w:val="00480C3E"/>
    <w:rsid w:val="00480FB8"/>
    <w:rsid w:val="004814FE"/>
    <w:rsid w:val="004818FA"/>
    <w:rsid w:val="00481AD3"/>
    <w:rsid w:val="00481C04"/>
    <w:rsid w:val="00482F2B"/>
    <w:rsid w:val="004833CD"/>
    <w:rsid w:val="00483B8D"/>
    <w:rsid w:val="00483F9E"/>
    <w:rsid w:val="00484F18"/>
    <w:rsid w:val="00485F20"/>
    <w:rsid w:val="0048621D"/>
    <w:rsid w:val="004863B4"/>
    <w:rsid w:val="00486D7A"/>
    <w:rsid w:val="004871F7"/>
    <w:rsid w:val="0048780C"/>
    <w:rsid w:val="004879D2"/>
    <w:rsid w:val="004907F4"/>
    <w:rsid w:val="00490805"/>
    <w:rsid w:val="00490A2A"/>
    <w:rsid w:val="00490AC3"/>
    <w:rsid w:val="00490C46"/>
    <w:rsid w:val="00490DCF"/>
    <w:rsid w:val="00491C7F"/>
    <w:rsid w:val="0049260B"/>
    <w:rsid w:val="00493987"/>
    <w:rsid w:val="00493E7B"/>
    <w:rsid w:val="00493FF8"/>
    <w:rsid w:val="0049466D"/>
    <w:rsid w:val="0049565F"/>
    <w:rsid w:val="004961E7"/>
    <w:rsid w:val="00496733"/>
    <w:rsid w:val="00496B9F"/>
    <w:rsid w:val="0049769B"/>
    <w:rsid w:val="00497C26"/>
    <w:rsid w:val="00497F94"/>
    <w:rsid w:val="004A2124"/>
    <w:rsid w:val="004A4B7A"/>
    <w:rsid w:val="004A54D6"/>
    <w:rsid w:val="004A61E8"/>
    <w:rsid w:val="004A6EEC"/>
    <w:rsid w:val="004A7050"/>
    <w:rsid w:val="004A7F88"/>
    <w:rsid w:val="004B0807"/>
    <w:rsid w:val="004B0AF1"/>
    <w:rsid w:val="004B0DDF"/>
    <w:rsid w:val="004B0EEE"/>
    <w:rsid w:val="004B1725"/>
    <w:rsid w:val="004B2CC1"/>
    <w:rsid w:val="004B2DF8"/>
    <w:rsid w:val="004B3281"/>
    <w:rsid w:val="004B3ADB"/>
    <w:rsid w:val="004B3AEB"/>
    <w:rsid w:val="004B3E17"/>
    <w:rsid w:val="004B3FBA"/>
    <w:rsid w:val="004B41C1"/>
    <w:rsid w:val="004B46C2"/>
    <w:rsid w:val="004B4AED"/>
    <w:rsid w:val="004B4C61"/>
    <w:rsid w:val="004B62B9"/>
    <w:rsid w:val="004B72E5"/>
    <w:rsid w:val="004C0428"/>
    <w:rsid w:val="004C0652"/>
    <w:rsid w:val="004C1449"/>
    <w:rsid w:val="004C2166"/>
    <w:rsid w:val="004C330D"/>
    <w:rsid w:val="004C333C"/>
    <w:rsid w:val="004C3774"/>
    <w:rsid w:val="004C38B7"/>
    <w:rsid w:val="004C3D15"/>
    <w:rsid w:val="004C475B"/>
    <w:rsid w:val="004C5911"/>
    <w:rsid w:val="004C5B1B"/>
    <w:rsid w:val="004C5CFD"/>
    <w:rsid w:val="004C6D58"/>
    <w:rsid w:val="004C7764"/>
    <w:rsid w:val="004C77D1"/>
    <w:rsid w:val="004C7A23"/>
    <w:rsid w:val="004D01FA"/>
    <w:rsid w:val="004D1027"/>
    <w:rsid w:val="004D13B5"/>
    <w:rsid w:val="004D4B63"/>
    <w:rsid w:val="004D4B90"/>
    <w:rsid w:val="004D58CC"/>
    <w:rsid w:val="004D5CFF"/>
    <w:rsid w:val="004D5F22"/>
    <w:rsid w:val="004D6F55"/>
    <w:rsid w:val="004E0578"/>
    <w:rsid w:val="004E0C37"/>
    <w:rsid w:val="004E0D51"/>
    <w:rsid w:val="004E0D97"/>
    <w:rsid w:val="004E14FA"/>
    <w:rsid w:val="004E1751"/>
    <w:rsid w:val="004E2265"/>
    <w:rsid w:val="004E34D7"/>
    <w:rsid w:val="004E3ACA"/>
    <w:rsid w:val="004E4A68"/>
    <w:rsid w:val="004E573F"/>
    <w:rsid w:val="004E5C6E"/>
    <w:rsid w:val="004E6D9B"/>
    <w:rsid w:val="004F02DB"/>
    <w:rsid w:val="004F043D"/>
    <w:rsid w:val="004F057B"/>
    <w:rsid w:val="004F08DE"/>
    <w:rsid w:val="004F0FB4"/>
    <w:rsid w:val="004F1384"/>
    <w:rsid w:val="004F1398"/>
    <w:rsid w:val="004F1796"/>
    <w:rsid w:val="004F19FB"/>
    <w:rsid w:val="004F1A6A"/>
    <w:rsid w:val="004F1CDE"/>
    <w:rsid w:val="004F36E8"/>
    <w:rsid w:val="004F48B7"/>
    <w:rsid w:val="004F4B07"/>
    <w:rsid w:val="004F59A1"/>
    <w:rsid w:val="004F59DE"/>
    <w:rsid w:val="004F5C2E"/>
    <w:rsid w:val="004F5ED6"/>
    <w:rsid w:val="004F61B4"/>
    <w:rsid w:val="004F7304"/>
    <w:rsid w:val="004F7963"/>
    <w:rsid w:val="004F7ED4"/>
    <w:rsid w:val="00500F84"/>
    <w:rsid w:val="005042EE"/>
    <w:rsid w:val="00504FCC"/>
    <w:rsid w:val="005063F2"/>
    <w:rsid w:val="0050698F"/>
    <w:rsid w:val="00507440"/>
    <w:rsid w:val="005075E2"/>
    <w:rsid w:val="0051044E"/>
    <w:rsid w:val="00510AB9"/>
    <w:rsid w:val="00513467"/>
    <w:rsid w:val="005145D4"/>
    <w:rsid w:val="00515AF3"/>
    <w:rsid w:val="00517C95"/>
    <w:rsid w:val="00520275"/>
    <w:rsid w:val="00520581"/>
    <w:rsid w:val="005214B2"/>
    <w:rsid w:val="00521A93"/>
    <w:rsid w:val="00521AE0"/>
    <w:rsid w:val="00522235"/>
    <w:rsid w:val="00522C14"/>
    <w:rsid w:val="00522E99"/>
    <w:rsid w:val="00523042"/>
    <w:rsid w:val="0052323F"/>
    <w:rsid w:val="005242D2"/>
    <w:rsid w:val="005259CC"/>
    <w:rsid w:val="00526185"/>
    <w:rsid w:val="00526598"/>
    <w:rsid w:val="00526BF4"/>
    <w:rsid w:val="005271AC"/>
    <w:rsid w:val="005272A3"/>
    <w:rsid w:val="00527650"/>
    <w:rsid w:val="00527E32"/>
    <w:rsid w:val="0053188E"/>
    <w:rsid w:val="005323C1"/>
    <w:rsid w:val="00532FC2"/>
    <w:rsid w:val="00533820"/>
    <w:rsid w:val="00533F32"/>
    <w:rsid w:val="00534F9F"/>
    <w:rsid w:val="0053551C"/>
    <w:rsid w:val="005357E3"/>
    <w:rsid w:val="00535A4F"/>
    <w:rsid w:val="00535BE2"/>
    <w:rsid w:val="00535BEF"/>
    <w:rsid w:val="00535CAB"/>
    <w:rsid w:val="00536861"/>
    <w:rsid w:val="00536BAB"/>
    <w:rsid w:val="00537F74"/>
    <w:rsid w:val="005405AA"/>
    <w:rsid w:val="00540842"/>
    <w:rsid w:val="005413A0"/>
    <w:rsid w:val="00541DA8"/>
    <w:rsid w:val="00542396"/>
    <w:rsid w:val="00542B49"/>
    <w:rsid w:val="00543322"/>
    <w:rsid w:val="00543C18"/>
    <w:rsid w:val="00543C98"/>
    <w:rsid w:val="005446BD"/>
    <w:rsid w:val="00545B6F"/>
    <w:rsid w:val="0054632B"/>
    <w:rsid w:val="005464BD"/>
    <w:rsid w:val="00546691"/>
    <w:rsid w:val="00546931"/>
    <w:rsid w:val="005476B0"/>
    <w:rsid w:val="00547701"/>
    <w:rsid w:val="0055010B"/>
    <w:rsid w:val="0055139B"/>
    <w:rsid w:val="00551D4F"/>
    <w:rsid w:val="00551DF6"/>
    <w:rsid w:val="005523F0"/>
    <w:rsid w:val="00552C5D"/>
    <w:rsid w:val="00552DF7"/>
    <w:rsid w:val="00553663"/>
    <w:rsid w:val="005546C6"/>
    <w:rsid w:val="00554D6E"/>
    <w:rsid w:val="005550C6"/>
    <w:rsid w:val="00555E9C"/>
    <w:rsid w:val="005571AF"/>
    <w:rsid w:val="00557724"/>
    <w:rsid w:val="005608E5"/>
    <w:rsid w:val="005615A0"/>
    <w:rsid w:val="00561C4E"/>
    <w:rsid w:val="00563CC0"/>
    <w:rsid w:val="00563CFC"/>
    <w:rsid w:val="0056420A"/>
    <w:rsid w:val="005654F7"/>
    <w:rsid w:val="00565B68"/>
    <w:rsid w:val="00565EC5"/>
    <w:rsid w:val="00566041"/>
    <w:rsid w:val="00566C48"/>
    <w:rsid w:val="00566FA4"/>
    <w:rsid w:val="00566FF2"/>
    <w:rsid w:val="00567758"/>
    <w:rsid w:val="0057007C"/>
    <w:rsid w:val="0057021E"/>
    <w:rsid w:val="00570D32"/>
    <w:rsid w:val="00572669"/>
    <w:rsid w:val="00572ED3"/>
    <w:rsid w:val="00574EE7"/>
    <w:rsid w:val="00575B21"/>
    <w:rsid w:val="005767FA"/>
    <w:rsid w:val="0058038B"/>
    <w:rsid w:val="0058062F"/>
    <w:rsid w:val="0058088E"/>
    <w:rsid w:val="00580DC0"/>
    <w:rsid w:val="00582F39"/>
    <w:rsid w:val="005834F6"/>
    <w:rsid w:val="00584A49"/>
    <w:rsid w:val="005873AC"/>
    <w:rsid w:val="00590146"/>
    <w:rsid w:val="00590756"/>
    <w:rsid w:val="00590A56"/>
    <w:rsid w:val="00591738"/>
    <w:rsid w:val="005920B7"/>
    <w:rsid w:val="00593310"/>
    <w:rsid w:val="00593C87"/>
    <w:rsid w:val="0059454A"/>
    <w:rsid w:val="0059674B"/>
    <w:rsid w:val="00596D05"/>
    <w:rsid w:val="00596DBD"/>
    <w:rsid w:val="00597A08"/>
    <w:rsid w:val="00597FE8"/>
    <w:rsid w:val="005A02E3"/>
    <w:rsid w:val="005A093F"/>
    <w:rsid w:val="005A22B6"/>
    <w:rsid w:val="005A2590"/>
    <w:rsid w:val="005A2B83"/>
    <w:rsid w:val="005A2CEC"/>
    <w:rsid w:val="005A36B5"/>
    <w:rsid w:val="005A3E26"/>
    <w:rsid w:val="005A3F00"/>
    <w:rsid w:val="005A49D6"/>
    <w:rsid w:val="005A4F42"/>
    <w:rsid w:val="005A4FC8"/>
    <w:rsid w:val="005A69CB"/>
    <w:rsid w:val="005A7224"/>
    <w:rsid w:val="005B06CA"/>
    <w:rsid w:val="005B0A67"/>
    <w:rsid w:val="005B1455"/>
    <w:rsid w:val="005B1887"/>
    <w:rsid w:val="005B2E91"/>
    <w:rsid w:val="005B30FB"/>
    <w:rsid w:val="005B3DB3"/>
    <w:rsid w:val="005B4905"/>
    <w:rsid w:val="005B61A4"/>
    <w:rsid w:val="005B6D1D"/>
    <w:rsid w:val="005B707D"/>
    <w:rsid w:val="005B765E"/>
    <w:rsid w:val="005B7C78"/>
    <w:rsid w:val="005B7F02"/>
    <w:rsid w:val="005C0EDC"/>
    <w:rsid w:val="005C1070"/>
    <w:rsid w:val="005C2B49"/>
    <w:rsid w:val="005C304B"/>
    <w:rsid w:val="005C3948"/>
    <w:rsid w:val="005C3B19"/>
    <w:rsid w:val="005C3DE2"/>
    <w:rsid w:val="005C406A"/>
    <w:rsid w:val="005C4093"/>
    <w:rsid w:val="005C47F3"/>
    <w:rsid w:val="005C67DA"/>
    <w:rsid w:val="005D0E52"/>
    <w:rsid w:val="005D143E"/>
    <w:rsid w:val="005D18BD"/>
    <w:rsid w:val="005D4092"/>
    <w:rsid w:val="005D4D40"/>
    <w:rsid w:val="005D55E8"/>
    <w:rsid w:val="005D5C3D"/>
    <w:rsid w:val="005D6FB9"/>
    <w:rsid w:val="005D7428"/>
    <w:rsid w:val="005D7DDA"/>
    <w:rsid w:val="005E14CD"/>
    <w:rsid w:val="005E17B5"/>
    <w:rsid w:val="005E1F31"/>
    <w:rsid w:val="005E3068"/>
    <w:rsid w:val="005E3CE5"/>
    <w:rsid w:val="005E5167"/>
    <w:rsid w:val="005E5794"/>
    <w:rsid w:val="005E58A2"/>
    <w:rsid w:val="005E6381"/>
    <w:rsid w:val="005E674C"/>
    <w:rsid w:val="005E6F9C"/>
    <w:rsid w:val="005E7FC7"/>
    <w:rsid w:val="005F03D5"/>
    <w:rsid w:val="005F0C3C"/>
    <w:rsid w:val="005F0D79"/>
    <w:rsid w:val="005F1884"/>
    <w:rsid w:val="005F1E40"/>
    <w:rsid w:val="005F2303"/>
    <w:rsid w:val="005F2831"/>
    <w:rsid w:val="005F311A"/>
    <w:rsid w:val="005F36E6"/>
    <w:rsid w:val="005F386B"/>
    <w:rsid w:val="005F4366"/>
    <w:rsid w:val="005F5100"/>
    <w:rsid w:val="005F5CA0"/>
    <w:rsid w:val="005F659D"/>
    <w:rsid w:val="005F6968"/>
    <w:rsid w:val="005F75B6"/>
    <w:rsid w:val="006008CA"/>
    <w:rsid w:val="00601431"/>
    <w:rsid w:val="006023F6"/>
    <w:rsid w:val="00602A20"/>
    <w:rsid w:val="00603820"/>
    <w:rsid w:val="00603BBC"/>
    <w:rsid w:val="006058DF"/>
    <w:rsid w:val="00605E2C"/>
    <w:rsid w:val="00606CD5"/>
    <w:rsid w:val="00607B98"/>
    <w:rsid w:val="00610166"/>
    <w:rsid w:val="006105CB"/>
    <w:rsid w:val="00610B65"/>
    <w:rsid w:val="00610CFF"/>
    <w:rsid w:val="00610D6F"/>
    <w:rsid w:val="00611296"/>
    <w:rsid w:val="0061170B"/>
    <w:rsid w:val="0061186E"/>
    <w:rsid w:val="00611C5D"/>
    <w:rsid w:val="00612F26"/>
    <w:rsid w:val="00613A4C"/>
    <w:rsid w:val="006146D6"/>
    <w:rsid w:val="00615CC5"/>
    <w:rsid w:val="006160E6"/>
    <w:rsid w:val="0061717A"/>
    <w:rsid w:val="00617DE6"/>
    <w:rsid w:val="00621C83"/>
    <w:rsid w:val="00622DE5"/>
    <w:rsid w:val="006237B9"/>
    <w:rsid w:val="00624E1C"/>
    <w:rsid w:val="00624FA5"/>
    <w:rsid w:val="0062624F"/>
    <w:rsid w:val="006265E7"/>
    <w:rsid w:val="006273D1"/>
    <w:rsid w:val="006278A1"/>
    <w:rsid w:val="00630759"/>
    <w:rsid w:val="006309D1"/>
    <w:rsid w:val="00630B3F"/>
    <w:rsid w:val="00631430"/>
    <w:rsid w:val="0063168B"/>
    <w:rsid w:val="00632FEB"/>
    <w:rsid w:val="0063361E"/>
    <w:rsid w:val="006337D8"/>
    <w:rsid w:val="00634161"/>
    <w:rsid w:val="0063418B"/>
    <w:rsid w:val="00634904"/>
    <w:rsid w:val="006355C0"/>
    <w:rsid w:val="00635F94"/>
    <w:rsid w:val="006363C3"/>
    <w:rsid w:val="006369C9"/>
    <w:rsid w:val="0063765F"/>
    <w:rsid w:val="00637801"/>
    <w:rsid w:val="00641709"/>
    <w:rsid w:val="00641BFD"/>
    <w:rsid w:val="00641D5D"/>
    <w:rsid w:val="00642A1C"/>
    <w:rsid w:val="00643361"/>
    <w:rsid w:val="00643940"/>
    <w:rsid w:val="00644A6D"/>
    <w:rsid w:val="00645F5B"/>
    <w:rsid w:val="006467A5"/>
    <w:rsid w:val="006467CA"/>
    <w:rsid w:val="00646EB8"/>
    <w:rsid w:val="0064776B"/>
    <w:rsid w:val="006500E3"/>
    <w:rsid w:val="0065126D"/>
    <w:rsid w:val="00651857"/>
    <w:rsid w:val="00651965"/>
    <w:rsid w:val="00653E6F"/>
    <w:rsid w:val="0065584A"/>
    <w:rsid w:val="00655B37"/>
    <w:rsid w:val="006565B5"/>
    <w:rsid w:val="00656CF5"/>
    <w:rsid w:val="00656EEF"/>
    <w:rsid w:val="00657093"/>
    <w:rsid w:val="00657BCD"/>
    <w:rsid w:val="00660783"/>
    <w:rsid w:val="0066109C"/>
    <w:rsid w:val="00661BB2"/>
    <w:rsid w:val="00663681"/>
    <w:rsid w:val="00663AAC"/>
    <w:rsid w:val="00664B99"/>
    <w:rsid w:val="00664C9B"/>
    <w:rsid w:val="00664DD1"/>
    <w:rsid w:val="00665E27"/>
    <w:rsid w:val="00666557"/>
    <w:rsid w:val="00666E08"/>
    <w:rsid w:val="0066718B"/>
    <w:rsid w:val="0066737B"/>
    <w:rsid w:val="00670A36"/>
    <w:rsid w:val="00670CA2"/>
    <w:rsid w:val="00670D82"/>
    <w:rsid w:val="0067463E"/>
    <w:rsid w:val="006750A3"/>
    <w:rsid w:val="006762B3"/>
    <w:rsid w:val="00677816"/>
    <w:rsid w:val="00677913"/>
    <w:rsid w:val="00677ABD"/>
    <w:rsid w:val="0068039A"/>
    <w:rsid w:val="0068088C"/>
    <w:rsid w:val="00680D8A"/>
    <w:rsid w:val="00680FE7"/>
    <w:rsid w:val="00681E5C"/>
    <w:rsid w:val="00683007"/>
    <w:rsid w:val="0068337D"/>
    <w:rsid w:val="0068339E"/>
    <w:rsid w:val="006839E1"/>
    <w:rsid w:val="0068409C"/>
    <w:rsid w:val="006845A6"/>
    <w:rsid w:val="0068492F"/>
    <w:rsid w:val="00684E30"/>
    <w:rsid w:val="0068514A"/>
    <w:rsid w:val="00686791"/>
    <w:rsid w:val="00687675"/>
    <w:rsid w:val="00687CD9"/>
    <w:rsid w:val="00687F42"/>
    <w:rsid w:val="006913C2"/>
    <w:rsid w:val="00691642"/>
    <w:rsid w:val="00691876"/>
    <w:rsid w:val="00691FED"/>
    <w:rsid w:val="00692004"/>
    <w:rsid w:val="006920CD"/>
    <w:rsid w:val="00692965"/>
    <w:rsid w:val="00692CF8"/>
    <w:rsid w:val="00692F20"/>
    <w:rsid w:val="006933B4"/>
    <w:rsid w:val="00693F8E"/>
    <w:rsid w:val="006948F4"/>
    <w:rsid w:val="00694BC0"/>
    <w:rsid w:val="00695713"/>
    <w:rsid w:val="00695719"/>
    <w:rsid w:val="00695902"/>
    <w:rsid w:val="00695FD1"/>
    <w:rsid w:val="0069602F"/>
    <w:rsid w:val="006967ED"/>
    <w:rsid w:val="00696B48"/>
    <w:rsid w:val="006A075A"/>
    <w:rsid w:val="006A1905"/>
    <w:rsid w:val="006A2946"/>
    <w:rsid w:val="006A3EDA"/>
    <w:rsid w:val="006A5131"/>
    <w:rsid w:val="006A69F2"/>
    <w:rsid w:val="006B0B58"/>
    <w:rsid w:val="006B220A"/>
    <w:rsid w:val="006B3C36"/>
    <w:rsid w:val="006B467D"/>
    <w:rsid w:val="006B4817"/>
    <w:rsid w:val="006B5532"/>
    <w:rsid w:val="006B72C0"/>
    <w:rsid w:val="006C04AF"/>
    <w:rsid w:val="006C0E7A"/>
    <w:rsid w:val="006C1137"/>
    <w:rsid w:val="006C11DF"/>
    <w:rsid w:val="006C1DA5"/>
    <w:rsid w:val="006C29E5"/>
    <w:rsid w:val="006C2A28"/>
    <w:rsid w:val="006C2D16"/>
    <w:rsid w:val="006C3338"/>
    <w:rsid w:val="006C3F08"/>
    <w:rsid w:val="006C414D"/>
    <w:rsid w:val="006C42B3"/>
    <w:rsid w:val="006C4592"/>
    <w:rsid w:val="006C57FF"/>
    <w:rsid w:val="006C5FAF"/>
    <w:rsid w:val="006C6C05"/>
    <w:rsid w:val="006C6CDF"/>
    <w:rsid w:val="006C766B"/>
    <w:rsid w:val="006C783D"/>
    <w:rsid w:val="006C7876"/>
    <w:rsid w:val="006D05F2"/>
    <w:rsid w:val="006D0CEE"/>
    <w:rsid w:val="006D0D13"/>
    <w:rsid w:val="006D1C2A"/>
    <w:rsid w:val="006D1EEF"/>
    <w:rsid w:val="006D1F22"/>
    <w:rsid w:val="006D21AD"/>
    <w:rsid w:val="006D229A"/>
    <w:rsid w:val="006D270A"/>
    <w:rsid w:val="006D2D5A"/>
    <w:rsid w:val="006D3234"/>
    <w:rsid w:val="006D3AC7"/>
    <w:rsid w:val="006D4530"/>
    <w:rsid w:val="006D4CFF"/>
    <w:rsid w:val="006D4E79"/>
    <w:rsid w:val="006D56C0"/>
    <w:rsid w:val="006D5A9C"/>
    <w:rsid w:val="006D5E25"/>
    <w:rsid w:val="006D6BC7"/>
    <w:rsid w:val="006D73E5"/>
    <w:rsid w:val="006E07E6"/>
    <w:rsid w:val="006E15F6"/>
    <w:rsid w:val="006E23A0"/>
    <w:rsid w:val="006E293D"/>
    <w:rsid w:val="006E46B9"/>
    <w:rsid w:val="006E49C1"/>
    <w:rsid w:val="006E4C6A"/>
    <w:rsid w:val="006E53AA"/>
    <w:rsid w:val="006E59FC"/>
    <w:rsid w:val="006E7043"/>
    <w:rsid w:val="006E70C0"/>
    <w:rsid w:val="006E7698"/>
    <w:rsid w:val="006E78B2"/>
    <w:rsid w:val="006E7C74"/>
    <w:rsid w:val="006F109E"/>
    <w:rsid w:val="006F12E4"/>
    <w:rsid w:val="006F3533"/>
    <w:rsid w:val="006F510D"/>
    <w:rsid w:val="006F513F"/>
    <w:rsid w:val="006F53DF"/>
    <w:rsid w:val="006F5E7D"/>
    <w:rsid w:val="006F6596"/>
    <w:rsid w:val="006F689C"/>
    <w:rsid w:val="006F6B90"/>
    <w:rsid w:val="006F7CA1"/>
    <w:rsid w:val="006F7F51"/>
    <w:rsid w:val="00701221"/>
    <w:rsid w:val="0070129D"/>
    <w:rsid w:val="007012A3"/>
    <w:rsid w:val="0070167C"/>
    <w:rsid w:val="00701CDA"/>
    <w:rsid w:val="00701E79"/>
    <w:rsid w:val="007021D3"/>
    <w:rsid w:val="00703AF5"/>
    <w:rsid w:val="00703D95"/>
    <w:rsid w:val="007045A8"/>
    <w:rsid w:val="007046F7"/>
    <w:rsid w:val="007048B2"/>
    <w:rsid w:val="00704A45"/>
    <w:rsid w:val="00705180"/>
    <w:rsid w:val="00705276"/>
    <w:rsid w:val="0070555C"/>
    <w:rsid w:val="00706C8F"/>
    <w:rsid w:val="00707A40"/>
    <w:rsid w:val="007108D1"/>
    <w:rsid w:val="00710EC9"/>
    <w:rsid w:val="007111EB"/>
    <w:rsid w:val="007121D0"/>
    <w:rsid w:val="00712CB4"/>
    <w:rsid w:val="00713B34"/>
    <w:rsid w:val="00716D79"/>
    <w:rsid w:val="00716F4F"/>
    <w:rsid w:val="0071751E"/>
    <w:rsid w:val="007176CC"/>
    <w:rsid w:val="0072080C"/>
    <w:rsid w:val="00720DEB"/>
    <w:rsid w:val="007215EE"/>
    <w:rsid w:val="00723D44"/>
    <w:rsid w:val="007244CF"/>
    <w:rsid w:val="007245D7"/>
    <w:rsid w:val="00724A7E"/>
    <w:rsid w:val="00724C43"/>
    <w:rsid w:val="00725818"/>
    <w:rsid w:val="007264BB"/>
    <w:rsid w:val="0072654A"/>
    <w:rsid w:val="00726683"/>
    <w:rsid w:val="00726CE7"/>
    <w:rsid w:val="00726DE4"/>
    <w:rsid w:val="00727309"/>
    <w:rsid w:val="00727BD9"/>
    <w:rsid w:val="007301EA"/>
    <w:rsid w:val="007301FD"/>
    <w:rsid w:val="00730A84"/>
    <w:rsid w:val="00732602"/>
    <w:rsid w:val="00732A3E"/>
    <w:rsid w:val="00732D2D"/>
    <w:rsid w:val="0073307B"/>
    <w:rsid w:val="00733369"/>
    <w:rsid w:val="00734AFE"/>
    <w:rsid w:val="007352C3"/>
    <w:rsid w:val="0073588E"/>
    <w:rsid w:val="0073599C"/>
    <w:rsid w:val="00736D45"/>
    <w:rsid w:val="00737485"/>
    <w:rsid w:val="00740259"/>
    <w:rsid w:val="00741012"/>
    <w:rsid w:val="00741AE2"/>
    <w:rsid w:val="00741B05"/>
    <w:rsid w:val="0074234F"/>
    <w:rsid w:val="007427EF"/>
    <w:rsid w:val="00742B3B"/>
    <w:rsid w:val="00742B45"/>
    <w:rsid w:val="007438EB"/>
    <w:rsid w:val="0074421C"/>
    <w:rsid w:val="007446D1"/>
    <w:rsid w:val="00744AD2"/>
    <w:rsid w:val="00745BAA"/>
    <w:rsid w:val="00746F71"/>
    <w:rsid w:val="007505AC"/>
    <w:rsid w:val="00750BFD"/>
    <w:rsid w:val="00751CDE"/>
    <w:rsid w:val="00751D5E"/>
    <w:rsid w:val="00752069"/>
    <w:rsid w:val="00752BD1"/>
    <w:rsid w:val="007534DB"/>
    <w:rsid w:val="00756C79"/>
    <w:rsid w:val="00756E90"/>
    <w:rsid w:val="007573FB"/>
    <w:rsid w:val="00760B8B"/>
    <w:rsid w:val="00760FEA"/>
    <w:rsid w:val="007613B7"/>
    <w:rsid w:val="00761B96"/>
    <w:rsid w:val="0076241B"/>
    <w:rsid w:val="00762AB4"/>
    <w:rsid w:val="00763C79"/>
    <w:rsid w:val="00763D7E"/>
    <w:rsid w:val="007640C0"/>
    <w:rsid w:val="007643BB"/>
    <w:rsid w:val="007649AF"/>
    <w:rsid w:val="00764B23"/>
    <w:rsid w:val="00764C5F"/>
    <w:rsid w:val="0076533B"/>
    <w:rsid w:val="00765AD9"/>
    <w:rsid w:val="007671CA"/>
    <w:rsid w:val="00767245"/>
    <w:rsid w:val="007674ED"/>
    <w:rsid w:val="007679F6"/>
    <w:rsid w:val="00771340"/>
    <w:rsid w:val="00773B4E"/>
    <w:rsid w:val="00773B95"/>
    <w:rsid w:val="00774A83"/>
    <w:rsid w:val="00775540"/>
    <w:rsid w:val="00775C6E"/>
    <w:rsid w:val="00775CB2"/>
    <w:rsid w:val="00775F22"/>
    <w:rsid w:val="007762C6"/>
    <w:rsid w:val="00776403"/>
    <w:rsid w:val="00780A8F"/>
    <w:rsid w:val="00780AB8"/>
    <w:rsid w:val="00780E26"/>
    <w:rsid w:val="0078189B"/>
    <w:rsid w:val="00783B03"/>
    <w:rsid w:val="00783ED7"/>
    <w:rsid w:val="00784C5A"/>
    <w:rsid w:val="00784CAD"/>
    <w:rsid w:val="00784E66"/>
    <w:rsid w:val="007859E3"/>
    <w:rsid w:val="00785A70"/>
    <w:rsid w:val="00786100"/>
    <w:rsid w:val="007862CB"/>
    <w:rsid w:val="007873D5"/>
    <w:rsid w:val="00787D0F"/>
    <w:rsid w:val="007900DE"/>
    <w:rsid w:val="007906F8"/>
    <w:rsid w:val="00790862"/>
    <w:rsid w:val="00790B5D"/>
    <w:rsid w:val="00791056"/>
    <w:rsid w:val="0079129D"/>
    <w:rsid w:val="0079139C"/>
    <w:rsid w:val="007914D5"/>
    <w:rsid w:val="007917ED"/>
    <w:rsid w:val="007928F8"/>
    <w:rsid w:val="00792945"/>
    <w:rsid w:val="0079438A"/>
    <w:rsid w:val="007944B3"/>
    <w:rsid w:val="00795162"/>
    <w:rsid w:val="00795D16"/>
    <w:rsid w:val="007962EF"/>
    <w:rsid w:val="0079715B"/>
    <w:rsid w:val="007A2E70"/>
    <w:rsid w:val="007A3074"/>
    <w:rsid w:val="007A30E7"/>
    <w:rsid w:val="007A3137"/>
    <w:rsid w:val="007A328B"/>
    <w:rsid w:val="007A4361"/>
    <w:rsid w:val="007A60CC"/>
    <w:rsid w:val="007A6B45"/>
    <w:rsid w:val="007A7399"/>
    <w:rsid w:val="007A749F"/>
    <w:rsid w:val="007A7735"/>
    <w:rsid w:val="007A7916"/>
    <w:rsid w:val="007B1216"/>
    <w:rsid w:val="007B1303"/>
    <w:rsid w:val="007B15B3"/>
    <w:rsid w:val="007B1C3D"/>
    <w:rsid w:val="007B3229"/>
    <w:rsid w:val="007B3E31"/>
    <w:rsid w:val="007B5873"/>
    <w:rsid w:val="007C1094"/>
    <w:rsid w:val="007C11A3"/>
    <w:rsid w:val="007C1B6E"/>
    <w:rsid w:val="007C2A04"/>
    <w:rsid w:val="007C3315"/>
    <w:rsid w:val="007C34CD"/>
    <w:rsid w:val="007C4423"/>
    <w:rsid w:val="007C44FA"/>
    <w:rsid w:val="007C4764"/>
    <w:rsid w:val="007C4F43"/>
    <w:rsid w:val="007C690C"/>
    <w:rsid w:val="007C6FC2"/>
    <w:rsid w:val="007C7788"/>
    <w:rsid w:val="007D0785"/>
    <w:rsid w:val="007D1FD6"/>
    <w:rsid w:val="007D24C5"/>
    <w:rsid w:val="007D256D"/>
    <w:rsid w:val="007D2998"/>
    <w:rsid w:val="007D3E8E"/>
    <w:rsid w:val="007D4150"/>
    <w:rsid w:val="007D601D"/>
    <w:rsid w:val="007D7092"/>
    <w:rsid w:val="007E084A"/>
    <w:rsid w:val="007E0920"/>
    <w:rsid w:val="007E1680"/>
    <w:rsid w:val="007E1ADB"/>
    <w:rsid w:val="007E20C6"/>
    <w:rsid w:val="007E250E"/>
    <w:rsid w:val="007E36A1"/>
    <w:rsid w:val="007E443B"/>
    <w:rsid w:val="007E452E"/>
    <w:rsid w:val="007E491A"/>
    <w:rsid w:val="007E4C17"/>
    <w:rsid w:val="007E4C9F"/>
    <w:rsid w:val="007E5231"/>
    <w:rsid w:val="007E54D0"/>
    <w:rsid w:val="007E5922"/>
    <w:rsid w:val="007E5FFE"/>
    <w:rsid w:val="007E61F2"/>
    <w:rsid w:val="007E62EC"/>
    <w:rsid w:val="007E67A6"/>
    <w:rsid w:val="007E67F3"/>
    <w:rsid w:val="007E6ACC"/>
    <w:rsid w:val="007F08B8"/>
    <w:rsid w:val="007F0A2A"/>
    <w:rsid w:val="007F1116"/>
    <w:rsid w:val="007F1FD4"/>
    <w:rsid w:val="007F27E4"/>
    <w:rsid w:val="007F37F6"/>
    <w:rsid w:val="007F3F40"/>
    <w:rsid w:val="007F4258"/>
    <w:rsid w:val="007F4A23"/>
    <w:rsid w:val="007F4E0B"/>
    <w:rsid w:val="007F52EF"/>
    <w:rsid w:val="007F5E87"/>
    <w:rsid w:val="007F70C5"/>
    <w:rsid w:val="007F76AF"/>
    <w:rsid w:val="00800008"/>
    <w:rsid w:val="008003ED"/>
    <w:rsid w:val="00800B19"/>
    <w:rsid w:val="00800B93"/>
    <w:rsid w:val="00801343"/>
    <w:rsid w:val="008017A4"/>
    <w:rsid w:val="008017ED"/>
    <w:rsid w:val="00804AA1"/>
    <w:rsid w:val="008060D5"/>
    <w:rsid w:val="00806677"/>
    <w:rsid w:val="00807C10"/>
    <w:rsid w:val="0081032B"/>
    <w:rsid w:val="008105FE"/>
    <w:rsid w:val="00811275"/>
    <w:rsid w:val="00811A51"/>
    <w:rsid w:val="00811F2E"/>
    <w:rsid w:val="00813075"/>
    <w:rsid w:val="008136DD"/>
    <w:rsid w:val="008141A8"/>
    <w:rsid w:val="00814801"/>
    <w:rsid w:val="0081485B"/>
    <w:rsid w:val="00814D9A"/>
    <w:rsid w:val="00815259"/>
    <w:rsid w:val="00815CFC"/>
    <w:rsid w:val="00816C6B"/>
    <w:rsid w:val="0082021C"/>
    <w:rsid w:val="008213D3"/>
    <w:rsid w:val="008222A3"/>
    <w:rsid w:val="008230CC"/>
    <w:rsid w:val="0082341A"/>
    <w:rsid w:val="008234B8"/>
    <w:rsid w:val="0082379F"/>
    <w:rsid w:val="00823828"/>
    <w:rsid w:val="0082472D"/>
    <w:rsid w:val="008254C3"/>
    <w:rsid w:val="00825534"/>
    <w:rsid w:val="0082603A"/>
    <w:rsid w:val="008269E5"/>
    <w:rsid w:val="0083091B"/>
    <w:rsid w:val="00830D2F"/>
    <w:rsid w:val="008315FB"/>
    <w:rsid w:val="00831AAE"/>
    <w:rsid w:val="00831DA3"/>
    <w:rsid w:val="008329ED"/>
    <w:rsid w:val="00835A35"/>
    <w:rsid w:val="008371AF"/>
    <w:rsid w:val="00837C13"/>
    <w:rsid w:val="00837EBA"/>
    <w:rsid w:val="00843E71"/>
    <w:rsid w:val="00844104"/>
    <w:rsid w:val="00844392"/>
    <w:rsid w:val="00844742"/>
    <w:rsid w:val="00844974"/>
    <w:rsid w:val="008460AE"/>
    <w:rsid w:val="008475EF"/>
    <w:rsid w:val="008476B7"/>
    <w:rsid w:val="00847A59"/>
    <w:rsid w:val="00851445"/>
    <w:rsid w:val="00851748"/>
    <w:rsid w:val="00852F71"/>
    <w:rsid w:val="008548BC"/>
    <w:rsid w:val="008548D1"/>
    <w:rsid w:val="00854DEA"/>
    <w:rsid w:val="00855354"/>
    <w:rsid w:val="008563DD"/>
    <w:rsid w:val="00856A4B"/>
    <w:rsid w:val="00856FCF"/>
    <w:rsid w:val="008573C7"/>
    <w:rsid w:val="00857A34"/>
    <w:rsid w:val="00860170"/>
    <w:rsid w:val="0086072B"/>
    <w:rsid w:val="00860CE7"/>
    <w:rsid w:val="00861DBB"/>
    <w:rsid w:val="00862D81"/>
    <w:rsid w:val="008639D9"/>
    <w:rsid w:val="00865AD2"/>
    <w:rsid w:val="00866D03"/>
    <w:rsid w:val="008673F1"/>
    <w:rsid w:val="00867477"/>
    <w:rsid w:val="00870966"/>
    <w:rsid w:val="00871285"/>
    <w:rsid w:val="00871CA6"/>
    <w:rsid w:val="008720BD"/>
    <w:rsid w:val="008726C0"/>
    <w:rsid w:val="00872A15"/>
    <w:rsid w:val="008732B5"/>
    <w:rsid w:val="008733D1"/>
    <w:rsid w:val="00873DC6"/>
    <w:rsid w:val="00875EEC"/>
    <w:rsid w:val="00876745"/>
    <w:rsid w:val="008779B4"/>
    <w:rsid w:val="00880D99"/>
    <w:rsid w:val="008816DF"/>
    <w:rsid w:val="00884EFE"/>
    <w:rsid w:val="00885D28"/>
    <w:rsid w:val="00886C15"/>
    <w:rsid w:val="00886FBA"/>
    <w:rsid w:val="00887115"/>
    <w:rsid w:val="008904BA"/>
    <w:rsid w:val="00890862"/>
    <w:rsid w:val="008908BF"/>
    <w:rsid w:val="00890B3F"/>
    <w:rsid w:val="00891207"/>
    <w:rsid w:val="00891610"/>
    <w:rsid w:val="00892606"/>
    <w:rsid w:val="00892E51"/>
    <w:rsid w:val="0089335A"/>
    <w:rsid w:val="008938C9"/>
    <w:rsid w:val="008941BD"/>
    <w:rsid w:val="008949D6"/>
    <w:rsid w:val="008949F3"/>
    <w:rsid w:val="00895132"/>
    <w:rsid w:val="0089541C"/>
    <w:rsid w:val="008957A4"/>
    <w:rsid w:val="00895A52"/>
    <w:rsid w:val="0089649D"/>
    <w:rsid w:val="008964C4"/>
    <w:rsid w:val="00897644"/>
    <w:rsid w:val="00897AD6"/>
    <w:rsid w:val="008A02A5"/>
    <w:rsid w:val="008A12F5"/>
    <w:rsid w:val="008A15C4"/>
    <w:rsid w:val="008A1721"/>
    <w:rsid w:val="008A300E"/>
    <w:rsid w:val="008A39AC"/>
    <w:rsid w:val="008A39F9"/>
    <w:rsid w:val="008A62D0"/>
    <w:rsid w:val="008A64C9"/>
    <w:rsid w:val="008A69BE"/>
    <w:rsid w:val="008B065F"/>
    <w:rsid w:val="008B107D"/>
    <w:rsid w:val="008B12B7"/>
    <w:rsid w:val="008B168A"/>
    <w:rsid w:val="008B1B37"/>
    <w:rsid w:val="008B1BED"/>
    <w:rsid w:val="008B2A92"/>
    <w:rsid w:val="008B310B"/>
    <w:rsid w:val="008B3497"/>
    <w:rsid w:val="008B4044"/>
    <w:rsid w:val="008B414C"/>
    <w:rsid w:val="008B5162"/>
    <w:rsid w:val="008B5CF0"/>
    <w:rsid w:val="008B659E"/>
    <w:rsid w:val="008B769A"/>
    <w:rsid w:val="008B782A"/>
    <w:rsid w:val="008C077F"/>
    <w:rsid w:val="008C0B90"/>
    <w:rsid w:val="008C12B9"/>
    <w:rsid w:val="008C14DF"/>
    <w:rsid w:val="008C1C2E"/>
    <w:rsid w:val="008C3106"/>
    <w:rsid w:val="008C46E1"/>
    <w:rsid w:val="008C46F2"/>
    <w:rsid w:val="008C5062"/>
    <w:rsid w:val="008C58D7"/>
    <w:rsid w:val="008C7F92"/>
    <w:rsid w:val="008D11A8"/>
    <w:rsid w:val="008D1D4E"/>
    <w:rsid w:val="008D315C"/>
    <w:rsid w:val="008D33B9"/>
    <w:rsid w:val="008D3479"/>
    <w:rsid w:val="008D3C03"/>
    <w:rsid w:val="008D49C9"/>
    <w:rsid w:val="008D4B6E"/>
    <w:rsid w:val="008D4E0E"/>
    <w:rsid w:val="008D6673"/>
    <w:rsid w:val="008D6FB5"/>
    <w:rsid w:val="008D7DAF"/>
    <w:rsid w:val="008E28FD"/>
    <w:rsid w:val="008E2BA7"/>
    <w:rsid w:val="008E472F"/>
    <w:rsid w:val="008E4C3F"/>
    <w:rsid w:val="008E5038"/>
    <w:rsid w:val="008E51EB"/>
    <w:rsid w:val="008E52D6"/>
    <w:rsid w:val="008E5542"/>
    <w:rsid w:val="008E5A08"/>
    <w:rsid w:val="008E5C42"/>
    <w:rsid w:val="008E632D"/>
    <w:rsid w:val="008E77EE"/>
    <w:rsid w:val="008E7FAE"/>
    <w:rsid w:val="008F1299"/>
    <w:rsid w:val="008F1462"/>
    <w:rsid w:val="008F2207"/>
    <w:rsid w:val="008F2C95"/>
    <w:rsid w:val="008F2F11"/>
    <w:rsid w:val="008F3613"/>
    <w:rsid w:val="008F4305"/>
    <w:rsid w:val="008F52DE"/>
    <w:rsid w:val="008F5A61"/>
    <w:rsid w:val="008F5BF0"/>
    <w:rsid w:val="008F749F"/>
    <w:rsid w:val="009003FB"/>
    <w:rsid w:val="00901A87"/>
    <w:rsid w:val="0090475F"/>
    <w:rsid w:val="00905F3D"/>
    <w:rsid w:val="00907599"/>
    <w:rsid w:val="00910118"/>
    <w:rsid w:val="009102D5"/>
    <w:rsid w:val="00910CD6"/>
    <w:rsid w:val="00911B05"/>
    <w:rsid w:val="0091452E"/>
    <w:rsid w:val="00914A4F"/>
    <w:rsid w:val="00914E8D"/>
    <w:rsid w:val="00914ED8"/>
    <w:rsid w:val="00915313"/>
    <w:rsid w:val="00915CFE"/>
    <w:rsid w:val="0092037C"/>
    <w:rsid w:val="00920530"/>
    <w:rsid w:val="00922000"/>
    <w:rsid w:val="00922E05"/>
    <w:rsid w:val="00923B2B"/>
    <w:rsid w:val="00923BB9"/>
    <w:rsid w:val="00923CF1"/>
    <w:rsid w:val="0092557C"/>
    <w:rsid w:val="00925741"/>
    <w:rsid w:val="00925E6E"/>
    <w:rsid w:val="009264DC"/>
    <w:rsid w:val="00926DCC"/>
    <w:rsid w:val="00927933"/>
    <w:rsid w:val="0093037F"/>
    <w:rsid w:val="00930DB1"/>
    <w:rsid w:val="00931B40"/>
    <w:rsid w:val="0093201D"/>
    <w:rsid w:val="0093303C"/>
    <w:rsid w:val="00933E7F"/>
    <w:rsid w:val="00934A6A"/>
    <w:rsid w:val="0093619C"/>
    <w:rsid w:val="009362CC"/>
    <w:rsid w:val="009364B1"/>
    <w:rsid w:val="00936BEC"/>
    <w:rsid w:val="00940567"/>
    <w:rsid w:val="009408E8"/>
    <w:rsid w:val="00941551"/>
    <w:rsid w:val="00943467"/>
    <w:rsid w:val="0094450B"/>
    <w:rsid w:val="00950309"/>
    <w:rsid w:val="00950641"/>
    <w:rsid w:val="00950717"/>
    <w:rsid w:val="0095088A"/>
    <w:rsid w:val="00950D2B"/>
    <w:rsid w:val="00952C1F"/>
    <w:rsid w:val="00955194"/>
    <w:rsid w:val="00955D34"/>
    <w:rsid w:val="009569E3"/>
    <w:rsid w:val="00956CFC"/>
    <w:rsid w:val="009572E8"/>
    <w:rsid w:val="009609DE"/>
    <w:rsid w:val="009615AB"/>
    <w:rsid w:val="00962078"/>
    <w:rsid w:val="00962FB1"/>
    <w:rsid w:val="00962FBD"/>
    <w:rsid w:val="009630E6"/>
    <w:rsid w:val="00963539"/>
    <w:rsid w:val="009639A6"/>
    <w:rsid w:val="009645D9"/>
    <w:rsid w:val="00965320"/>
    <w:rsid w:val="00965813"/>
    <w:rsid w:val="009677FC"/>
    <w:rsid w:val="0097089F"/>
    <w:rsid w:val="009710BF"/>
    <w:rsid w:val="00971478"/>
    <w:rsid w:val="0097184A"/>
    <w:rsid w:val="009719F5"/>
    <w:rsid w:val="0097203B"/>
    <w:rsid w:val="0097309D"/>
    <w:rsid w:val="009738AD"/>
    <w:rsid w:val="00974CBC"/>
    <w:rsid w:val="00975D45"/>
    <w:rsid w:val="00977453"/>
    <w:rsid w:val="009776A8"/>
    <w:rsid w:val="00980424"/>
    <w:rsid w:val="009814A4"/>
    <w:rsid w:val="009818AD"/>
    <w:rsid w:val="00982145"/>
    <w:rsid w:val="0098247D"/>
    <w:rsid w:val="009834B8"/>
    <w:rsid w:val="009841E6"/>
    <w:rsid w:val="00984244"/>
    <w:rsid w:val="009847D3"/>
    <w:rsid w:val="0098610C"/>
    <w:rsid w:val="00986597"/>
    <w:rsid w:val="00986EEB"/>
    <w:rsid w:val="00987206"/>
    <w:rsid w:val="009872CA"/>
    <w:rsid w:val="00990373"/>
    <w:rsid w:val="0099167F"/>
    <w:rsid w:val="0099195E"/>
    <w:rsid w:val="009927EE"/>
    <w:rsid w:val="00992C21"/>
    <w:rsid w:val="00993414"/>
    <w:rsid w:val="00994F18"/>
    <w:rsid w:val="0099594B"/>
    <w:rsid w:val="00995C71"/>
    <w:rsid w:val="00995E04"/>
    <w:rsid w:val="00996833"/>
    <w:rsid w:val="00996FA7"/>
    <w:rsid w:val="00997AD0"/>
    <w:rsid w:val="009A01A9"/>
    <w:rsid w:val="009A1B85"/>
    <w:rsid w:val="009A2633"/>
    <w:rsid w:val="009A26CB"/>
    <w:rsid w:val="009A2BBF"/>
    <w:rsid w:val="009A30F9"/>
    <w:rsid w:val="009A30FE"/>
    <w:rsid w:val="009A36DA"/>
    <w:rsid w:val="009A3926"/>
    <w:rsid w:val="009A464D"/>
    <w:rsid w:val="009A5854"/>
    <w:rsid w:val="009A68AC"/>
    <w:rsid w:val="009A6973"/>
    <w:rsid w:val="009A6A11"/>
    <w:rsid w:val="009A738C"/>
    <w:rsid w:val="009A7893"/>
    <w:rsid w:val="009A7A3F"/>
    <w:rsid w:val="009B0165"/>
    <w:rsid w:val="009B0C17"/>
    <w:rsid w:val="009B1693"/>
    <w:rsid w:val="009B21F9"/>
    <w:rsid w:val="009B29B5"/>
    <w:rsid w:val="009B3CDC"/>
    <w:rsid w:val="009B4F56"/>
    <w:rsid w:val="009B5056"/>
    <w:rsid w:val="009B5707"/>
    <w:rsid w:val="009B62F6"/>
    <w:rsid w:val="009B69FF"/>
    <w:rsid w:val="009B7069"/>
    <w:rsid w:val="009B732C"/>
    <w:rsid w:val="009C07E1"/>
    <w:rsid w:val="009C29A2"/>
    <w:rsid w:val="009C485A"/>
    <w:rsid w:val="009C4A4C"/>
    <w:rsid w:val="009C4E3C"/>
    <w:rsid w:val="009C4EFD"/>
    <w:rsid w:val="009C51CA"/>
    <w:rsid w:val="009C5857"/>
    <w:rsid w:val="009C5B2C"/>
    <w:rsid w:val="009C5EAB"/>
    <w:rsid w:val="009C6087"/>
    <w:rsid w:val="009C6372"/>
    <w:rsid w:val="009C67AF"/>
    <w:rsid w:val="009C73AA"/>
    <w:rsid w:val="009C7F73"/>
    <w:rsid w:val="009D083F"/>
    <w:rsid w:val="009D0A59"/>
    <w:rsid w:val="009D16CE"/>
    <w:rsid w:val="009D21C8"/>
    <w:rsid w:val="009D365A"/>
    <w:rsid w:val="009D4A00"/>
    <w:rsid w:val="009D4BB2"/>
    <w:rsid w:val="009D4DC9"/>
    <w:rsid w:val="009D54F7"/>
    <w:rsid w:val="009D5787"/>
    <w:rsid w:val="009D5D30"/>
    <w:rsid w:val="009D6928"/>
    <w:rsid w:val="009D6D27"/>
    <w:rsid w:val="009D77C5"/>
    <w:rsid w:val="009D7E11"/>
    <w:rsid w:val="009D7F29"/>
    <w:rsid w:val="009E04B5"/>
    <w:rsid w:val="009E132E"/>
    <w:rsid w:val="009E1D33"/>
    <w:rsid w:val="009E24DA"/>
    <w:rsid w:val="009E2523"/>
    <w:rsid w:val="009E32E4"/>
    <w:rsid w:val="009E47AA"/>
    <w:rsid w:val="009E49B3"/>
    <w:rsid w:val="009E5263"/>
    <w:rsid w:val="009E556C"/>
    <w:rsid w:val="009E5B9B"/>
    <w:rsid w:val="009E6354"/>
    <w:rsid w:val="009E69D2"/>
    <w:rsid w:val="009E6AF5"/>
    <w:rsid w:val="009E768C"/>
    <w:rsid w:val="009E7759"/>
    <w:rsid w:val="009F0039"/>
    <w:rsid w:val="009F0EEA"/>
    <w:rsid w:val="009F0F08"/>
    <w:rsid w:val="009F29E9"/>
    <w:rsid w:val="009F30F5"/>
    <w:rsid w:val="009F37B5"/>
    <w:rsid w:val="009F3EFB"/>
    <w:rsid w:val="009F4A52"/>
    <w:rsid w:val="009F4DC5"/>
    <w:rsid w:val="009F5577"/>
    <w:rsid w:val="009F56B1"/>
    <w:rsid w:val="009F759E"/>
    <w:rsid w:val="009F7EE4"/>
    <w:rsid w:val="00A01668"/>
    <w:rsid w:val="00A016AD"/>
    <w:rsid w:val="00A0170D"/>
    <w:rsid w:val="00A01F74"/>
    <w:rsid w:val="00A02258"/>
    <w:rsid w:val="00A022AC"/>
    <w:rsid w:val="00A02F19"/>
    <w:rsid w:val="00A03540"/>
    <w:rsid w:val="00A03CFC"/>
    <w:rsid w:val="00A04557"/>
    <w:rsid w:val="00A045AB"/>
    <w:rsid w:val="00A056A3"/>
    <w:rsid w:val="00A05C20"/>
    <w:rsid w:val="00A06859"/>
    <w:rsid w:val="00A06D02"/>
    <w:rsid w:val="00A0757E"/>
    <w:rsid w:val="00A0769D"/>
    <w:rsid w:val="00A0775B"/>
    <w:rsid w:val="00A07FF8"/>
    <w:rsid w:val="00A11222"/>
    <w:rsid w:val="00A1216E"/>
    <w:rsid w:val="00A1300E"/>
    <w:rsid w:val="00A132B5"/>
    <w:rsid w:val="00A1419D"/>
    <w:rsid w:val="00A14440"/>
    <w:rsid w:val="00A14A28"/>
    <w:rsid w:val="00A169B3"/>
    <w:rsid w:val="00A175D0"/>
    <w:rsid w:val="00A17689"/>
    <w:rsid w:val="00A177C3"/>
    <w:rsid w:val="00A2100F"/>
    <w:rsid w:val="00A217A4"/>
    <w:rsid w:val="00A21D19"/>
    <w:rsid w:val="00A2278C"/>
    <w:rsid w:val="00A22CCF"/>
    <w:rsid w:val="00A23718"/>
    <w:rsid w:val="00A24421"/>
    <w:rsid w:val="00A24727"/>
    <w:rsid w:val="00A24C87"/>
    <w:rsid w:val="00A258ED"/>
    <w:rsid w:val="00A2639A"/>
    <w:rsid w:val="00A26F07"/>
    <w:rsid w:val="00A302AF"/>
    <w:rsid w:val="00A3036A"/>
    <w:rsid w:val="00A30378"/>
    <w:rsid w:val="00A307B7"/>
    <w:rsid w:val="00A314AC"/>
    <w:rsid w:val="00A31FE7"/>
    <w:rsid w:val="00A32010"/>
    <w:rsid w:val="00A3258D"/>
    <w:rsid w:val="00A335F2"/>
    <w:rsid w:val="00A33826"/>
    <w:rsid w:val="00A33A2F"/>
    <w:rsid w:val="00A33D53"/>
    <w:rsid w:val="00A34054"/>
    <w:rsid w:val="00A34622"/>
    <w:rsid w:val="00A365EE"/>
    <w:rsid w:val="00A37366"/>
    <w:rsid w:val="00A37414"/>
    <w:rsid w:val="00A3790C"/>
    <w:rsid w:val="00A41311"/>
    <w:rsid w:val="00A41C63"/>
    <w:rsid w:val="00A435DE"/>
    <w:rsid w:val="00A43A88"/>
    <w:rsid w:val="00A44163"/>
    <w:rsid w:val="00A448F0"/>
    <w:rsid w:val="00A44F52"/>
    <w:rsid w:val="00A459DA"/>
    <w:rsid w:val="00A50017"/>
    <w:rsid w:val="00A51485"/>
    <w:rsid w:val="00A519E1"/>
    <w:rsid w:val="00A52F4C"/>
    <w:rsid w:val="00A53633"/>
    <w:rsid w:val="00A53EF0"/>
    <w:rsid w:val="00A54CFB"/>
    <w:rsid w:val="00A5604D"/>
    <w:rsid w:val="00A564DD"/>
    <w:rsid w:val="00A570A9"/>
    <w:rsid w:val="00A573DD"/>
    <w:rsid w:val="00A57447"/>
    <w:rsid w:val="00A57681"/>
    <w:rsid w:val="00A5782C"/>
    <w:rsid w:val="00A579ED"/>
    <w:rsid w:val="00A60A6F"/>
    <w:rsid w:val="00A618C5"/>
    <w:rsid w:val="00A61A02"/>
    <w:rsid w:val="00A623DA"/>
    <w:rsid w:val="00A62428"/>
    <w:rsid w:val="00A62850"/>
    <w:rsid w:val="00A63067"/>
    <w:rsid w:val="00A6393C"/>
    <w:rsid w:val="00A6396D"/>
    <w:rsid w:val="00A63C8A"/>
    <w:rsid w:val="00A651C8"/>
    <w:rsid w:val="00A65BE0"/>
    <w:rsid w:val="00A666D2"/>
    <w:rsid w:val="00A66F46"/>
    <w:rsid w:val="00A70A32"/>
    <w:rsid w:val="00A7103C"/>
    <w:rsid w:val="00A710CD"/>
    <w:rsid w:val="00A723D3"/>
    <w:rsid w:val="00A72E5A"/>
    <w:rsid w:val="00A7306B"/>
    <w:rsid w:val="00A73384"/>
    <w:rsid w:val="00A733F4"/>
    <w:rsid w:val="00A735D9"/>
    <w:rsid w:val="00A736D0"/>
    <w:rsid w:val="00A73EF4"/>
    <w:rsid w:val="00A746D2"/>
    <w:rsid w:val="00A7495B"/>
    <w:rsid w:val="00A751BA"/>
    <w:rsid w:val="00A75339"/>
    <w:rsid w:val="00A75984"/>
    <w:rsid w:val="00A76C3E"/>
    <w:rsid w:val="00A77258"/>
    <w:rsid w:val="00A80607"/>
    <w:rsid w:val="00A80789"/>
    <w:rsid w:val="00A80989"/>
    <w:rsid w:val="00A809B8"/>
    <w:rsid w:val="00A80D01"/>
    <w:rsid w:val="00A80FD4"/>
    <w:rsid w:val="00A817A7"/>
    <w:rsid w:val="00A83BBF"/>
    <w:rsid w:val="00A84832"/>
    <w:rsid w:val="00A848BA"/>
    <w:rsid w:val="00A850B3"/>
    <w:rsid w:val="00A862D0"/>
    <w:rsid w:val="00A873AD"/>
    <w:rsid w:val="00A87C60"/>
    <w:rsid w:val="00A90A27"/>
    <w:rsid w:val="00A918DE"/>
    <w:rsid w:val="00A91CA9"/>
    <w:rsid w:val="00A91D51"/>
    <w:rsid w:val="00A91D93"/>
    <w:rsid w:val="00A92BF2"/>
    <w:rsid w:val="00A93401"/>
    <w:rsid w:val="00A93812"/>
    <w:rsid w:val="00A9396C"/>
    <w:rsid w:val="00A95F76"/>
    <w:rsid w:val="00A967F1"/>
    <w:rsid w:val="00A96D56"/>
    <w:rsid w:val="00A96F85"/>
    <w:rsid w:val="00A97C28"/>
    <w:rsid w:val="00A97E66"/>
    <w:rsid w:val="00AA0358"/>
    <w:rsid w:val="00AA135A"/>
    <w:rsid w:val="00AA14A1"/>
    <w:rsid w:val="00AA1686"/>
    <w:rsid w:val="00AA17D1"/>
    <w:rsid w:val="00AA1A7C"/>
    <w:rsid w:val="00AA1C03"/>
    <w:rsid w:val="00AA21AB"/>
    <w:rsid w:val="00AA2381"/>
    <w:rsid w:val="00AA24C5"/>
    <w:rsid w:val="00AA3E68"/>
    <w:rsid w:val="00AA4AB6"/>
    <w:rsid w:val="00AA5DF1"/>
    <w:rsid w:val="00AA63AE"/>
    <w:rsid w:val="00AA653F"/>
    <w:rsid w:val="00AA688C"/>
    <w:rsid w:val="00AB0A9D"/>
    <w:rsid w:val="00AB0B86"/>
    <w:rsid w:val="00AB0DDC"/>
    <w:rsid w:val="00AB17A7"/>
    <w:rsid w:val="00AB283F"/>
    <w:rsid w:val="00AB35E0"/>
    <w:rsid w:val="00AB4B35"/>
    <w:rsid w:val="00AB5879"/>
    <w:rsid w:val="00AB723E"/>
    <w:rsid w:val="00AB786D"/>
    <w:rsid w:val="00AB7B3D"/>
    <w:rsid w:val="00AB7CCB"/>
    <w:rsid w:val="00AC1B17"/>
    <w:rsid w:val="00AC2017"/>
    <w:rsid w:val="00AC2D88"/>
    <w:rsid w:val="00AC3F81"/>
    <w:rsid w:val="00AC51BF"/>
    <w:rsid w:val="00AC5B75"/>
    <w:rsid w:val="00AC5F4C"/>
    <w:rsid w:val="00AC7152"/>
    <w:rsid w:val="00AC7389"/>
    <w:rsid w:val="00AC76C6"/>
    <w:rsid w:val="00AC7A58"/>
    <w:rsid w:val="00AC7C5D"/>
    <w:rsid w:val="00AC7DF2"/>
    <w:rsid w:val="00AD02AB"/>
    <w:rsid w:val="00AD09AB"/>
    <w:rsid w:val="00AD115E"/>
    <w:rsid w:val="00AD23B0"/>
    <w:rsid w:val="00AD295F"/>
    <w:rsid w:val="00AD3195"/>
    <w:rsid w:val="00AD36A9"/>
    <w:rsid w:val="00AD388F"/>
    <w:rsid w:val="00AD401A"/>
    <w:rsid w:val="00AD40F3"/>
    <w:rsid w:val="00AD4421"/>
    <w:rsid w:val="00AD4ABA"/>
    <w:rsid w:val="00AD4CB9"/>
    <w:rsid w:val="00AD55EC"/>
    <w:rsid w:val="00AD5BF5"/>
    <w:rsid w:val="00AD643E"/>
    <w:rsid w:val="00AD723C"/>
    <w:rsid w:val="00AD7A20"/>
    <w:rsid w:val="00AD7FCA"/>
    <w:rsid w:val="00AE03C9"/>
    <w:rsid w:val="00AE07AE"/>
    <w:rsid w:val="00AE0836"/>
    <w:rsid w:val="00AE08DF"/>
    <w:rsid w:val="00AE0A68"/>
    <w:rsid w:val="00AE0DA4"/>
    <w:rsid w:val="00AE10B2"/>
    <w:rsid w:val="00AE1B37"/>
    <w:rsid w:val="00AE2163"/>
    <w:rsid w:val="00AE2285"/>
    <w:rsid w:val="00AE2581"/>
    <w:rsid w:val="00AE318E"/>
    <w:rsid w:val="00AE338C"/>
    <w:rsid w:val="00AE59AE"/>
    <w:rsid w:val="00AE6B59"/>
    <w:rsid w:val="00AE721D"/>
    <w:rsid w:val="00AE7B9E"/>
    <w:rsid w:val="00AE7E10"/>
    <w:rsid w:val="00AF0772"/>
    <w:rsid w:val="00AF0AD1"/>
    <w:rsid w:val="00AF0D08"/>
    <w:rsid w:val="00AF18F4"/>
    <w:rsid w:val="00AF2246"/>
    <w:rsid w:val="00AF25E7"/>
    <w:rsid w:val="00AF2FA9"/>
    <w:rsid w:val="00AF4A5B"/>
    <w:rsid w:val="00AF4BD4"/>
    <w:rsid w:val="00AF4BFF"/>
    <w:rsid w:val="00AF4F2D"/>
    <w:rsid w:val="00AF5141"/>
    <w:rsid w:val="00AF5B1C"/>
    <w:rsid w:val="00AF664F"/>
    <w:rsid w:val="00AF66A2"/>
    <w:rsid w:val="00AF6C1B"/>
    <w:rsid w:val="00AF7C21"/>
    <w:rsid w:val="00B004E2"/>
    <w:rsid w:val="00B009D1"/>
    <w:rsid w:val="00B010D8"/>
    <w:rsid w:val="00B0138B"/>
    <w:rsid w:val="00B01AE6"/>
    <w:rsid w:val="00B01C1C"/>
    <w:rsid w:val="00B02064"/>
    <w:rsid w:val="00B025C1"/>
    <w:rsid w:val="00B055C9"/>
    <w:rsid w:val="00B06899"/>
    <w:rsid w:val="00B068D4"/>
    <w:rsid w:val="00B0727B"/>
    <w:rsid w:val="00B07B8F"/>
    <w:rsid w:val="00B104CE"/>
    <w:rsid w:val="00B10C11"/>
    <w:rsid w:val="00B11A30"/>
    <w:rsid w:val="00B11EA4"/>
    <w:rsid w:val="00B11EB3"/>
    <w:rsid w:val="00B12DA3"/>
    <w:rsid w:val="00B13F15"/>
    <w:rsid w:val="00B15E8D"/>
    <w:rsid w:val="00B1634C"/>
    <w:rsid w:val="00B171DB"/>
    <w:rsid w:val="00B17981"/>
    <w:rsid w:val="00B201F0"/>
    <w:rsid w:val="00B21A66"/>
    <w:rsid w:val="00B225BF"/>
    <w:rsid w:val="00B22BA7"/>
    <w:rsid w:val="00B23066"/>
    <w:rsid w:val="00B2362B"/>
    <w:rsid w:val="00B237F4"/>
    <w:rsid w:val="00B238D6"/>
    <w:rsid w:val="00B2494E"/>
    <w:rsid w:val="00B24A2B"/>
    <w:rsid w:val="00B24B6D"/>
    <w:rsid w:val="00B256B2"/>
    <w:rsid w:val="00B25D0B"/>
    <w:rsid w:val="00B26C77"/>
    <w:rsid w:val="00B26C98"/>
    <w:rsid w:val="00B2750C"/>
    <w:rsid w:val="00B27EA7"/>
    <w:rsid w:val="00B30202"/>
    <w:rsid w:val="00B3031A"/>
    <w:rsid w:val="00B3053A"/>
    <w:rsid w:val="00B30AFA"/>
    <w:rsid w:val="00B32C0B"/>
    <w:rsid w:val="00B32CAE"/>
    <w:rsid w:val="00B33795"/>
    <w:rsid w:val="00B33C4B"/>
    <w:rsid w:val="00B36777"/>
    <w:rsid w:val="00B36B6F"/>
    <w:rsid w:val="00B37338"/>
    <w:rsid w:val="00B379B8"/>
    <w:rsid w:val="00B415DA"/>
    <w:rsid w:val="00B416BA"/>
    <w:rsid w:val="00B41995"/>
    <w:rsid w:val="00B423C6"/>
    <w:rsid w:val="00B4251E"/>
    <w:rsid w:val="00B42C23"/>
    <w:rsid w:val="00B42E15"/>
    <w:rsid w:val="00B430C8"/>
    <w:rsid w:val="00B4344D"/>
    <w:rsid w:val="00B44504"/>
    <w:rsid w:val="00B445D3"/>
    <w:rsid w:val="00B44913"/>
    <w:rsid w:val="00B44990"/>
    <w:rsid w:val="00B44BF4"/>
    <w:rsid w:val="00B459F6"/>
    <w:rsid w:val="00B462AE"/>
    <w:rsid w:val="00B4694A"/>
    <w:rsid w:val="00B5038C"/>
    <w:rsid w:val="00B503D3"/>
    <w:rsid w:val="00B50799"/>
    <w:rsid w:val="00B50938"/>
    <w:rsid w:val="00B52D14"/>
    <w:rsid w:val="00B531B5"/>
    <w:rsid w:val="00B538E2"/>
    <w:rsid w:val="00B55B6A"/>
    <w:rsid w:val="00B56961"/>
    <w:rsid w:val="00B56CC3"/>
    <w:rsid w:val="00B56FE6"/>
    <w:rsid w:val="00B579C7"/>
    <w:rsid w:val="00B57AC8"/>
    <w:rsid w:val="00B57D57"/>
    <w:rsid w:val="00B60328"/>
    <w:rsid w:val="00B61019"/>
    <w:rsid w:val="00B61EFC"/>
    <w:rsid w:val="00B635FE"/>
    <w:rsid w:val="00B63741"/>
    <w:rsid w:val="00B6382B"/>
    <w:rsid w:val="00B645A8"/>
    <w:rsid w:val="00B65A29"/>
    <w:rsid w:val="00B65C9F"/>
    <w:rsid w:val="00B66043"/>
    <w:rsid w:val="00B662F1"/>
    <w:rsid w:val="00B666A4"/>
    <w:rsid w:val="00B6706B"/>
    <w:rsid w:val="00B6706C"/>
    <w:rsid w:val="00B67259"/>
    <w:rsid w:val="00B6774D"/>
    <w:rsid w:val="00B717BC"/>
    <w:rsid w:val="00B725C6"/>
    <w:rsid w:val="00B739EE"/>
    <w:rsid w:val="00B73E97"/>
    <w:rsid w:val="00B74018"/>
    <w:rsid w:val="00B74082"/>
    <w:rsid w:val="00B74448"/>
    <w:rsid w:val="00B745C2"/>
    <w:rsid w:val="00B74847"/>
    <w:rsid w:val="00B76346"/>
    <w:rsid w:val="00B767DF"/>
    <w:rsid w:val="00B76D02"/>
    <w:rsid w:val="00B771C9"/>
    <w:rsid w:val="00B801D6"/>
    <w:rsid w:val="00B80808"/>
    <w:rsid w:val="00B81079"/>
    <w:rsid w:val="00B822B9"/>
    <w:rsid w:val="00B82469"/>
    <w:rsid w:val="00B82B91"/>
    <w:rsid w:val="00B8389C"/>
    <w:rsid w:val="00B839DB"/>
    <w:rsid w:val="00B84F77"/>
    <w:rsid w:val="00B8588A"/>
    <w:rsid w:val="00B85EAF"/>
    <w:rsid w:val="00B85F96"/>
    <w:rsid w:val="00B86307"/>
    <w:rsid w:val="00B8644D"/>
    <w:rsid w:val="00B866D6"/>
    <w:rsid w:val="00B879C8"/>
    <w:rsid w:val="00B902F9"/>
    <w:rsid w:val="00B911A9"/>
    <w:rsid w:val="00B925C3"/>
    <w:rsid w:val="00B93083"/>
    <w:rsid w:val="00B9316B"/>
    <w:rsid w:val="00B933CE"/>
    <w:rsid w:val="00B93CF1"/>
    <w:rsid w:val="00B94A4A"/>
    <w:rsid w:val="00B94FB6"/>
    <w:rsid w:val="00B9559F"/>
    <w:rsid w:val="00B95908"/>
    <w:rsid w:val="00B96084"/>
    <w:rsid w:val="00B96233"/>
    <w:rsid w:val="00B974F1"/>
    <w:rsid w:val="00BA0941"/>
    <w:rsid w:val="00BA0965"/>
    <w:rsid w:val="00BA0EAE"/>
    <w:rsid w:val="00BA11DE"/>
    <w:rsid w:val="00BA12C1"/>
    <w:rsid w:val="00BA1A55"/>
    <w:rsid w:val="00BA1F5E"/>
    <w:rsid w:val="00BA2146"/>
    <w:rsid w:val="00BA2F04"/>
    <w:rsid w:val="00BA2F65"/>
    <w:rsid w:val="00BA5537"/>
    <w:rsid w:val="00BA5CB0"/>
    <w:rsid w:val="00BA5E69"/>
    <w:rsid w:val="00BA6DBE"/>
    <w:rsid w:val="00BA7F6A"/>
    <w:rsid w:val="00BB0E09"/>
    <w:rsid w:val="00BB0F15"/>
    <w:rsid w:val="00BB135A"/>
    <w:rsid w:val="00BB1DBC"/>
    <w:rsid w:val="00BB21D6"/>
    <w:rsid w:val="00BB2284"/>
    <w:rsid w:val="00BB298F"/>
    <w:rsid w:val="00BB2D32"/>
    <w:rsid w:val="00BB3C3E"/>
    <w:rsid w:val="00BB4E1C"/>
    <w:rsid w:val="00BB4FD1"/>
    <w:rsid w:val="00BB5ACC"/>
    <w:rsid w:val="00BB6904"/>
    <w:rsid w:val="00BC1F40"/>
    <w:rsid w:val="00BC2FE2"/>
    <w:rsid w:val="00BC4259"/>
    <w:rsid w:val="00BC4536"/>
    <w:rsid w:val="00BC4720"/>
    <w:rsid w:val="00BC4962"/>
    <w:rsid w:val="00BC4CAA"/>
    <w:rsid w:val="00BC525D"/>
    <w:rsid w:val="00BC544E"/>
    <w:rsid w:val="00BC561E"/>
    <w:rsid w:val="00BC586C"/>
    <w:rsid w:val="00BC5C72"/>
    <w:rsid w:val="00BC697C"/>
    <w:rsid w:val="00BC6AA0"/>
    <w:rsid w:val="00BC74EB"/>
    <w:rsid w:val="00BC77E9"/>
    <w:rsid w:val="00BC7E2C"/>
    <w:rsid w:val="00BD0265"/>
    <w:rsid w:val="00BD2D45"/>
    <w:rsid w:val="00BD2FD3"/>
    <w:rsid w:val="00BD3603"/>
    <w:rsid w:val="00BD401F"/>
    <w:rsid w:val="00BD40FB"/>
    <w:rsid w:val="00BD4949"/>
    <w:rsid w:val="00BD553C"/>
    <w:rsid w:val="00BD6135"/>
    <w:rsid w:val="00BD6E4D"/>
    <w:rsid w:val="00BD7AFB"/>
    <w:rsid w:val="00BE0B9D"/>
    <w:rsid w:val="00BE17BC"/>
    <w:rsid w:val="00BE1B78"/>
    <w:rsid w:val="00BE1DEC"/>
    <w:rsid w:val="00BE3349"/>
    <w:rsid w:val="00BE4467"/>
    <w:rsid w:val="00BE47C8"/>
    <w:rsid w:val="00BE7B37"/>
    <w:rsid w:val="00BE7C0B"/>
    <w:rsid w:val="00BF0B4B"/>
    <w:rsid w:val="00BF2331"/>
    <w:rsid w:val="00BF2A6E"/>
    <w:rsid w:val="00BF2C5F"/>
    <w:rsid w:val="00BF397D"/>
    <w:rsid w:val="00BF4FA0"/>
    <w:rsid w:val="00BF5FB7"/>
    <w:rsid w:val="00BF60A4"/>
    <w:rsid w:val="00BF7EEF"/>
    <w:rsid w:val="00C014A6"/>
    <w:rsid w:val="00C018AC"/>
    <w:rsid w:val="00C02824"/>
    <w:rsid w:val="00C02CB8"/>
    <w:rsid w:val="00C02D84"/>
    <w:rsid w:val="00C039A5"/>
    <w:rsid w:val="00C039C4"/>
    <w:rsid w:val="00C047DC"/>
    <w:rsid w:val="00C048E6"/>
    <w:rsid w:val="00C06320"/>
    <w:rsid w:val="00C064D8"/>
    <w:rsid w:val="00C07AD8"/>
    <w:rsid w:val="00C105D1"/>
    <w:rsid w:val="00C1081D"/>
    <w:rsid w:val="00C1085E"/>
    <w:rsid w:val="00C1175B"/>
    <w:rsid w:val="00C118C0"/>
    <w:rsid w:val="00C119F2"/>
    <w:rsid w:val="00C11C19"/>
    <w:rsid w:val="00C12417"/>
    <w:rsid w:val="00C12C1C"/>
    <w:rsid w:val="00C1494D"/>
    <w:rsid w:val="00C15CE0"/>
    <w:rsid w:val="00C15E26"/>
    <w:rsid w:val="00C172FD"/>
    <w:rsid w:val="00C213D1"/>
    <w:rsid w:val="00C22D39"/>
    <w:rsid w:val="00C24620"/>
    <w:rsid w:val="00C24AD2"/>
    <w:rsid w:val="00C24C61"/>
    <w:rsid w:val="00C25CF5"/>
    <w:rsid w:val="00C26387"/>
    <w:rsid w:val="00C26D07"/>
    <w:rsid w:val="00C26EB2"/>
    <w:rsid w:val="00C27F3B"/>
    <w:rsid w:val="00C30FD0"/>
    <w:rsid w:val="00C310E5"/>
    <w:rsid w:val="00C32C48"/>
    <w:rsid w:val="00C34A6F"/>
    <w:rsid w:val="00C358E6"/>
    <w:rsid w:val="00C3590C"/>
    <w:rsid w:val="00C35ED0"/>
    <w:rsid w:val="00C3704E"/>
    <w:rsid w:val="00C40412"/>
    <w:rsid w:val="00C40F1E"/>
    <w:rsid w:val="00C4140F"/>
    <w:rsid w:val="00C41544"/>
    <w:rsid w:val="00C41942"/>
    <w:rsid w:val="00C44048"/>
    <w:rsid w:val="00C4473C"/>
    <w:rsid w:val="00C454F4"/>
    <w:rsid w:val="00C45564"/>
    <w:rsid w:val="00C456C7"/>
    <w:rsid w:val="00C46143"/>
    <w:rsid w:val="00C46635"/>
    <w:rsid w:val="00C50205"/>
    <w:rsid w:val="00C50C7A"/>
    <w:rsid w:val="00C50E86"/>
    <w:rsid w:val="00C51C98"/>
    <w:rsid w:val="00C5201E"/>
    <w:rsid w:val="00C52057"/>
    <w:rsid w:val="00C5231F"/>
    <w:rsid w:val="00C524A7"/>
    <w:rsid w:val="00C54A45"/>
    <w:rsid w:val="00C560C9"/>
    <w:rsid w:val="00C5678F"/>
    <w:rsid w:val="00C5720B"/>
    <w:rsid w:val="00C579D8"/>
    <w:rsid w:val="00C57D90"/>
    <w:rsid w:val="00C60914"/>
    <w:rsid w:val="00C614CA"/>
    <w:rsid w:val="00C61E0F"/>
    <w:rsid w:val="00C62D3D"/>
    <w:rsid w:val="00C62D68"/>
    <w:rsid w:val="00C63493"/>
    <w:rsid w:val="00C634E1"/>
    <w:rsid w:val="00C63B4A"/>
    <w:rsid w:val="00C650AC"/>
    <w:rsid w:val="00C656F6"/>
    <w:rsid w:val="00C66F23"/>
    <w:rsid w:val="00C70917"/>
    <w:rsid w:val="00C7128B"/>
    <w:rsid w:val="00C72163"/>
    <w:rsid w:val="00C72EA2"/>
    <w:rsid w:val="00C72F91"/>
    <w:rsid w:val="00C73177"/>
    <w:rsid w:val="00C735DC"/>
    <w:rsid w:val="00C7457A"/>
    <w:rsid w:val="00C7593D"/>
    <w:rsid w:val="00C76A73"/>
    <w:rsid w:val="00C77266"/>
    <w:rsid w:val="00C777F9"/>
    <w:rsid w:val="00C77FC6"/>
    <w:rsid w:val="00C80837"/>
    <w:rsid w:val="00C80D3B"/>
    <w:rsid w:val="00C816E0"/>
    <w:rsid w:val="00C81941"/>
    <w:rsid w:val="00C81F1B"/>
    <w:rsid w:val="00C827D1"/>
    <w:rsid w:val="00C861E3"/>
    <w:rsid w:val="00C86C1F"/>
    <w:rsid w:val="00C877CF"/>
    <w:rsid w:val="00C87861"/>
    <w:rsid w:val="00C9195D"/>
    <w:rsid w:val="00C92509"/>
    <w:rsid w:val="00C925E6"/>
    <w:rsid w:val="00C938F0"/>
    <w:rsid w:val="00C93B07"/>
    <w:rsid w:val="00C93B5F"/>
    <w:rsid w:val="00C941A0"/>
    <w:rsid w:val="00C94D32"/>
    <w:rsid w:val="00C94F32"/>
    <w:rsid w:val="00C95366"/>
    <w:rsid w:val="00C954F1"/>
    <w:rsid w:val="00C954F4"/>
    <w:rsid w:val="00C956BE"/>
    <w:rsid w:val="00C96213"/>
    <w:rsid w:val="00C96337"/>
    <w:rsid w:val="00C9665C"/>
    <w:rsid w:val="00C966C0"/>
    <w:rsid w:val="00C9702F"/>
    <w:rsid w:val="00C9794C"/>
    <w:rsid w:val="00C97DBC"/>
    <w:rsid w:val="00CA0128"/>
    <w:rsid w:val="00CA0B0F"/>
    <w:rsid w:val="00CA15E4"/>
    <w:rsid w:val="00CA2488"/>
    <w:rsid w:val="00CA3728"/>
    <w:rsid w:val="00CA389B"/>
    <w:rsid w:val="00CA43D7"/>
    <w:rsid w:val="00CA5293"/>
    <w:rsid w:val="00CA5A52"/>
    <w:rsid w:val="00CA6783"/>
    <w:rsid w:val="00CA706F"/>
    <w:rsid w:val="00CB070C"/>
    <w:rsid w:val="00CB09DD"/>
    <w:rsid w:val="00CB0F01"/>
    <w:rsid w:val="00CB214C"/>
    <w:rsid w:val="00CB23FC"/>
    <w:rsid w:val="00CB264C"/>
    <w:rsid w:val="00CB3EDC"/>
    <w:rsid w:val="00CB49DE"/>
    <w:rsid w:val="00CB5119"/>
    <w:rsid w:val="00CB603D"/>
    <w:rsid w:val="00CB65F7"/>
    <w:rsid w:val="00CB7139"/>
    <w:rsid w:val="00CB7290"/>
    <w:rsid w:val="00CB7779"/>
    <w:rsid w:val="00CC026F"/>
    <w:rsid w:val="00CC0A47"/>
    <w:rsid w:val="00CC0B75"/>
    <w:rsid w:val="00CC1C34"/>
    <w:rsid w:val="00CC2FF5"/>
    <w:rsid w:val="00CC472F"/>
    <w:rsid w:val="00CC6763"/>
    <w:rsid w:val="00CC6B12"/>
    <w:rsid w:val="00CC730F"/>
    <w:rsid w:val="00CC7662"/>
    <w:rsid w:val="00CC7990"/>
    <w:rsid w:val="00CC7E53"/>
    <w:rsid w:val="00CD1419"/>
    <w:rsid w:val="00CD22C8"/>
    <w:rsid w:val="00CD4018"/>
    <w:rsid w:val="00CD4C87"/>
    <w:rsid w:val="00CD53B3"/>
    <w:rsid w:val="00CD74BE"/>
    <w:rsid w:val="00CD7C4A"/>
    <w:rsid w:val="00CD7FEF"/>
    <w:rsid w:val="00CE020E"/>
    <w:rsid w:val="00CE02E6"/>
    <w:rsid w:val="00CE1486"/>
    <w:rsid w:val="00CE1EE1"/>
    <w:rsid w:val="00CE2CC9"/>
    <w:rsid w:val="00CE2FBC"/>
    <w:rsid w:val="00CE30A8"/>
    <w:rsid w:val="00CE42E7"/>
    <w:rsid w:val="00CE5990"/>
    <w:rsid w:val="00CE60F4"/>
    <w:rsid w:val="00CE692F"/>
    <w:rsid w:val="00CE6B1C"/>
    <w:rsid w:val="00CE6C62"/>
    <w:rsid w:val="00CE71B2"/>
    <w:rsid w:val="00CE75D0"/>
    <w:rsid w:val="00CE7631"/>
    <w:rsid w:val="00CE7DF5"/>
    <w:rsid w:val="00CF00BC"/>
    <w:rsid w:val="00CF0711"/>
    <w:rsid w:val="00CF16B5"/>
    <w:rsid w:val="00CF183F"/>
    <w:rsid w:val="00CF2555"/>
    <w:rsid w:val="00CF29D8"/>
    <w:rsid w:val="00CF2F8F"/>
    <w:rsid w:val="00CF55A3"/>
    <w:rsid w:val="00CF5A7B"/>
    <w:rsid w:val="00CF5FCD"/>
    <w:rsid w:val="00CF6582"/>
    <w:rsid w:val="00CF6A8C"/>
    <w:rsid w:val="00CF6E95"/>
    <w:rsid w:val="00CF7230"/>
    <w:rsid w:val="00CF7380"/>
    <w:rsid w:val="00CF779C"/>
    <w:rsid w:val="00D0088B"/>
    <w:rsid w:val="00D00ACB"/>
    <w:rsid w:val="00D00E0D"/>
    <w:rsid w:val="00D00F6A"/>
    <w:rsid w:val="00D01B21"/>
    <w:rsid w:val="00D03198"/>
    <w:rsid w:val="00D03D4A"/>
    <w:rsid w:val="00D04851"/>
    <w:rsid w:val="00D04BAE"/>
    <w:rsid w:val="00D04BC5"/>
    <w:rsid w:val="00D052DC"/>
    <w:rsid w:val="00D05997"/>
    <w:rsid w:val="00D06A4B"/>
    <w:rsid w:val="00D06F9B"/>
    <w:rsid w:val="00D0762C"/>
    <w:rsid w:val="00D1024D"/>
    <w:rsid w:val="00D10EFC"/>
    <w:rsid w:val="00D11949"/>
    <w:rsid w:val="00D11D5D"/>
    <w:rsid w:val="00D1208B"/>
    <w:rsid w:val="00D12DE6"/>
    <w:rsid w:val="00D12ED8"/>
    <w:rsid w:val="00D1352D"/>
    <w:rsid w:val="00D14830"/>
    <w:rsid w:val="00D15965"/>
    <w:rsid w:val="00D16524"/>
    <w:rsid w:val="00D16C0F"/>
    <w:rsid w:val="00D16CDE"/>
    <w:rsid w:val="00D16DBA"/>
    <w:rsid w:val="00D17216"/>
    <w:rsid w:val="00D174D0"/>
    <w:rsid w:val="00D175DB"/>
    <w:rsid w:val="00D2079A"/>
    <w:rsid w:val="00D21702"/>
    <w:rsid w:val="00D22EA3"/>
    <w:rsid w:val="00D2440D"/>
    <w:rsid w:val="00D24535"/>
    <w:rsid w:val="00D24BA0"/>
    <w:rsid w:val="00D25242"/>
    <w:rsid w:val="00D25C51"/>
    <w:rsid w:val="00D267FB"/>
    <w:rsid w:val="00D269B7"/>
    <w:rsid w:val="00D26E53"/>
    <w:rsid w:val="00D31D42"/>
    <w:rsid w:val="00D32042"/>
    <w:rsid w:val="00D3216F"/>
    <w:rsid w:val="00D322DD"/>
    <w:rsid w:val="00D3281C"/>
    <w:rsid w:val="00D33052"/>
    <w:rsid w:val="00D34972"/>
    <w:rsid w:val="00D356C6"/>
    <w:rsid w:val="00D37C4A"/>
    <w:rsid w:val="00D404CE"/>
    <w:rsid w:val="00D40722"/>
    <w:rsid w:val="00D41276"/>
    <w:rsid w:val="00D41C79"/>
    <w:rsid w:val="00D41D53"/>
    <w:rsid w:val="00D42F92"/>
    <w:rsid w:val="00D44F10"/>
    <w:rsid w:val="00D4501F"/>
    <w:rsid w:val="00D45161"/>
    <w:rsid w:val="00D4549E"/>
    <w:rsid w:val="00D45783"/>
    <w:rsid w:val="00D4682E"/>
    <w:rsid w:val="00D46E1D"/>
    <w:rsid w:val="00D473CD"/>
    <w:rsid w:val="00D47F77"/>
    <w:rsid w:val="00D500DE"/>
    <w:rsid w:val="00D506D4"/>
    <w:rsid w:val="00D50749"/>
    <w:rsid w:val="00D52B65"/>
    <w:rsid w:val="00D52B98"/>
    <w:rsid w:val="00D52E18"/>
    <w:rsid w:val="00D530B7"/>
    <w:rsid w:val="00D5353A"/>
    <w:rsid w:val="00D549B0"/>
    <w:rsid w:val="00D54A50"/>
    <w:rsid w:val="00D54FC8"/>
    <w:rsid w:val="00D55034"/>
    <w:rsid w:val="00D555C3"/>
    <w:rsid w:val="00D557C4"/>
    <w:rsid w:val="00D55F9B"/>
    <w:rsid w:val="00D56760"/>
    <w:rsid w:val="00D603BE"/>
    <w:rsid w:val="00D61B7D"/>
    <w:rsid w:val="00D65FEB"/>
    <w:rsid w:val="00D65FFC"/>
    <w:rsid w:val="00D662AA"/>
    <w:rsid w:val="00D668B6"/>
    <w:rsid w:val="00D7130B"/>
    <w:rsid w:val="00D715B0"/>
    <w:rsid w:val="00D725D2"/>
    <w:rsid w:val="00D73DF6"/>
    <w:rsid w:val="00D73F2C"/>
    <w:rsid w:val="00D75877"/>
    <w:rsid w:val="00D75CCB"/>
    <w:rsid w:val="00D76D1E"/>
    <w:rsid w:val="00D76F8C"/>
    <w:rsid w:val="00D8071B"/>
    <w:rsid w:val="00D813B9"/>
    <w:rsid w:val="00D82032"/>
    <w:rsid w:val="00D83BF0"/>
    <w:rsid w:val="00D85683"/>
    <w:rsid w:val="00D858CF"/>
    <w:rsid w:val="00D85DBF"/>
    <w:rsid w:val="00D863EE"/>
    <w:rsid w:val="00D865F0"/>
    <w:rsid w:val="00D866AF"/>
    <w:rsid w:val="00D86A8B"/>
    <w:rsid w:val="00D86F18"/>
    <w:rsid w:val="00D86F4C"/>
    <w:rsid w:val="00D87672"/>
    <w:rsid w:val="00D902B0"/>
    <w:rsid w:val="00D90A41"/>
    <w:rsid w:val="00D910E9"/>
    <w:rsid w:val="00D93216"/>
    <w:rsid w:val="00D935EC"/>
    <w:rsid w:val="00D93E5A"/>
    <w:rsid w:val="00D93E67"/>
    <w:rsid w:val="00D9414C"/>
    <w:rsid w:val="00D94323"/>
    <w:rsid w:val="00D94CC7"/>
    <w:rsid w:val="00D963F7"/>
    <w:rsid w:val="00D97B68"/>
    <w:rsid w:val="00D97EE9"/>
    <w:rsid w:val="00DA0017"/>
    <w:rsid w:val="00DA0066"/>
    <w:rsid w:val="00DA0ACB"/>
    <w:rsid w:val="00DA0F32"/>
    <w:rsid w:val="00DA1BA5"/>
    <w:rsid w:val="00DA1C01"/>
    <w:rsid w:val="00DA2DD3"/>
    <w:rsid w:val="00DA2E68"/>
    <w:rsid w:val="00DA2E6E"/>
    <w:rsid w:val="00DA3683"/>
    <w:rsid w:val="00DA443B"/>
    <w:rsid w:val="00DA45B5"/>
    <w:rsid w:val="00DA5087"/>
    <w:rsid w:val="00DA59FC"/>
    <w:rsid w:val="00DA5B31"/>
    <w:rsid w:val="00DA71EB"/>
    <w:rsid w:val="00DB071B"/>
    <w:rsid w:val="00DB08DF"/>
    <w:rsid w:val="00DB1525"/>
    <w:rsid w:val="00DB2A59"/>
    <w:rsid w:val="00DB37B6"/>
    <w:rsid w:val="00DB4AA2"/>
    <w:rsid w:val="00DB63A6"/>
    <w:rsid w:val="00DB6B62"/>
    <w:rsid w:val="00DB7FD9"/>
    <w:rsid w:val="00DC081C"/>
    <w:rsid w:val="00DC1867"/>
    <w:rsid w:val="00DC18A9"/>
    <w:rsid w:val="00DC1A7F"/>
    <w:rsid w:val="00DC1C0F"/>
    <w:rsid w:val="00DC1DBC"/>
    <w:rsid w:val="00DC23AB"/>
    <w:rsid w:val="00DC25F7"/>
    <w:rsid w:val="00DC2C26"/>
    <w:rsid w:val="00DC3E71"/>
    <w:rsid w:val="00DC4627"/>
    <w:rsid w:val="00DC4B57"/>
    <w:rsid w:val="00DC514A"/>
    <w:rsid w:val="00DC55EE"/>
    <w:rsid w:val="00DC666F"/>
    <w:rsid w:val="00DC6925"/>
    <w:rsid w:val="00DD09D0"/>
    <w:rsid w:val="00DD0EEF"/>
    <w:rsid w:val="00DD3652"/>
    <w:rsid w:val="00DD379E"/>
    <w:rsid w:val="00DD3ABD"/>
    <w:rsid w:val="00DD5B00"/>
    <w:rsid w:val="00DD5E2D"/>
    <w:rsid w:val="00DD691B"/>
    <w:rsid w:val="00DD6A30"/>
    <w:rsid w:val="00DD7268"/>
    <w:rsid w:val="00DD775F"/>
    <w:rsid w:val="00DE03F9"/>
    <w:rsid w:val="00DE23C8"/>
    <w:rsid w:val="00DE2CEB"/>
    <w:rsid w:val="00DE514C"/>
    <w:rsid w:val="00DE532F"/>
    <w:rsid w:val="00DE5AE1"/>
    <w:rsid w:val="00DE5C26"/>
    <w:rsid w:val="00DE5E48"/>
    <w:rsid w:val="00DE5FE1"/>
    <w:rsid w:val="00DE67BA"/>
    <w:rsid w:val="00DE6BFF"/>
    <w:rsid w:val="00DF06E1"/>
    <w:rsid w:val="00DF0ABB"/>
    <w:rsid w:val="00DF0C6D"/>
    <w:rsid w:val="00DF2CA9"/>
    <w:rsid w:val="00DF2D9E"/>
    <w:rsid w:val="00DF33EB"/>
    <w:rsid w:val="00DF398C"/>
    <w:rsid w:val="00DF3DDD"/>
    <w:rsid w:val="00DF4039"/>
    <w:rsid w:val="00DF40C5"/>
    <w:rsid w:val="00DF541F"/>
    <w:rsid w:val="00DF5BE6"/>
    <w:rsid w:val="00DF676E"/>
    <w:rsid w:val="00DF6861"/>
    <w:rsid w:val="00DF6E70"/>
    <w:rsid w:val="00DF7478"/>
    <w:rsid w:val="00E007FC"/>
    <w:rsid w:val="00E01012"/>
    <w:rsid w:val="00E01A78"/>
    <w:rsid w:val="00E01E72"/>
    <w:rsid w:val="00E01EE1"/>
    <w:rsid w:val="00E0204B"/>
    <w:rsid w:val="00E02B65"/>
    <w:rsid w:val="00E03541"/>
    <w:rsid w:val="00E037AA"/>
    <w:rsid w:val="00E04594"/>
    <w:rsid w:val="00E04767"/>
    <w:rsid w:val="00E04D36"/>
    <w:rsid w:val="00E05017"/>
    <w:rsid w:val="00E05334"/>
    <w:rsid w:val="00E05ED1"/>
    <w:rsid w:val="00E07925"/>
    <w:rsid w:val="00E07B45"/>
    <w:rsid w:val="00E07F98"/>
    <w:rsid w:val="00E105F4"/>
    <w:rsid w:val="00E1300A"/>
    <w:rsid w:val="00E132D8"/>
    <w:rsid w:val="00E13552"/>
    <w:rsid w:val="00E13DB6"/>
    <w:rsid w:val="00E148F1"/>
    <w:rsid w:val="00E159E0"/>
    <w:rsid w:val="00E15A14"/>
    <w:rsid w:val="00E15C00"/>
    <w:rsid w:val="00E16B31"/>
    <w:rsid w:val="00E173D4"/>
    <w:rsid w:val="00E174A6"/>
    <w:rsid w:val="00E176EB"/>
    <w:rsid w:val="00E202D8"/>
    <w:rsid w:val="00E209C9"/>
    <w:rsid w:val="00E20F77"/>
    <w:rsid w:val="00E21482"/>
    <w:rsid w:val="00E2179B"/>
    <w:rsid w:val="00E21844"/>
    <w:rsid w:val="00E22B27"/>
    <w:rsid w:val="00E22C33"/>
    <w:rsid w:val="00E22CC0"/>
    <w:rsid w:val="00E239A3"/>
    <w:rsid w:val="00E23C83"/>
    <w:rsid w:val="00E2511D"/>
    <w:rsid w:val="00E26D07"/>
    <w:rsid w:val="00E26F3B"/>
    <w:rsid w:val="00E27579"/>
    <w:rsid w:val="00E27881"/>
    <w:rsid w:val="00E27B32"/>
    <w:rsid w:val="00E30F19"/>
    <w:rsid w:val="00E3111B"/>
    <w:rsid w:val="00E31B35"/>
    <w:rsid w:val="00E322EC"/>
    <w:rsid w:val="00E32343"/>
    <w:rsid w:val="00E32418"/>
    <w:rsid w:val="00E32614"/>
    <w:rsid w:val="00E33CC8"/>
    <w:rsid w:val="00E34244"/>
    <w:rsid w:val="00E3503D"/>
    <w:rsid w:val="00E3642A"/>
    <w:rsid w:val="00E36EDC"/>
    <w:rsid w:val="00E37243"/>
    <w:rsid w:val="00E3737B"/>
    <w:rsid w:val="00E405DC"/>
    <w:rsid w:val="00E40AED"/>
    <w:rsid w:val="00E435B1"/>
    <w:rsid w:val="00E4413C"/>
    <w:rsid w:val="00E4454A"/>
    <w:rsid w:val="00E44FA2"/>
    <w:rsid w:val="00E46197"/>
    <w:rsid w:val="00E465D9"/>
    <w:rsid w:val="00E46E2B"/>
    <w:rsid w:val="00E476BB"/>
    <w:rsid w:val="00E51B47"/>
    <w:rsid w:val="00E525BF"/>
    <w:rsid w:val="00E526BC"/>
    <w:rsid w:val="00E53D2A"/>
    <w:rsid w:val="00E54270"/>
    <w:rsid w:val="00E544A1"/>
    <w:rsid w:val="00E5479F"/>
    <w:rsid w:val="00E56B51"/>
    <w:rsid w:val="00E572CD"/>
    <w:rsid w:val="00E57310"/>
    <w:rsid w:val="00E579A4"/>
    <w:rsid w:val="00E57B52"/>
    <w:rsid w:val="00E60240"/>
    <w:rsid w:val="00E60412"/>
    <w:rsid w:val="00E60747"/>
    <w:rsid w:val="00E61AB6"/>
    <w:rsid w:val="00E61ECB"/>
    <w:rsid w:val="00E62AB0"/>
    <w:rsid w:val="00E62EF9"/>
    <w:rsid w:val="00E6347C"/>
    <w:rsid w:val="00E63B54"/>
    <w:rsid w:val="00E64068"/>
    <w:rsid w:val="00E64784"/>
    <w:rsid w:val="00E64E09"/>
    <w:rsid w:val="00E6520D"/>
    <w:rsid w:val="00E659E6"/>
    <w:rsid w:val="00E6629D"/>
    <w:rsid w:val="00E664AC"/>
    <w:rsid w:val="00E66C2E"/>
    <w:rsid w:val="00E66C64"/>
    <w:rsid w:val="00E702BC"/>
    <w:rsid w:val="00E71506"/>
    <w:rsid w:val="00E7162D"/>
    <w:rsid w:val="00E72170"/>
    <w:rsid w:val="00E72A39"/>
    <w:rsid w:val="00E730E7"/>
    <w:rsid w:val="00E73CC5"/>
    <w:rsid w:val="00E7516D"/>
    <w:rsid w:val="00E762E6"/>
    <w:rsid w:val="00E774E9"/>
    <w:rsid w:val="00E8148A"/>
    <w:rsid w:val="00E8183D"/>
    <w:rsid w:val="00E82664"/>
    <w:rsid w:val="00E82861"/>
    <w:rsid w:val="00E82B84"/>
    <w:rsid w:val="00E8349C"/>
    <w:rsid w:val="00E84709"/>
    <w:rsid w:val="00E8498F"/>
    <w:rsid w:val="00E859B1"/>
    <w:rsid w:val="00E865C2"/>
    <w:rsid w:val="00E86C58"/>
    <w:rsid w:val="00E8720C"/>
    <w:rsid w:val="00E879FE"/>
    <w:rsid w:val="00E90EDA"/>
    <w:rsid w:val="00E91E99"/>
    <w:rsid w:val="00E91EAD"/>
    <w:rsid w:val="00E91F56"/>
    <w:rsid w:val="00E925AA"/>
    <w:rsid w:val="00E92A98"/>
    <w:rsid w:val="00E92E46"/>
    <w:rsid w:val="00E93673"/>
    <w:rsid w:val="00E93F85"/>
    <w:rsid w:val="00E94938"/>
    <w:rsid w:val="00E96573"/>
    <w:rsid w:val="00E97377"/>
    <w:rsid w:val="00EA09E4"/>
    <w:rsid w:val="00EA15D7"/>
    <w:rsid w:val="00EA1CA1"/>
    <w:rsid w:val="00EA1D0D"/>
    <w:rsid w:val="00EA2135"/>
    <w:rsid w:val="00EA2968"/>
    <w:rsid w:val="00EA2EE1"/>
    <w:rsid w:val="00EA41A1"/>
    <w:rsid w:val="00EA563F"/>
    <w:rsid w:val="00EA6126"/>
    <w:rsid w:val="00EA75BE"/>
    <w:rsid w:val="00EA7E95"/>
    <w:rsid w:val="00EA7FB7"/>
    <w:rsid w:val="00EB0119"/>
    <w:rsid w:val="00EB0A39"/>
    <w:rsid w:val="00EB0B15"/>
    <w:rsid w:val="00EB1952"/>
    <w:rsid w:val="00EB29C6"/>
    <w:rsid w:val="00EB314C"/>
    <w:rsid w:val="00EB3163"/>
    <w:rsid w:val="00EB3439"/>
    <w:rsid w:val="00EB3673"/>
    <w:rsid w:val="00EB3F7F"/>
    <w:rsid w:val="00EB45F3"/>
    <w:rsid w:val="00EB49AF"/>
    <w:rsid w:val="00EB5239"/>
    <w:rsid w:val="00EB6CB3"/>
    <w:rsid w:val="00EB708D"/>
    <w:rsid w:val="00EB70AA"/>
    <w:rsid w:val="00EB739B"/>
    <w:rsid w:val="00EB7CDE"/>
    <w:rsid w:val="00EC0863"/>
    <w:rsid w:val="00EC0A0B"/>
    <w:rsid w:val="00EC16B2"/>
    <w:rsid w:val="00EC2222"/>
    <w:rsid w:val="00EC351F"/>
    <w:rsid w:val="00EC3D80"/>
    <w:rsid w:val="00EC47A3"/>
    <w:rsid w:val="00EC48AF"/>
    <w:rsid w:val="00EC5997"/>
    <w:rsid w:val="00EC5E9C"/>
    <w:rsid w:val="00EC65E5"/>
    <w:rsid w:val="00EC6E1C"/>
    <w:rsid w:val="00EC7427"/>
    <w:rsid w:val="00ED08C2"/>
    <w:rsid w:val="00ED0CA8"/>
    <w:rsid w:val="00ED2011"/>
    <w:rsid w:val="00ED2567"/>
    <w:rsid w:val="00ED2A18"/>
    <w:rsid w:val="00ED2CB9"/>
    <w:rsid w:val="00ED2D71"/>
    <w:rsid w:val="00ED47FB"/>
    <w:rsid w:val="00ED6146"/>
    <w:rsid w:val="00ED685A"/>
    <w:rsid w:val="00ED69F9"/>
    <w:rsid w:val="00EE01A4"/>
    <w:rsid w:val="00EE0A5E"/>
    <w:rsid w:val="00EE103E"/>
    <w:rsid w:val="00EE1280"/>
    <w:rsid w:val="00EE1DC3"/>
    <w:rsid w:val="00EE2E7D"/>
    <w:rsid w:val="00EE3371"/>
    <w:rsid w:val="00EE3C4D"/>
    <w:rsid w:val="00EE3F1E"/>
    <w:rsid w:val="00EE4D5A"/>
    <w:rsid w:val="00EE5448"/>
    <w:rsid w:val="00EE59E2"/>
    <w:rsid w:val="00EE6A61"/>
    <w:rsid w:val="00EF064E"/>
    <w:rsid w:val="00EF078F"/>
    <w:rsid w:val="00EF0BF2"/>
    <w:rsid w:val="00EF0C23"/>
    <w:rsid w:val="00EF1935"/>
    <w:rsid w:val="00EF2612"/>
    <w:rsid w:val="00EF3BE5"/>
    <w:rsid w:val="00EF660D"/>
    <w:rsid w:val="00F00595"/>
    <w:rsid w:val="00F00938"/>
    <w:rsid w:val="00F01103"/>
    <w:rsid w:val="00F024F7"/>
    <w:rsid w:val="00F02646"/>
    <w:rsid w:val="00F02DBE"/>
    <w:rsid w:val="00F033C4"/>
    <w:rsid w:val="00F03401"/>
    <w:rsid w:val="00F037D0"/>
    <w:rsid w:val="00F04C5A"/>
    <w:rsid w:val="00F04FC1"/>
    <w:rsid w:val="00F0524D"/>
    <w:rsid w:val="00F07918"/>
    <w:rsid w:val="00F114BD"/>
    <w:rsid w:val="00F11FE4"/>
    <w:rsid w:val="00F12B3C"/>
    <w:rsid w:val="00F13400"/>
    <w:rsid w:val="00F149EC"/>
    <w:rsid w:val="00F14B91"/>
    <w:rsid w:val="00F15161"/>
    <w:rsid w:val="00F15365"/>
    <w:rsid w:val="00F16182"/>
    <w:rsid w:val="00F166CD"/>
    <w:rsid w:val="00F17E35"/>
    <w:rsid w:val="00F204CE"/>
    <w:rsid w:val="00F20DC3"/>
    <w:rsid w:val="00F20E35"/>
    <w:rsid w:val="00F2103B"/>
    <w:rsid w:val="00F227FF"/>
    <w:rsid w:val="00F23B8B"/>
    <w:rsid w:val="00F24D06"/>
    <w:rsid w:val="00F25394"/>
    <w:rsid w:val="00F258C6"/>
    <w:rsid w:val="00F25D47"/>
    <w:rsid w:val="00F260C7"/>
    <w:rsid w:val="00F2648D"/>
    <w:rsid w:val="00F2667C"/>
    <w:rsid w:val="00F266EE"/>
    <w:rsid w:val="00F26D42"/>
    <w:rsid w:val="00F27376"/>
    <w:rsid w:val="00F27D61"/>
    <w:rsid w:val="00F27FF3"/>
    <w:rsid w:val="00F3074E"/>
    <w:rsid w:val="00F30CDD"/>
    <w:rsid w:val="00F31268"/>
    <w:rsid w:val="00F31ED5"/>
    <w:rsid w:val="00F32973"/>
    <w:rsid w:val="00F32F2E"/>
    <w:rsid w:val="00F33896"/>
    <w:rsid w:val="00F3398A"/>
    <w:rsid w:val="00F3409D"/>
    <w:rsid w:val="00F34C83"/>
    <w:rsid w:val="00F34D29"/>
    <w:rsid w:val="00F41364"/>
    <w:rsid w:val="00F41B17"/>
    <w:rsid w:val="00F41D70"/>
    <w:rsid w:val="00F41E30"/>
    <w:rsid w:val="00F42500"/>
    <w:rsid w:val="00F42513"/>
    <w:rsid w:val="00F430B5"/>
    <w:rsid w:val="00F436C2"/>
    <w:rsid w:val="00F43F8C"/>
    <w:rsid w:val="00F4459F"/>
    <w:rsid w:val="00F445EF"/>
    <w:rsid w:val="00F448FD"/>
    <w:rsid w:val="00F44BA6"/>
    <w:rsid w:val="00F463CC"/>
    <w:rsid w:val="00F467C2"/>
    <w:rsid w:val="00F46B96"/>
    <w:rsid w:val="00F47753"/>
    <w:rsid w:val="00F50008"/>
    <w:rsid w:val="00F500D5"/>
    <w:rsid w:val="00F507FE"/>
    <w:rsid w:val="00F5139A"/>
    <w:rsid w:val="00F51F49"/>
    <w:rsid w:val="00F53189"/>
    <w:rsid w:val="00F531D8"/>
    <w:rsid w:val="00F54B74"/>
    <w:rsid w:val="00F55385"/>
    <w:rsid w:val="00F56F31"/>
    <w:rsid w:val="00F61286"/>
    <w:rsid w:val="00F61569"/>
    <w:rsid w:val="00F61803"/>
    <w:rsid w:val="00F644BA"/>
    <w:rsid w:val="00F659F2"/>
    <w:rsid w:val="00F675DC"/>
    <w:rsid w:val="00F7009C"/>
    <w:rsid w:val="00F70C15"/>
    <w:rsid w:val="00F710B9"/>
    <w:rsid w:val="00F71185"/>
    <w:rsid w:val="00F71D35"/>
    <w:rsid w:val="00F71E08"/>
    <w:rsid w:val="00F73772"/>
    <w:rsid w:val="00F757BF"/>
    <w:rsid w:val="00F76806"/>
    <w:rsid w:val="00F7685A"/>
    <w:rsid w:val="00F76C8D"/>
    <w:rsid w:val="00F76DCF"/>
    <w:rsid w:val="00F77E55"/>
    <w:rsid w:val="00F81AF3"/>
    <w:rsid w:val="00F82025"/>
    <w:rsid w:val="00F8212D"/>
    <w:rsid w:val="00F838DC"/>
    <w:rsid w:val="00F83D27"/>
    <w:rsid w:val="00F83D2A"/>
    <w:rsid w:val="00F844C0"/>
    <w:rsid w:val="00F846A3"/>
    <w:rsid w:val="00F84704"/>
    <w:rsid w:val="00F84C8C"/>
    <w:rsid w:val="00F851D1"/>
    <w:rsid w:val="00F85278"/>
    <w:rsid w:val="00F852A0"/>
    <w:rsid w:val="00F8604D"/>
    <w:rsid w:val="00F860FB"/>
    <w:rsid w:val="00F8692F"/>
    <w:rsid w:val="00F8749A"/>
    <w:rsid w:val="00F87F08"/>
    <w:rsid w:val="00F909FA"/>
    <w:rsid w:val="00F90DF6"/>
    <w:rsid w:val="00F929B2"/>
    <w:rsid w:val="00F931D4"/>
    <w:rsid w:val="00F936DB"/>
    <w:rsid w:val="00F93B98"/>
    <w:rsid w:val="00F94CDE"/>
    <w:rsid w:val="00F95E50"/>
    <w:rsid w:val="00F969CF"/>
    <w:rsid w:val="00F97FAB"/>
    <w:rsid w:val="00FA097F"/>
    <w:rsid w:val="00FA2A91"/>
    <w:rsid w:val="00FA2CB7"/>
    <w:rsid w:val="00FA2F51"/>
    <w:rsid w:val="00FA2FB4"/>
    <w:rsid w:val="00FA3301"/>
    <w:rsid w:val="00FA3721"/>
    <w:rsid w:val="00FA391F"/>
    <w:rsid w:val="00FA4363"/>
    <w:rsid w:val="00FA4B02"/>
    <w:rsid w:val="00FA4F57"/>
    <w:rsid w:val="00FA4FAA"/>
    <w:rsid w:val="00FA6BDA"/>
    <w:rsid w:val="00FA6D94"/>
    <w:rsid w:val="00FA6E3B"/>
    <w:rsid w:val="00FA6FAD"/>
    <w:rsid w:val="00FA720E"/>
    <w:rsid w:val="00FA74C2"/>
    <w:rsid w:val="00FB040E"/>
    <w:rsid w:val="00FB0781"/>
    <w:rsid w:val="00FB0946"/>
    <w:rsid w:val="00FB17A6"/>
    <w:rsid w:val="00FB1EE4"/>
    <w:rsid w:val="00FB26E6"/>
    <w:rsid w:val="00FB321B"/>
    <w:rsid w:val="00FB356E"/>
    <w:rsid w:val="00FB4AF8"/>
    <w:rsid w:val="00FB55AB"/>
    <w:rsid w:val="00FB572A"/>
    <w:rsid w:val="00FB639E"/>
    <w:rsid w:val="00FB6870"/>
    <w:rsid w:val="00FB6C72"/>
    <w:rsid w:val="00FB7DB4"/>
    <w:rsid w:val="00FC00FC"/>
    <w:rsid w:val="00FC1164"/>
    <w:rsid w:val="00FC25C1"/>
    <w:rsid w:val="00FC27DC"/>
    <w:rsid w:val="00FC2FAD"/>
    <w:rsid w:val="00FC35B2"/>
    <w:rsid w:val="00FC3888"/>
    <w:rsid w:val="00FC38DF"/>
    <w:rsid w:val="00FC467B"/>
    <w:rsid w:val="00FC4B05"/>
    <w:rsid w:val="00FC4CDC"/>
    <w:rsid w:val="00FC4D78"/>
    <w:rsid w:val="00FC56F9"/>
    <w:rsid w:val="00FC5B89"/>
    <w:rsid w:val="00FC5C3B"/>
    <w:rsid w:val="00FC5EA3"/>
    <w:rsid w:val="00FC6188"/>
    <w:rsid w:val="00FC669D"/>
    <w:rsid w:val="00FC75D9"/>
    <w:rsid w:val="00FC7C98"/>
    <w:rsid w:val="00FD025B"/>
    <w:rsid w:val="00FD07E8"/>
    <w:rsid w:val="00FD0932"/>
    <w:rsid w:val="00FD112D"/>
    <w:rsid w:val="00FD1284"/>
    <w:rsid w:val="00FD14A1"/>
    <w:rsid w:val="00FD1B4D"/>
    <w:rsid w:val="00FD1E15"/>
    <w:rsid w:val="00FD2BC6"/>
    <w:rsid w:val="00FD2CBE"/>
    <w:rsid w:val="00FD2E11"/>
    <w:rsid w:val="00FD39A8"/>
    <w:rsid w:val="00FD405D"/>
    <w:rsid w:val="00FD4203"/>
    <w:rsid w:val="00FD4450"/>
    <w:rsid w:val="00FD44C2"/>
    <w:rsid w:val="00FD4F1E"/>
    <w:rsid w:val="00FD5316"/>
    <w:rsid w:val="00FD545A"/>
    <w:rsid w:val="00FD5550"/>
    <w:rsid w:val="00FD5710"/>
    <w:rsid w:val="00FD6347"/>
    <w:rsid w:val="00FD63CA"/>
    <w:rsid w:val="00FD6A1B"/>
    <w:rsid w:val="00FD6ACC"/>
    <w:rsid w:val="00FD6C44"/>
    <w:rsid w:val="00FD799E"/>
    <w:rsid w:val="00FD7CDA"/>
    <w:rsid w:val="00FD7D58"/>
    <w:rsid w:val="00FE0007"/>
    <w:rsid w:val="00FE005A"/>
    <w:rsid w:val="00FE01AB"/>
    <w:rsid w:val="00FE0F59"/>
    <w:rsid w:val="00FE1369"/>
    <w:rsid w:val="00FE14C8"/>
    <w:rsid w:val="00FE3D3F"/>
    <w:rsid w:val="00FE473F"/>
    <w:rsid w:val="00FE4D91"/>
    <w:rsid w:val="00FE4ECB"/>
    <w:rsid w:val="00FE51E5"/>
    <w:rsid w:val="00FE5A4D"/>
    <w:rsid w:val="00FE60B3"/>
    <w:rsid w:val="00FE70BD"/>
    <w:rsid w:val="00FE7CF8"/>
    <w:rsid w:val="00FF01D1"/>
    <w:rsid w:val="00FF04DE"/>
    <w:rsid w:val="00FF19FB"/>
    <w:rsid w:val="00FF1D9A"/>
    <w:rsid w:val="00FF2B43"/>
    <w:rsid w:val="00FF42BB"/>
    <w:rsid w:val="00FF490E"/>
    <w:rsid w:val="00FF51EE"/>
    <w:rsid w:val="00FF5361"/>
    <w:rsid w:val="00FF5D6E"/>
    <w:rsid w:val="00FF647D"/>
    <w:rsid w:val="00FF6539"/>
    <w:rsid w:val="00FF72DD"/>
    <w:rsid w:val="00FF7491"/>
    <w:rsid w:val="00FF77AE"/>
    <w:rsid w:val="01113D6B"/>
    <w:rsid w:val="011D2710"/>
    <w:rsid w:val="01210C0B"/>
    <w:rsid w:val="013D5146"/>
    <w:rsid w:val="016C07DE"/>
    <w:rsid w:val="016F3451"/>
    <w:rsid w:val="01B5468B"/>
    <w:rsid w:val="01C901A1"/>
    <w:rsid w:val="01D90CF6"/>
    <w:rsid w:val="01EA0BDA"/>
    <w:rsid w:val="02054F52"/>
    <w:rsid w:val="020C065B"/>
    <w:rsid w:val="02112A4F"/>
    <w:rsid w:val="02185376"/>
    <w:rsid w:val="021B4775"/>
    <w:rsid w:val="02223D56"/>
    <w:rsid w:val="026179E7"/>
    <w:rsid w:val="0277488E"/>
    <w:rsid w:val="028751FF"/>
    <w:rsid w:val="02946605"/>
    <w:rsid w:val="02AE79B5"/>
    <w:rsid w:val="02C069D8"/>
    <w:rsid w:val="02EA6538"/>
    <w:rsid w:val="02EB0A62"/>
    <w:rsid w:val="03004097"/>
    <w:rsid w:val="031D6E5B"/>
    <w:rsid w:val="03240988"/>
    <w:rsid w:val="032D650E"/>
    <w:rsid w:val="0340588E"/>
    <w:rsid w:val="03477CCA"/>
    <w:rsid w:val="03504620"/>
    <w:rsid w:val="0352449C"/>
    <w:rsid w:val="03634626"/>
    <w:rsid w:val="0388408C"/>
    <w:rsid w:val="039F15D1"/>
    <w:rsid w:val="03B32E3B"/>
    <w:rsid w:val="03BD5C4D"/>
    <w:rsid w:val="03CE1C3B"/>
    <w:rsid w:val="03F67248"/>
    <w:rsid w:val="04151B70"/>
    <w:rsid w:val="043F0BEF"/>
    <w:rsid w:val="0448484A"/>
    <w:rsid w:val="04581C43"/>
    <w:rsid w:val="046049E6"/>
    <w:rsid w:val="04727FC9"/>
    <w:rsid w:val="049C7DEF"/>
    <w:rsid w:val="04AE7B23"/>
    <w:rsid w:val="04E2389B"/>
    <w:rsid w:val="05017C52"/>
    <w:rsid w:val="053A06F6"/>
    <w:rsid w:val="05C01412"/>
    <w:rsid w:val="05F23A3F"/>
    <w:rsid w:val="063302DF"/>
    <w:rsid w:val="0639341C"/>
    <w:rsid w:val="064061DE"/>
    <w:rsid w:val="06A8180F"/>
    <w:rsid w:val="06A87F4A"/>
    <w:rsid w:val="06C669EC"/>
    <w:rsid w:val="074107DA"/>
    <w:rsid w:val="075F5104"/>
    <w:rsid w:val="07645416"/>
    <w:rsid w:val="07A70F85"/>
    <w:rsid w:val="07D258D6"/>
    <w:rsid w:val="07D93108"/>
    <w:rsid w:val="07DA45E6"/>
    <w:rsid w:val="07FE32F6"/>
    <w:rsid w:val="08184181"/>
    <w:rsid w:val="08246B70"/>
    <w:rsid w:val="08273E74"/>
    <w:rsid w:val="08494D2A"/>
    <w:rsid w:val="0854001A"/>
    <w:rsid w:val="08582729"/>
    <w:rsid w:val="085C4A87"/>
    <w:rsid w:val="086412D7"/>
    <w:rsid w:val="08B2101E"/>
    <w:rsid w:val="08B94541"/>
    <w:rsid w:val="08C66B4E"/>
    <w:rsid w:val="08ED6E6B"/>
    <w:rsid w:val="08F34571"/>
    <w:rsid w:val="090E0B90"/>
    <w:rsid w:val="09150170"/>
    <w:rsid w:val="091A5787"/>
    <w:rsid w:val="094F6298"/>
    <w:rsid w:val="099554A7"/>
    <w:rsid w:val="09A6701A"/>
    <w:rsid w:val="09B3632D"/>
    <w:rsid w:val="09BA64E1"/>
    <w:rsid w:val="09CF1802"/>
    <w:rsid w:val="09F935EE"/>
    <w:rsid w:val="0A68307C"/>
    <w:rsid w:val="0A870A48"/>
    <w:rsid w:val="0A8E73FF"/>
    <w:rsid w:val="0AB539B9"/>
    <w:rsid w:val="0AE778EA"/>
    <w:rsid w:val="0B0518C6"/>
    <w:rsid w:val="0B1370F7"/>
    <w:rsid w:val="0B3521BB"/>
    <w:rsid w:val="0B3B46CD"/>
    <w:rsid w:val="0B5F01DA"/>
    <w:rsid w:val="0B7B7CBF"/>
    <w:rsid w:val="0B813629"/>
    <w:rsid w:val="0BB0119B"/>
    <w:rsid w:val="0BE300B2"/>
    <w:rsid w:val="0BF67CF0"/>
    <w:rsid w:val="0C207E57"/>
    <w:rsid w:val="0C222AFB"/>
    <w:rsid w:val="0C681B4B"/>
    <w:rsid w:val="0C7140F8"/>
    <w:rsid w:val="0C7D41B7"/>
    <w:rsid w:val="0C800B66"/>
    <w:rsid w:val="0CD206FE"/>
    <w:rsid w:val="0CD21ED4"/>
    <w:rsid w:val="0CF476A2"/>
    <w:rsid w:val="0CFC4715"/>
    <w:rsid w:val="0D074274"/>
    <w:rsid w:val="0D181FDD"/>
    <w:rsid w:val="0D1C426C"/>
    <w:rsid w:val="0D305579"/>
    <w:rsid w:val="0D5326A8"/>
    <w:rsid w:val="0D7550C1"/>
    <w:rsid w:val="0DBD49E8"/>
    <w:rsid w:val="0DC932D7"/>
    <w:rsid w:val="0DD315EF"/>
    <w:rsid w:val="0E1C78AB"/>
    <w:rsid w:val="0E5E42B9"/>
    <w:rsid w:val="0E971B1D"/>
    <w:rsid w:val="0E9A6E81"/>
    <w:rsid w:val="0EEF26FE"/>
    <w:rsid w:val="0F172249"/>
    <w:rsid w:val="0F29227F"/>
    <w:rsid w:val="0F4A2A64"/>
    <w:rsid w:val="0F5C3E92"/>
    <w:rsid w:val="0F70142D"/>
    <w:rsid w:val="0F984E9F"/>
    <w:rsid w:val="0F987405"/>
    <w:rsid w:val="0FAB52AC"/>
    <w:rsid w:val="0FB05E59"/>
    <w:rsid w:val="0FC55281"/>
    <w:rsid w:val="0FCA2EAC"/>
    <w:rsid w:val="0FE42AD6"/>
    <w:rsid w:val="0FEB2B8B"/>
    <w:rsid w:val="0FF705D0"/>
    <w:rsid w:val="100E136A"/>
    <w:rsid w:val="10392996"/>
    <w:rsid w:val="1053332C"/>
    <w:rsid w:val="106D2640"/>
    <w:rsid w:val="107E3008"/>
    <w:rsid w:val="108C6F6A"/>
    <w:rsid w:val="109946EB"/>
    <w:rsid w:val="10A00B86"/>
    <w:rsid w:val="10B17F5E"/>
    <w:rsid w:val="10F03F7E"/>
    <w:rsid w:val="10F97903"/>
    <w:rsid w:val="10FE14EA"/>
    <w:rsid w:val="10FE773C"/>
    <w:rsid w:val="11021525"/>
    <w:rsid w:val="110E5DBD"/>
    <w:rsid w:val="111B7E3D"/>
    <w:rsid w:val="111D48C2"/>
    <w:rsid w:val="112600F4"/>
    <w:rsid w:val="113413B0"/>
    <w:rsid w:val="11445695"/>
    <w:rsid w:val="115D0906"/>
    <w:rsid w:val="116013AE"/>
    <w:rsid w:val="11A3638D"/>
    <w:rsid w:val="11F757A1"/>
    <w:rsid w:val="1218482D"/>
    <w:rsid w:val="122B7A0D"/>
    <w:rsid w:val="12470E78"/>
    <w:rsid w:val="124F64A1"/>
    <w:rsid w:val="12547D7F"/>
    <w:rsid w:val="127A1044"/>
    <w:rsid w:val="128E71E1"/>
    <w:rsid w:val="12E803CF"/>
    <w:rsid w:val="13180F89"/>
    <w:rsid w:val="131D1ED0"/>
    <w:rsid w:val="132A0CBC"/>
    <w:rsid w:val="132C4D41"/>
    <w:rsid w:val="13441D7E"/>
    <w:rsid w:val="13517125"/>
    <w:rsid w:val="1360433C"/>
    <w:rsid w:val="13604A62"/>
    <w:rsid w:val="13623FB2"/>
    <w:rsid w:val="137835EB"/>
    <w:rsid w:val="13AE369B"/>
    <w:rsid w:val="13F33878"/>
    <w:rsid w:val="142C4199"/>
    <w:rsid w:val="14453178"/>
    <w:rsid w:val="1478529F"/>
    <w:rsid w:val="149E6B72"/>
    <w:rsid w:val="14B378AE"/>
    <w:rsid w:val="14BF0891"/>
    <w:rsid w:val="14C12F5A"/>
    <w:rsid w:val="14C34F24"/>
    <w:rsid w:val="1515472D"/>
    <w:rsid w:val="151D63F7"/>
    <w:rsid w:val="151D7D9B"/>
    <w:rsid w:val="153951E6"/>
    <w:rsid w:val="153F3112"/>
    <w:rsid w:val="15556CA7"/>
    <w:rsid w:val="157B1484"/>
    <w:rsid w:val="1586336A"/>
    <w:rsid w:val="158C4A83"/>
    <w:rsid w:val="159A028F"/>
    <w:rsid w:val="15B85930"/>
    <w:rsid w:val="15D22074"/>
    <w:rsid w:val="15EE4223"/>
    <w:rsid w:val="15F32920"/>
    <w:rsid w:val="160B6E2A"/>
    <w:rsid w:val="16332F76"/>
    <w:rsid w:val="16482056"/>
    <w:rsid w:val="1684025D"/>
    <w:rsid w:val="168B455A"/>
    <w:rsid w:val="16F445DE"/>
    <w:rsid w:val="16F97FA5"/>
    <w:rsid w:val="170F61FF"/>
    <w:rsid w:val="17520091"/>
    <w:rsid w:val="17981D0B"/>
    <w:rsid w:val="17B6195E"/>
    <w:rsid w:val="17BF71A9"/>
    <w:rsid w:val="18047D2E"/>
    <w:rsid w:val="180C0E3D"/>
    <w:rsid w:val="181528EB"/>
    <w:rsid w:val="182B3789"/>
    <w:rsid w:val="184772E3"/>
    <w:rsid w:val="1862318A"/>
    <w:rsid w:val="186749D5"/>
    <w:rsid w:val="18A252A2"/>
    <w:rsid w:val="18DA45EA"/>
    <w:rsid w:val="19114E8C"/>
    <w:rsid w:val="19153875"/>
    <w:rsid w:val="1923702B"/>
    <w:rsid w:val="193C52A5"/>
    <w:rsid w:val="193F306E"/>
    <w:rsid w:val="19577267"/>
    <w:rsid w:val="19645718"/>
    <w:rsid w:val="19770DAD"/>
    <w:rsid w:val="19921369"/>
    <w:rsid w:val="19CB08E1"/>
    <w:rsid w:val="19CE77EC"/>
    <w:rsid w:val="1A094ACD"/>
    <w:rsid w:val="1A1E2D8D"/>
    <w:rsid w:val="1A1F45B0"/>
    <w:rsid w:val="1A3F7CBB"/>
    <w:rsid w:val="1A430574"/>
    <w:rsid w:val="1A5C05A1"/>
    <w:rsid w:val="1A5E188C"/>
    <w:rsid w:val="1AAB5341"/>
    <w:rsid w:val="1ABC5C75"/>
    <w:rsid w:val="1AEC6857"/>
    <w:rsid w:val="1B0D3C06"/>
    <w:rsid w:val="1B1464DA"/>
    <w:rsid w:val="1B56527F"/>
    <w:rsid w:val="1B822B0B"/>
    <w:rsid w:val="1B8A442F"/>
    <w:rsid w:val="1BB824F2"/>
    <w:rsid w:val="1BC4497D"/>
    <w:rsid w:val="1BE016F6"/>
    <w:rsid w:val="1BEE0D28"/>
    <w:rsid w:val="1C30275E"/>
    <w:rsid w:val="1C3E46E7"/>
    <w:rsid w:val="1C7B5554"/>
    <w:rsid w:val="1CB07CE8"/>
    <w:rsid w:val="1CBA3832"/>
    <w:rsid w:val="1CE92B76"/>
    <w:rsid w:val="1CF05C43"/>
    <w:rsid w:val="1D297698"/>
    <w:rsid w:val="1D5A2517"/>
    <w:rsid w:val="1DA11B7B"/>
    <w:rsid w:val="1DE60CEF"/>
    <w:rsid w:val="1E4B66DD"/>
    <w:rsid w:val="1E51534F"/>
    <w:rsid w:val="1E615824"/>
    <w:rsid w:val="1E786D7F"/>
    <w:rsid w:val="1E94348E"/>
    <w:rsid w:val="1EDC730E"/>
    <w:rsid w:val="1EDF5240"/>
    <w:rsid w:val="1F2658C0"/>
    <w:rsid w:val="1F39682B"/>
    <w:rsid w:val="1F4153C3"/>
    <w:rsid w:val="1F90634B"/>
    <w:rsid w:val="1F974FE3"/>
    <w:rsid w:val="1FA16FF5"/>
    <w:rsid w:val="1FAD07D1"/>
    <w:rsid w:val="1FCF33BD"/>
    <w:rsid w:val="1FEB3581"/>
    <w:rsid w:val="1FFA3FC7"/>
    <w:rsid w:val="1FFB21D9"/>
    <w:rsid w:val="201E1457"/>
    <w:rsid w:val="2025374E"/>
    <w:rsid w:val="20653333"/>
    <w:rsid w:val="20711637"/>
    <w:rsid w:val="209268D9"/>
    <w:rsid w:val="20A019F6"/>
    <w:rsid w:val="20C63ADD"/>
    <w:rsid w:val="20CB4144"/>
    <w:rsid w:val="20D026F6"/>
    <w:rsid w:val="20D109C9"/>
    <w:rsid w:val="20D44015"/>
    <w:rsid w:val="20DC60C3"/>
    <w:rsid w:val="21310C65"/>
    <w:rsid w:val="213C39E5"/>
    <w:rsid w:val="21702066"/>
    <w:rsid w:val="21750BB9"/>
    <w:rsid w:val="21D35CA0"/>
    <w:rsid w:val="22280ABD"/>
    <w:rsid w:val="2268710B"/>
    <w:rsid w:val="226B2757"/>
    <w:rsid w:val="22704CCB"/>
    <w:rsid w:val="22840225"/>
    <w:rsid w:val="229A6DE3"/>
    <w:rsid w:val="22A55C69"/>
    <w:rsid w:val="22DF4807"/>
    <w:rsid w:val="22E20377"/>
    <w:rsid w:val="22FA4207"/>
    <w:rsid w:val="2317117F"/>
    <w:rsid w:val="231856DC"/>
    <w:rsid w:val="2327003C"/>
    <w:rsid w:val="233F02A9"/>
    <w:rsid w:val="23443FE3"/>
    <w:rsid w:val="23706277"/>
    <w:rsid w:val="239D26ED"/>
    <w:rsid w:val="23BF19BA"/>
    <w:rsid w:val="23DF5284"/>
    <w:rsid w:val="23E95F3E"/>
    <w:rsid w:val="23ED5B1A"/>
    <w:rsid w:val="24062738"/>
    <w:rsid w:val="24150C39"/>
    <w:rsid w:val="242A0B1C"/>
    <w:rsid w:val="243A6885"/>
    <w:rsid w:val="244E655C"/>
    <w:rsid w:val="245600BC"/>
    <w:rsid w:val="247D50F0"/>
    <w:rsid w:val="24B0447A"/>
    <w:rsid w:val="25190ED6"/>
    <w:rsid w:val="25407ECB"/>
    <w:rsid w:val="256242E5"/>
    <w:rsid w:val="25752A90"/>
    <w:rsid w:val="257B72D7"/>
    <w:rsid w:val="25D35209"/>
    <w:rsid w:val="25FD64F9"/>
    <w:rsid w:val="260F755A"/>
    <w:rsid w:val="267D4F0E"/>
    <w:rsid w:val="26911FE1"/>
    <w:rsid w:val="26953FAF"/>
    <w:rsid w:val="26B375FC"/>
    <w:rsid w:val="26DE22D2"/>
    <w:rsid w:val="26EF7DFB"/>
    <w:rsid w:val="27237926"/>
    <w:rsid w:val="272F397A"/>
    <w:rsid w:val="27BF3329"/>
    <w:rsid w:val="27F37239"/>
    <w:rsid w:val="27FF7BCA"/>
    <w:rsid w:val="28056957"/>
    <w:rsid w:val="281A5D23"/>
    <w:rsid w:val="28243416"/>
    <w:rsid w:val="28A829DF"/>
    <w:rsid w:val="28A86CAB"/>
    <w:rsid w:val="291D5D15"/>
    <w:rsid w:val="29363ABF"/>
    <w:rsid w:val="293B6832"/>
    <w:rsid w:val="29806C4A"/>
    <w:rsid w:val="29916F47"/>
    <w:rsid w:val="29A728EB"/>
    <w:rsid w:val="29B9024C"/>
    <w:rsid w:val="29BD6C3E"/>
    <w:rsid w:val="29E2020C"/>
    <w:rsid w:val="29EF6110"/>
    <w:rsid w:val="29F55728"/>
    <w:rsid w:val="2A0B4DE7"/>
    <w:rsid w:val="2A1B05A5"/>
    <w:rsid w:val="2A3A313B"/>
    <w:rsid w:val="2A3E3CA8"/>
    <w:rsid w:val="2A451EEF"/>
    <w:rsid w:val="2A4D5647"/>
    <w:rsid w:val="2A580161"/>
    <w:rsid w:val="2A8278A7"/>
    <w:rsid w:val="2A950CB9"/>
    <w:rsid w:val="2B257850"/>
    <w:rsid w:val="2B4640E1"/>
    <w:rsid w:val="2B5F053C"/>
    <w:rsid w:val="2B9117FD"/>
    <w:rsid w:val="2BA87D56"/>
    <w:rsid w:val="2BD35BDA"/>
    <w:rsid w:val="2C272238"/>
    <w:rsid w:val="2C897094"/>
    <w:rsid w:val="2C8C52DF"/>
    <w:rsid w:val="2CAA3673"/>
    <w:rsid w:val="2D0839C4"/>
    <w:rsid w:val="2D354529"/>
    <w:rsid w:val="2D3642AE"/>
    <w:rsid w:val="2D522E91"/>
    <w:rsid w:val="2D7A68C1"/>
    <w:rsid w:val="2D8E2AEC"/>
    <w:rsid w:val="2D92536B"/>
    <w:rsid w:val="2D9502B1"/>
    <w:rsid w:val="2D957A25"/>
    <w:rsid w:val="2DC30F4E"/>
    <w:rsid w:val="2DFE323D"/>
    <w:rsid w:val="2DFFF708"/>
    <w:rsid w:val="2E0427ED"/>
    <w:rsid w:val="2E2A34C6"/>
    <w:rsid w:val="2E2D41EF"/>
    <w:rsid w:val="2E396C72"/>
    <w:rsid w:val="2E461AF0"/>
    <w:rsid w:val="2E662306"/>
    <w:rsid w:val="2E770C20"/>
    <w:rsid w:val="2E8C630C"/>
    <w:rsid w:val="2EA85A27"/>
    <w:rsid w:val="2EB716C4"/>
    <w:rsid w:val="2EC54E6C"/>
    <w:rsid w:val="2F503401"/>
    <w:rsid w:val="2F77273B"/>
    <w:rsid w:val="2F863E6C"/>
    <w:rsid w:val="2FA41285"/>
    <w:rsid w:val="2FA7168F"/>
    <w:rsid w:val="2FAB7962"/>
    <w:rsid w:val="2FB458FE"/>
    <w:rsid w:val="2FC30122"/>
    <w:rsid w:val="2FC31E61"/>
    <w:rsid w:val="2FC8474B"/>
    <w:rsid w:val="2FD44E62"/>
    <w:rsid w:val="2FDA6C10"/>
    <w:rsid w:val="2FEC3129"/>
    <w:rsid w:val="2FF57930"/>
    <w:rsid w:val="2FFC28A0"/>
    <w:rsid w:val="30055365"/>
    <w:rsid w:val="301C0C5B"/>
    <w:rsid w:val="303C724B"/>
    <w:rsid w:val="30706E2A"/>
    <w:rsid w:val="30772E97"/>
    <w:rsid w:val="30DC63F1"/>
    <w:rsid w:val="311E6318"/>
    <w:rsid w:val="31352775"/>
    <w:rsid w:val="31442A63"/>
    <w:rsid w:val="317E1E0C"/>
    <w:rsid w:val="31A04122"/>
    <w:rsid w:val="31AA5C3B"/>
    <w:rsid w:val="31B82D10"/>
    <w:rsid w:val="31C702B8"/>
    <w:rsid w:val="31CB6336"/>
    <w:rsid w:val="31DC3802"/>
    <w:rsid w:val="3203611D"/>
    <w:rsid w:val="32464EE8"/>
    <w:rsid w:val="326E4BBD"/>
    <w:rsid w:val="32814077"/>
    <w:rsid w:val="32982B4C"/>
    <w:rsid w:val="329D2099"/>
    <w:rsid w:val="32CB171C"/>
    <w:rsid w:val="32E04089"/>
    <w:rsid w:val="32E56F4C"/>
    <w:rsid w:val="32FA549C"/>
    <w:rsid w:val="3310712F"/>
    <w:rsid w:val="33356B95"/>
    <w:rsid w:val="335231F2"/>
    <w:rsid w:val="33741562"/>
    <w:rsid w:val="337674A7"/>
    <w:rsid w:val="338C7C6B"/>
    <w:rsid w:val="33997124"/>
    <w:rsid w:val="33EF4F96"/>
    <w:rsid w:val="33F702EF"/>
    <w:rsid w:val="341478A5"/>
    <w:rsid w:val="341613A3"/>
    <w:rsid w:val="34233001"/>
    <w:rsid w:val="34272982"/>
    <w:rsid w:val="347E0E7D"/>
    <w:rsid w:val="34882369"/>
    <w:rsid w:val="34A413CB"/>
    <w:rsid w:val="34AB657C"/>
    <w:rsid w:val="34C14BF9"/>
    <w:rsid w:val="34DF14AF"/>
    <w:rsid w:val="34E43DA3"/>
    <w:rsid w:val="34E82E48"/>
    <w:rsid w:val="34EB6554"/>
    <w:rsid w:val="34FC03B8"/>
    <w:rsid w:val="353C16BC"/>
    <w:rsid w:val="355F614C"/>
    <w:rsid w:val="357F2C4C"/>
    <w:rsid w:val="35A536DD"/>
    <w:rsid w:val="35A56959"/>
    <w:rsid w:val="35A87AF3"/>
    <w:rsid w:val="361E265F"/>
    <w:rsid w:val="362A675A"/>
    <w:rsid w:val="36944ACF"/>
    <w:rsid w:val="36B349A1"/>
    <w:rsid w:val="36BB0D7A"/>
    <w:rsid w:val="36BD4313"/>
    <w:rsid w:val="36DF7544"/>
    <w:rsid w:val="36F112F2"/>
    <w:rsid w:val="36F85394"/>
    <w:rsid w:val="374133E6"/>
    <w:rsid w:val="3744384B"/>
    <w:rsid w:val="37485EF7"/>
    <w:rsid w:val="374D0724"/>
    <w:rsid w:val="376B0DD8"/>
    <w:rsid w:val="376B23ED"/>
    <w:rsid w:val="37810F86"/>
    <w:rsid w:val="3782055B"/>
    <w:rsid w:val="378C5DAA"/>
    <w:rsid w:val="378C5E3A"/>
    <w:rsid w:val="37DD1AAE"/>
    <w:rsid w:val="37FB0978"/>
    <w:rsid w:val="38015BA2"/>
    <w:rsid w:val="385B709E"/>
    <w:rsid w:val="387463B2"/>
    <w:rsid w:val="387E0A26"/>
    <w:rsid w:val="38942141"/>
    <w:rsid w:val="38A63490"/>
    <w:rsid w:val="38AB3B6F"/>
    <w:rsid w:val="38C764E2"/>
    <w:rsid w:val="38DF05FE"/>
    <w:rsid w:val="39013028"/>
    <w:rsid w:val="39067B9E"/>
    <w:rsid w:val="392B6354"/>
    <w:rsid w:val="39430D5C"/>
    <w:rsid w:val="3949478F"/>
    <w:rsid w:val="394D53EB"/>
    <w:rsid w:val="396A27EF"/>
    <w:rsid w:val="396B0B87"/>
    <w:rsid w:val="396B4A2F"/>
    <w:rsid w:val="397F1D78"/>
    <w:rsid w:val="39822C77"/>
    <w:rsid w:val="398615C6"/>
    <w:rsid w:val="39B51EB6"/>
    <w:rsid w:val="39BE350B"/>
    <w:rsid w:val="3A2B5663"/>
    <w:rsid w:val="3A56181A"/>
    <w:rsid w:val="3A5C40D6"/>
    <w:rsid w:val="3A99047D"/>
    <w:rsid w:val="3ABB7A64"/>
    <w:rsid w:val="3AE33CB9"/>
    <w:rsid w:val="3B2A743D"/>
    <w:rsid w:val="3B47390A"/>
    <w:rsid w:val="3B7129BA"/>
    <w:rsid w:val="3B960803"/>
    <w:rsid w:val="3BC3601C"/>
    <w:rsid w:val="3BE9219D"/>
    <w:rsid w:val="3BEE73D5"/>
    <w:rsid w:val="3BFC2946"/>
    <w:rsid w:val="3C2F106D"/>
    <w:rsid w:val="3C4A342B"/>
    <w:rsid w:val="3C5C22C7"/>
    <w:rsid w:val="3C865DF7"/>
    <w:rsid w:val="3CAF408F"/>
    <w:rsid w:val="3CD15E64"/>
    <w:rsid w:val="3D106FBE"/>
    <w:rsid w:val="3D50705B"/>
    <w:rsid w:val="3D673DEF"/>
    <w:rsid w:val="3D78424E"/>
    <w:rsid w:val="3D7B3D3F"/>
    <w:rsid w:val="3D820C29"/>
    <w:rsid w:val="3DB432FB"/>
    <w:rsid w:val="3DDD59F6"/>
    <w:rsid w:val="3E0B06B6"/>
    <w:rsid w:val="3E7C38CA"/>
    <w:rsid w:val="3E8E35FE"/>
    <w:rsid w:val="3EAD43CC"/>
    <w:rsid w:val="3EC11D0E"/>
    <w:rsid w:val="3EE002FD"/>
    <w:rsid w:val="3F083F49"/>
    <w:rsid w:val="3F1F2DB0"/>
    <w:rsid w:val="3F272100"/>
    <w:rsid w:val="3F450160"/>
    <w:rsid w:val="3F75686A"/>
    <w:rsid w:val="3F982856"/>
    <w:rsid w:val="40600141"/>
    <w:rsid w:val="40792980"/>
    <w:rsid w:val="40C076A7"/>
    <w:rsid w:val="40CC08D4"/>
    <w:rsid w:val="412C362E"/>
    <w:rsid w:val="413C5689"/>
    <w:rsid w:val="414803DC"/>
    <w:rsid w:val="41913B83"/>
    <w:rsid w:val="4197211B"/>
    <w:rsid w:val="41BA1AB0"/>
    <w:rsid w:val="420959D0"/>
    <w:rsid w:val="421E1DE7"/>
    <w:rsid w:val="4255690C"/>
    <w:rsid w:val="4269398F"/>
    <w:rsid w:val="426B138A"/>
    <w:rsid w:val="428D0623"/>
    <w:rsid w:val="433C707E"/>
    <w:rsid w:val="43784FA8"/>
    <w:rsid w:val="4396610F"/>
    <w:rsid w:val="43F35720"/>
    <w:rsid w:val="44000AFA"/>
    <w:rsid w:val="44200A3B"/>
    <w:rsid w:val="445465A9"/>
    <w:rsid w:val="449C2656"/>
    <w:rsid w:val="44AD47DE"/>
    <w:rsid w:val="44DF2E05"/>
    <w:rsid w:val="44EC05B9"/>
    <w:rsid w:val="44F00723"/>
    <w:rsid w:val="454E3BF8"/>
    <w:rsid w:val="45593AC1"/>
    <w:rsid w:val="457C4E64"/>
    <w:rsid w:val="459065B6"/>
    <w:rsid w:val="459D4619"/>
    <w:rsid w:val="45D02433"/>
    <w:rsid w:val="45D71D2E"/>
    <w:rsid w:val="45E16709"/>
    <w:rsid w:val="45FA6E1F"/>
    <w:rsid w:val="46503FBA"/>
    <w:rsid w:val="465A2A97"/>
    <w:rsid w:val="46652DBA"/>
    <w:rsid w:val="4669643F"/>
    <w:rsid w:val="469814BD"/>
    <w:rsid w:val="469C638D"/>
    <w:rsid w:val="46FF778E"/>
    <w:rsid w:val="473D0F96"/>
    <w:rsid w:val="47415F8E"/>
    <w:rsid w:val="477E0A3F"/>
    <w:rsid w:val="478B587E"/>
    <w:rsid w:val="4795611E"/>
    <w:rsid w:val="47A77C21"/>
    <w:rsid w:val="47B308CA"/>
    <w:rsid w:val="47C02A7A"/>
    <w:rsid w:val="47F0667C"/>
    <w:rsid w:val="483671E0"/>
    <w:rsid w:val="48491AE0"/>
    <w:rsid w:val="48560E81"/>
    <w:rsid w:val="4875478D"/>
    <w:rsid w:val="487A3570"/>
    <w:rsid w:val="48A623B4"/>
    <w:rsid w:val="48B00D40"/>
    <w:rsid w:val="48B94A25"/>
    <w:rsid w:val="48D8650F"/>
    <w:rsid w:val="48ED1A4D"/>
    <w:rsid w:val="490F0309"/>
    <w:rsid w:val="4914106A"/>
    <w:rsid w:val="4919282A"/>
    <w:rsid w:val="49407363"/>
    <w:rsid w:val="494121B6"/>
    <w:rsid w:val="495B1B9C"/>
    <w:rsid w:val="497B5225"/>
    <w:rsid w:val="49A9029D"/>
    <w:rsid w:val="49DC55CC"/>
    <w:rsid w:val="4A28570B"/>
    <w:rsid w:val="4A4C3297"/>
    <w:rsid w:val="4A575B08"/>
    <w:rsid w:val="4A5E657A"/>
    <w:rsid w:val="4A8340F3"/>
    <w:rsid w:val="4A877B80"/>
    <w:rsid w:val="4AAC4894"/>
    <w:rsid w:val="4AB663B6"/>
    <w:rsid w:val="4AB76D1F"/>
    <w:rsid w:val="4AC47FC3"/>
    <w:rsid w:val="4ADD6814"/>
    <w:rsid w:val="4AF4454F"/>
    <w:rsid w:val="4AF67DF8"/>
    <w:rsid w:val="4B3A2B43"/>
    <w:rsid w:val="4B4553A2"/>
    <w:rsid w:val="4B636AF4"/>
    <w:rsid w:val="4B9A12BD"/>
    <w:rsid w:val="4BD016F9"/>
    <w:rsid w:val="4BD354BC"/>
    <w:rsid w:val="4BEB60E5"/>
    <w:rsid w:val="4C014B70"/>
    <w:rsid w:val="4C086235"/>
    <w:rsid w:val="4C264171"/>
    <w:rsid w:val="4C561BFF"/>
    <w:rsid w:val="4C5B6E36"/>
    <w:rsid w:val="4C636049"/>
    <w:rsid w:val="4C6E4F59"/>
    <w:rsid w:val="4C70391E"/>
    <w:rsid w:val="4C8229F4"/>
    <w:rsid w:val="4CE92345"/>
    <w:rsid w:val="4D1711B6"/>
    <w:rsid w:val="4D464DB0"/>
    <w:rsid w:val="4D6D5452"/>
    <w:rsid w:val="4D70710D"/>
    <w:rsid w:val="4D9F08E4"/>
    <w:rsid w:val="4DAF62DC"/>
    <w:rsid w:val="4DDE60AA"/>
    <w:rsid w:val="4E2A1D15"/>
    <w:rsid w:val="4E437F61"/>
    <w:rsid w:val="4E6C395B"/>
    <w:rsid w:val="4E791843"/>
    <w:rsid w:val="4E94519B"/>
    <w:rsid w:val="4EA529C9"/>
    <w:rsid w:val="4EA84A57"/>
    <w:rsid w:val="4ED4303F"/>
    <w:rsid w:val="4EF35A8F"/>
    <w:rsid w:val="4EFE39EB"/>
    <w:rsid w:val="4F005E52"/>
    <w:rsid w:val="4F3C1343"/>
    <w:rsid w:val="4F4B17C3"/>
    <w:rsid w:val="4F4D42B7"/>
    <w:rsid w:val="4F537EE5"/>
    <w:rsid w:val="4F636A41"/>
    <w:rsid w:val="4F6507F6"/>
    <w:rsid w:val="4F705BB8"/>
    <w:rsid w:val="4F7D56F4"/>
    <w:rsid w:val="4F950C90"/>
    <w:rsid w:val="4FA15887"/>
    <w:rsid w:val="500968FC"/>
    <w:rsid w:val="500C5657"/>
    <w:rsid w:val="50250266"/>
    <w:rsid w:val="50343E72"/>
    <w:rsid w:val="508B268C"/>
    <w:rsid w:val="50BD073F"/>
    <w:rsid w:val="50E90A82"/>
    <w:rsid w:val="50F934A0"/>
    <w:rsid w:val="50FC6799"/>
    <w:rsid w:val="51053BF3"/>
    <w:rsid w:val="5108792A"/>
    <w:rsid w:val="512A00B4"/>
    <w:rsid w:val="51463BEB"/>
    <w:rsid w:val="514A6B3D"/>
    <w:rsid w:val="51652A88"/>
    <w:rsid w:val="517A638F"/>
    <w:rsid w:val="517C4021"/>
    <w:rsid w:val="518C126E"/>
    <w:rsid w:val="51A62257"/>
    <w:rsid w:val="51AA2DFE"/>
    <w:rsid w:val="51AE7DE7"/>
    <w:rsid w:val="51B7313F"/>
    <w:rsid w:val="51BA6B87"/>
    <w:rsid w:val="51C94C21"/>
    <w:rsid w:val="51D325B7"/>
    <w:rsid w:val="51EA61C3"/>
    <w:rsid w:val="52031BC4"/>
    <w:rsid w:val="520602FF"/>
    <w:rsid w:val="520B4CA5"/>
    <w:rsid w:val="520F2A94"/>
    <w:rsid w:val="52370177"/>
    <w:rsid w:val="52387556"/>
    <w:rsid w:val="523F1387"/>
    <w:rsid w:val="52435E14"/>
    <w:rsid w:val="524B60B6"/>
    <w:rsid w:val="524D751A"/>
    <w:rsid w:val="525F79C8"/>
    <w:rsid w:val="526806C6"/>
    <w:rsid w:val="527575E0"/>
    <w:rsid w:val="52C804AE"/>
    <w:rsid w:val="534964FB"/>
    <w:rsid w:val="534A1D91"/>
    <w:rsid w:val="53691D68"/>
    <w:rsid w:val="537B0619"/>
    <w:rsid w:val="53807561"/>
    <w:rsid w:val="539F3E8B"/>
    <w:rsid w:val="53AE6A47"/>
    <w:rsid w:val="53EF7E72"/>
    <w:rsid w:val="540C6053"/>
    <w:rsid w:val="54597100"/>
    <w:rsid w:val="54667296"/>
    <w:rsid w:val="546E7D01"/>
    <w:rsid w:val="548E5CAE"/>
    <w:rsid w:val="54937572"/>
    <w:rsid w:val="54C36822"/>
    <w:rsid w:val="54D70E47"/>
    <w:rsid w:val="54D837BC"/>
    <w:rsid w:val="54D933CD"/>
    <w:rsid w:val="54EA3DEB"/>
    <w:rsid w:val="55261E66"/>
    <w:rsid w:val="552D3719"/>
    <w:rsid w:val="55393E6B"/>
    <w:rsid w:val="553F1336"/>
    <w:rsid w:val="555F6A99"/>
    <w:rsid w:val="55674E7D"/>
    <w:rsid w:val="556E0847"/>
    <w:rsid w:val="558D27E9"/>
    <w:rsid w:val="55A214A4"/>
    <w:rsid w:val="55A45300"/>
    <w:rsid w:val="55A90650"/>
    <w:rsid w:val="55C53951"/>
    <w:rsid w:val="55CE6CAA"/>
    <w:rsid w:val="55E22755"/>
    <w:rsid w:val="55EE27B8"/>
    <w:rsid w:val="5637484F"/>
    <w:rsid w:val="564229F4"/>
    <w:rsid w:val="567E093A"/>
    <w:rsid w:val="567F7FA4"/>
    <w:rsid w:val="568E0354"/>
    <w:rsid w:val="56936903"/>
    <w:rsid w:val="56A144C0"/>
    <w:rsid w:val="56A55174"/>
    <w:rsid w:val="56C1680E"/>
    <w:rsid w:val="56E64240"/>
    <w:rsid w:val="5712706A"/>
    <w:rsid w:val="57677165"/>
    <w:rsid w:val="57686665"/>
    <w:rsid w:val="5778226D"/>
    <w:rsid w:val="578850C5"/>
    <w:rsid w:val="57947A7F"/>
    <w:rsid w:val="57971835"/>
    <w:rsid w:val="57BB4461"/>
    <w:rsid w:val="582E72B5"/>
    <w:rsid w:val="58486C08"/>
    <w:rsid w:val="58495136"/>
    <w:rsid w:val="585B7F14"/>
    <w:rsid w:val="585E2110"/>
    <w:rsid w:val="586D0078"/>
    <w:rsid w:val="58773629"/>
    <w:rsid w:val="5877718F"/>
    <w:rsid w:val="58893F47"/>
    <w:rsid w:val="591A1D8F"/>
    <w:rsid w:val="5924744C"/>
    <w:rsid w:val="593B3F3D"/>
    <w:rsid w:val="594B0611"/>
    <w:rsid w:val="59561490"/>
    <w:rsid w:val="59707AE9"/>
    <w:rsid w:val="5986392D"/>
    <w:rsid w:val="59A018B8"/>
    <w:rsid w:val="59C168AB"/>
    <w:rsid w:val="59CE6E20"/>
    <w:rsid w:val="59E168F5"/>
    <w:rsid w:val="59F73835"/>
    <w:rsid w:val="5A5A352A"/>
    <w:rsid w:val="5A6776CD"/>
    <w:rsid w:val="5A984730"/>
    <w:rsid w:val="5ACE2C04"/>
    <w:rsid w:val="5AD36811"/>
    <w:rsid w:val="5B12038C"/>
    <w:rsid w:val="5B2002D3"/>
    <w:rsid w:val="5B546E09"/>
    <w:rsid w:val="5B891745"/>
    <w:rsid w:val="5B98782B"/>
    <w:rsid w:val="5BA04C44"/>
    <w:rsid w:val="5BA97DCC"/>
    <w:rsid w:val="5BBC0C0D"/>
    <w:rsid w:val="5BC16969"/>
    <w:rsid w:val="5BC87EE3"/>
    <w:rsid w:val="5BCB4004"/>
    <w:rsid w:val="5C1D0043"/>
    <w:rsid w:val="5C2E3896"/>
    <w:rsid w:val="5C46434F"/>
    <w:rsid w:val="5C4D6494"/>
    <w:rsid w:val="5C740819"/>
    <w:rsid w:val="5C7A6384"/>
    <w:rsid w:val="5C89230F"/>
    <w:rsid w:val="5CDA5EDA"/>
    <w:rsid w:val="5CE50BB5"/>
    <w:rsid w:val="5D495260"/>
    <w:rsid w:val="5D6A39E6"/>
    <w:rsid w:val="5D6F0F37"/>
    <w:rsid w:val="5D775E79"/>
    <w:rsid w:val="5DEC4043"/>
    <w:rsid w:val="5DF57DA8"/>
    <w:rsid w:val="5DF64FF0"/>
    <w:rsid w:val="5E014EC6"/>
    <w:rsid w:val="5E1F7924"/>
    <w:rsid w:val="5E360E05"/>
    <w:rsid w:val="5E3B42E9"/>
    <w:rsid w:val="5E4366BB"/>
    <w:rsid w:val="5E5E39F4"/>
    <w:rsid w:val="5E7920B1"/>
    <w:rsid w:val="5E7D695E"/>
    <w:rsid w:val="5E912F6A"/>
    <w:rsid w:val="5E9F4AD9"/>
    <w:rsid w:val="5EAB1104"/>
    <w:rsid w:val="5EE86DC8"/>
    <w:rsid w:val="5F047D0D"/>
    <w:rsid w:val="5F0F5BDB"/>
    <w:rsid w:val="5F4C6AC1"/>
    <w:rsid w:val="5F6378A0"/>
    <w:rsid w:val="5F6E211F"/>
    <w:rsid w:val="5FA242AA"/>
    <w:rsid w:val="5FBB67CE"/>
    <w:rsid w:val="5FBD4D22"/>
    <w:rsid w:val="5FBE2DB8"/>
    <w:rsid w:val="5FC01AAC"/>
    <w:rsid w:val="5FC27716"/>
    <w:rsid w:val="5FF15D38"/>
    <w:rsid w:val="5FF90DC7"/>
    <w:rsid w:val="600153AE"/>
    <w:rsid w:val="602167A9"/>
    <w:rsid w:val="60316A0C"/>
    <w:rsid w:val="60395FAE"/>
    <w:rsid w:val="60690354"/>
    <w:rsid w:val="60932FCA"/>
    <w:rsid w:val="60B3541A"/>
    <w:rsid w:val="60B5438B"/>
    <w:rsid w:val="60B87FF3"/>
    <w:rsid w:val="60E85B7C"/>
    <w:rsid w:val="61043E38"/>
    <w:rsid w:val="61056711"/>
    <w:rsid w:val="610F0176"/>
    <w:rsid w:val="61354D04"/>
    <w:rsid w:val="61372386"/>
    <w:rsid w:val="61602933"/>
    <w:rsid w:val="61EB07D9"/>
    <w:rsid w:val="621E2D67"/>
    <w:rsid w:val="62913539"/>
    <w:rsid w:val="62A36DC8"/>
    <w:rsid w:val="62DE1D19"/>
    <w:rsid w:val="62DE4F2C"/>
    <w:rsid w:val="6318039A"/>
    <w:rsid w:val="633D721D"/>
    <w:rsid w:val="6376156F"/>
    <w:rsid w:val="63D6481B"/>
    <w:rsid w:val="63DE0680"/>
    <w:rsid w:val="63E5460A"/>
    <w:rsid w:val="641469D1"/>
    <w:rsid w:val="642259B0"/>
    <w:rsid w:val="642B11B3"/>
    <w:rsid w:val="643A7299"/>
    <w:rsid w:val="648669A1"/>
    <w:rsid w:val="64A44A44"/>
    <w:rsid w:val="64D26C3E"/>
    <w:rsid w:val="64DD5792"/>
    <w:rsid w:val="650E2AD9"/>
    <w:rsid w:val="6560225D"/>
    <w:rsid w:val="65692E3C"/>
    <w:rsid w:val="65D15ED6"/>
    <w:rsid w:val="65D5313D"/>
    <w:rsid w:val="65E47E6A"/>
    <w:rsid w:val="6603529D"/>
    <w:rsid w:val="660917D8"/>
    <w:rsid w:val="66372649"/>
    <w:rsid w:val="666A0722"/>
    <w:rsid w:val="667B533E"/>
    <w:rsid w:val="66871FB1"/>
    <w:rsid w:val="669A5CBE"/>
    <w:rsid w:val="66A52A38"/>
    <w:rsid w:val="66D92B5F"/>
    <w:rsid w:val="66DE0093"/>
    <w:rsid w:val="66FD52D1"/>
    <w:rsid w:val="672C1A82"/>
    <w:rsid w:val="674455D1"/>
    <w:rsid w:val="674A64E0"/>
    <w:rsid w:val="674D4C73"/>
    <w:rsid w:val="677551D7"/>
    <w:rsid w:val="6795624D"/>
    <w:rsid w:val="6799697B"/>
    <w:rsid w:val="679B617A"/>
    <w:rsid w:val="67C43A69"/>
    <w:rsid w:val="67DD2D7C"/>
    <w:rsid w:val="67F87BB6"/>
    <w:rsid w:val="68025084"/>
    <w:rsid w:val="68187257"/>
    <w:rsid w:val="682224DA"/>
    <w:rsid w:val="68264723"/>
    <w:rsid w:val="68294213"/>
    <w:rsid w:val="68365553"/>
    <w:rsid w:val="686714E8"/>
    <w:rsid w:val="68696273"/>
    <w:rsid w:val="68B0093B"/>
    <w:rsid w:val="68DE3972"/>
    <w:rsid w:val="68EA471E"/>
    <w:rsid w:val="692C634B"/>
    <w:rsid w:val="692E47BD"/>
    <w:rsid w:val="696217F4"/>
    <w:rsid w:val="698903D2"/>
    <w:rsid w:val="698C028A"/>
    <w:rsid w:val="69CC12FA"/>
    <w:rsid w:val="69EA4F74"/>
    <w:rsid w:val="69ED63B6"/>
    <w:rsid w:val="69F543AD"/>
    <w:rsid w:val="6A3A3B0B"/>
    <w:rsid w:val="6A4E2237"/>
    <w:rsid w:val="6A627AE8"/>
    <w:rsid w:val="6A763E75"/>
    <w:rsid w:val="6A9040D6"/>
    <w:rsid w:val="6AA17276"/>
    <w:rsid w:val="6ABE6E95"/>
    <w:rsid w:val="6AE80D39"/>
    <w:rsid w:val="6AF056D5"/>
    <w:rsid w:val="6B80414A"/>
    <w:rsid w:val="6B8D788F"/>
    <w:rsid w:val="6B9F06EA"/>
    <w:rsid w:val="6BE7209E"/>
    <w:rsid w:val="6C006B53"/>
    <w:rsid w:val="6C3F2A09"/>
    <w:rsid w:val="6C947E73"/>
    <w:rsid w:val="6CAA233D"/>
    <w:rsid w:val="6CB8022D"/>
    <w:rsid w:val="6CC72677"/>
    <w:rsid w:val="6CE35E77"/>
    <w:rsid w:val="6CF3094C"/>
    <w:rsid w:val="6D125276"/>
    <w:rsid w:val="6D2A0812"/>
    <w:rsid w:val="6D3D75D5"/>
    <w:rsid w:val="6D3E250F"/>
    <w:rsid w:val="6D470800"/>
    <w:rsid w:val="6D4E0FF6"/>
    <w:rsid w:val="6D6331BA"/>
    <w:rsid w:val="6D644723"/>
    <w:rsid w:val="6D84335E"/>
    <w:rsid w:val="6DA921CE"/>
    <w:rsid w:val="6DC9002B"/>
    <w:rsid w:val="6DF90E44"/>
    <w:rsid w:val="6E1F50EF"/>
    <w:rsid w:val="6E22419A"/>
    <w:rsid w:val="6E396833"/>
    <w:rsid w:val="6E4C1B61"/>
    <w:rsid w:val="6E5371F5"/>
    <w:rsid w:val="6E895431"/>
    <w:rsid w:val="6E8C7177"/>
    <w:rsid w:val="6E9A5DA3"/>
    <w:rsid w:val="6EA92216"/>
    <w:rsid w:val="6EAA7E8C"/>
    <w:rsid w:val="6EB0579D"/>
    <w:rsid w:val="6EBB183C"/>
    <w:rsid w:val="6EC72090"/>
    <w:rsid w:val="6ECA451E"/>
    <w:rsid w:val="6EE60768"/>
    <w:rsid w:val="6EF9571E"/>
    <w:rsid w:val="6F101B9F"/>
    <w:rsid w:val="6F2A0BC0"/>
    <w:rsid w:val="6F422C34"/>
    <w:rsid w:val="6F480064"/>
    <w:rsid w:val="6F541B76"/>
    <w:rsid w:val="6F60345C"/>
    <w:rsid w:val="6F6C3363"/>
    <w:rsid w:val="6F7B2B58"/>
    <w:rsid w:val="6FB537A9"/>
    <w:rsid w:val="6FC07DCB"/>
    <w:rsid w:val="6FE36158"/>
    <w:rsid w:val="6FE60534"/>
    <w:rsid w:val="70471859"/>
    <w:rsid w:val="705A5026"/>
    <w:rsid w:val="705C33D8"/>
    <w:rsid w:val="705E1653"/>
    <w:rsid w:val="70763D6E"/>
    <w:rsid w:val="708446DD"/>
    <w:rsid w:val="708460A5"/>
    <w:rsid w:val="70A1122F"/>
    <w:rsid w:val="70A961D4"/>
    <w:rsid w:val="70AA0623"/>
    <w:rsid w:val="70AE3508"/>
    <w:rsid w:val="70D311C0"/>
    <w:rsid w:val="70D50211"/>
    <w:rsid w:val="70D50A94"/>
    <w:rsid w:val="70EE1C2A"/>
    <w:rsid w:val="711F264A"/>
    <w:rsid w:val="713B51DF"/>
    <w:rsid w:val="71872204"/>
    <w:rsid w:val="719426FE"/>
    <w:rsid w:val="71A41A83"/>
    <w:rsid w:val="71AA3CCF"/>
    <w:rsid w:val="71B27028"/>
    <w:rsid w:val="71CB1E97"/>
    <w:rsid w:val="71DE3940"/>
    <w:rsid w:val="71E847F7"/>
    <w:rsid w:val="72141795"/>
    <w:rsid w:val="725F20ED"/>
    <w:rsid w:val="731B0061"/>
    <w:rsid w:val="73296A86"/>
    <w:rsid w:val="734038C7"/>
    <w:rsid w:val="73A64AC5"/>
    <w:rsid w:val="73B47F68"/>
    <w:rsid w:val="73C0671E"/>
    <w:rsid w:val="73D829C4"/>
    <w:rsid w:val="73EC02FC"/>
    <w:rsid w:val="73FB2F08"/>
    <w:rsid w:val="740F42BD"/>
    <w:rsid w:val="741E5C8F"/>
    <w:rsid w:val="745545A7"/>
    <w:rsid w:val="749F4FD7"/>
    <w:rsid w:val="74AF26B4"/>
    <w:rsid w:val="74BA337A"/>
    <w:rsid w:val="74D76D5B"/>
    <w:rsid w:val="750D2EF3"/>
    <w:rsid w:val="75803113"/>
    <w:rsid w:val="7590039E"/>
    <w:rsid w:val="75A86778"/>
    <w:rsid w:val="75CB41D6"/>
    <w:rsid w:val="75E06C10"/>
    <w:rsid w:val="75E261F3"/>
    <w:rsid w:val="75F647A0"/>
    <w:rsid w:val="7606203C"/>
    <w:rsid w:val="760F2C9B"/>
    <w:rsid w:val="76154AFB"/>
    <w:rsid w:val="76156BC6"/>
    <w:rsid w:val="76754526"/>
    <w:rsid w:val="76811CEA"/>
    <w:rsid w:val="76870A5C"/>
    <w:rsid w:val="7691391B"/>
    <w:rsid w:val="769D5AAB"/>
    <w:rsid w:val="76A52DF0"/>
    <w:rsid w:val="76C179F7"/>
    <w:rsid w:val="770D61B8"/>
    <w:rsid w:val="77277361"/>
    <w:rsid w:val="77297FB4"/>
    <w:rsid w:val="77406AD3"/>
    <w:rsid w:val="774249AA"/>
    <w:rsid w:val="777D1E86"/>
    <w:rsid w:val="779F0AF3"/>
    <w:rsid w:val="77A779E2"/>
    <w:rsid w:val="77C7038B"/>
    <w:rsid w:val="77DA4BE2"/>
    <w:rsid w:val="77EC43D7"/>
    <w:rsid w:val="781637FE"/>
    <w:rsid w:val="7828155F"/>
    <w:rsid w:val="784A02E9"/>
    <w:rsid w:val="784F6291"/>
    <w:rsid w:val="786542D7"/>
    <w:rsid w:val="78677C48"/>
    <w:rsid w:val="78770683"/>
    <w:rsid w:val="788D434B"/>
    <w:rsid w:val="789E013A"/>
    <w:rsid w:val="78C2177C"/>
    <w:rsid w:val="78E5725F"/>
    <w:rsid w:val="78F03345"/>
    <w:rsid w:val="78FA0683"/>
    <w:rsid w:val="790031C8"/>
    <w:rsid w:val="791D56CF"/>
    <w:rsid w:val="791E3D2A"/>
    <w:rsid w:val="796C38D4"/>
    <w:rsid w:val="79CB6ED9"/>
    <w:rsid w:val="79D86597"/>
    <w:rsid w:val="79ED7DD0"/>
    <w:rsid w:val="7A224071"/>
    <w:rsid w:val="7A25592A"/>
    <w:rsid w:val="7A467571"/>
    <w:rsid w:val="7A5C3FD5"/>
    <w:rsid w:val="7A7D35B8"/>
    <w:rsid w:val="7A9E76DA"/>
    <w:rsid w:val="7AA94A8B"/>
    <w:rsid w:val="7ABE2599"/>
    <w:rsid w:val="7AD96D46"/>
    <w:rsid w:val="7AE4796F"/>
    <w:rsid w:val="7B157E22"/>
    <w:rsid w:val="7BA25C41"/>
    <w:rsid w:val="7BAE755A"/>
    <w:rsid w:val="7C1132AA"/>
    <w:rsid w:val="7C134E6A"/>
    <w:rsid w:val="7C3675DF"/>
    <w:rsid w:val="7C541407"/>
    <w:rsid w:val="7CA53A11"/>
    <w:rsid w:val="7CC8456C"/>
    <w:rsid w:val="7CEF4184"/>
    <w:rsid w:val="7CF01B12"/>
    <w:rsid w:val="7D197F5B"/>
    <w:rsid w:val="7D2A586F"/>
    <w:rsid w:val="7D361442"/>
    <w:rsid w:val="7D42292F"/>
    <w:rsid w:val="7D4E2876"/>
    <w:rsid w:val="7D584F27"/>
    <w:rsid w:val="7D592FEA"/>
    <w:rsid w:val="7D5D078F"/>
    <w:rsid w:val="7D616728"/>
    <w:rsid w:val="7D6970A4"/>
    <w:rsid w:val="7D771F62"/>
    <w:rsid w:val="7E0F76C2"/>
    <w:rsid w:val="7E123328"/>
    <w:rsid w:val="7E1C0C3C"/>
    <w:rsid w:val="7E3A6BC7"/>
    <w:rsid w:val="7E500013"/>
    <w:rsid w:val="7E543940"/>
    <w:rsid w:val="7EC26936"/>
    <w:rsid w:val="7EC64275"/>
    <w:rsid w:val="7EDD6BD0"/>
    <w:rsid w:val="7EF52F26"/>
    <w:rsid w:val="7F0215EE"/>
    <w:rsid w:val="7F2E23E3"/>
    <w:rsid w:val="7F7D51AD"/>
    <w:rsid w:val="7F7F6FBA"/>
    <w:rsid w:val="7FA7600E"/>
    <w:rsid w:val="C555FEC2"/>
    <w:rsid w:val="EF7F0533"/>
    <w:rsid w:val="F5BC90D6"/>
    <w:rsid w:val="F7FB938A"/>
    <w:rsid w:val="FFFF0F7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3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1624"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5"/>
    <w:qFormat/>
    <w:uiPriority w:val="0"/>
    <w:pPr>
      <w:keepNext/>
      <w:keepLines/>
      <w:spacing w:before="50" w:beforeLines="50" w:after="50" w:afterLines="50" w:line="360" w:lineRule="auto"/>
      <w:jc w:val="center"/>
      <w:outlineLvl w:val="0"/>
    </w:pPr>
    <w:rPr>
      <w:rFonts w:ascii="黑体" w:hAnsi="黑体" w:eastAsia="黑体" w:cs="Arial Narrow"/>
      <w:b/>
      <w:bCs/>
      <w:kern w:val="44"/>
      <w:sz w:val="24"/>
      <w:szCs w:val="32"/>
    </w:rPr>
  </w:style>
  <w:style w:type="paragraph" w:styleId="5">
    <w:name w:val="heading 2"/>
    <w:basedOn w:val="1"/>
    <w:next w:val="1"/>
    <w:link w:val="104"/>
    <w:unhideWhenUsed/>
    <w:qFormat/>
    <w:uiPriority w:val="0"/>
    <w:pPr>
      <w:spacing w:line="360" w:lineRule="auto"/>
      <w:jc w:val="left"/>
      <w:outlineLvl w:val="1"/>
    </w:pPr>
    <w:rPr>
      <w:rFonts w:hint="eastAsia" w:ascii="宋体" w:hAnsi="宋体" w:cs="Times New Roman"/>
      <w:b/>
      <w:bCs/>
      <w:kern w:val="0"/>
      <w:sz w:val="28"/>
      <w:szCs w:val="36"/>
    </w:rPr>
  </w:style>
  <w:style w:type="paragraph" w:styleId="6">
    <w:name w:val="heading 3"/>
    <w:basedOn w:val="1"/>
    <w:next w:val="1"/>
    <w:unhideWhenUsed/>
    <w:qFormat/>
    <w:uiPriority w:val="0"/>
    <w:pPr>
      <w:jc w:val="left"/>
      <w:outlineLvl w:val="2"/>
    </w:pPr>
    <w:rPr>
      <w:rFonts w:hint="eastAsia" w:ascii="宋体" w:hAnsi="宋体" w:eastAsia="宋体" w:cs="Times New Roman"/>
      <w:b/>
      <w:bCs/>
      <w:kern w:val="0"/>
      <w:sz w:val="27"/>
      <w:szCs w:val="27"/>
    </w:rPr>
  </w:style>
  <w:style w:type="character" w:default="1" w:styleId="19">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 Text First Indent 21"/>
    <w:basedOn w:val="3"/>
    <w:qFormat/>
    <w:uiPriority w:val="99"/>
    <w:pPr>
      <w:ind w:left="0" w:firstLine="420"/>
    </w:pPr>
    <w:rPr>
      <w:rFonts w:ascii="仿宋_GB2312" w:eastAsia="仿宋_GB2312" w:cs="仿宋_GB2312"/>
      <w:sz w:val="32"/>
      <w:szCs w:val="32"/>
    </w:rPr>
  </w:style>
  <w:style w:type="paragraph" w:customStyle="1" w:styleId="3">
    <w:name w:val="Body Text Indent1"/>
    <w:basedOn w:val="1"/>
    <w:qFormat/>
    <w:uiPriority w:val="99"/>
    <w:pPr>
      <w:ind w:left="420" w:leftChars="200"/>
    </w:pPr>
  </w:style>
  <w:style w:type="paragraph" w:styleId="7">
    <w:name w:val="annotation subject"/>
    <w:basedOn w:val="8"/>
    <w:next w:val="8"/>
    <w:link w:val="89"/>
    <w:qFormat/>
    <w:uiPriority w:val="0"/>
    <w:pPr>
      <w:spacing w:line="240" w:lineRule="auto"/>
      <w:ind w:firstLine="0" w:firstLineChars="0"/>
    </w:pPr>
    <w:rPr>
      <w:rFonts w:asciiTheme="minorHAnsi" w:hAnsiTheme="minorHAnsi" w:eastAsiaTheme="minorEastAsia" w:cstheme="minorBidi"/>
      <w:b/>
      <w:bCs/>
      <w:kern w:val="2"/>
      <w:sz w:val="21"/>
      <w:szCs w:val="24"/>
    </w:rPr>
  </w:style>
  <w:style w:type="paragraph" w:styleId="8">
    <w:name w:val="annotation text"/>
    <w:basedOn w:val="1"/>
    <w:link w:val="88"/>
    <w:unhideWhenUsed/>
    <w:qFormat/>
    <w:uiPriority w:val="0"/>
    <w:pPr>
      <w:spacing w:line="240" w:lineRule="atLeast"/>
      <w:ind w:firstLine="200" w:firstLineChars="200"/>
      <w:jc w:val="left"/>
    </w:pPr>
    <w:rPr>
      <w:rFonts w:ascii="Times New Roman" w:hAnsi="Times New Roman" w:eastAsia="宋体" w:cs="Times New Roman"/>
      <w:kern w:val="0"/>
      <w:sz w:val="20"/>
      <w:szCs w:val="20"/>
    </w:rPr>
  </w:style>
  <w:style w:type="paragraph" w:styleId="9">
    <w:name w:val="caption"/>
    <w:basedOn w:val="1"/>
    <w:next w:val="1"/>
    <w:qFormat/>
    <w:uiPriority w:val="0"/>
    <w:rPr>
      <w:rFonts w:ascii="Times New Roman" w:hAnsi="Times New Roman" w:eastAsia="黑体" w:cs="Arial Narrow"/>
    </w:rPr>
  </w:style>
  <w:style w:type="paragraph" w:styleId="10">
    <w:name w:val="Body Text"/>
    <w:basedOn w:val="1"/>
    <w:link w:val="106"/>
    <w:qFormat/>
    <w:uiPriority w:val="99"/>
    <w:rPr>
      <w:sz w:val="18"/>
    </w:rPr>
  </w:style>
  <w:style w:type="paragraph" w:styleId="11">
    <w:name w:val="Body Text Indent"/>
    <w:qFormat/>
    <w:uiPriority w:val="1624"/>
    <w:pPr>
      <w:widowControl w:val="0"/>
      <w:ind w:firstLine="630"/>
      <w:jc w:val="both"/>
    </w:pPr>
    <w:rPr>
      <w:rFonts w:ascii="Times New Roman" w:hAnsi="Times New Roman" w:eastAsia="黑体" w:cs="Times New Roman"/>
      <w:kern w:val="2"/>
      <w:sz w:val="32"/>
      <w:szCs w:val="24"/>
      <w:lang w:val="en-US" w:eastAsia="zh-CN" w:bidi="ar-SA"/>
    </w:rPr>
  </w:style>
  <w:style w:type="paragraph" w:styleId="12">
    <w:name w:val="endnote text"/>
    <w:basedOn w:val="1"/>
    <w:qFormat/>
    <w:uiPriority w:val="99"/>
    <w:pPr>
      <w:snapToGrid w:val="0"/>
      <w:jc w:val="left"/>
    </w:pPr>
    <w:rPr>
      <w:rFonts w:ascii="Calibri" w:hAnsi="Calibri"/>
      <w:szCs w:val="20"/>
    </w:rPr>
  </w:style>
  <w:style w:type="paragraph" w:styleId="13">
    <w:name w:val="Balloon Text"/>
    <w:basedOn w:val="1"/>
    <w:link w:val="103"/>
    <w:unhideWhenUsed/>
    <w:qFormat/>
    <w:uiPriority w:val="0"/>
    <w:rPr>
      <w:sz w:val="18"/>
      <w:szCs w:val="18"/>
    </w:rPr>
  </w:style>
  <w:style w:type="paragraph" w:styleId="14">
    <w:name w:val="footer"/>
    <w:basedOn w:val="1"/>
    <w:link w:val="86"/>
    <w:qFormat/>
    <w:uiPriority w:val="99"/>
    <w:pPr>
      <w:tabs>
        <w:tab w:val="center" w:pos="4153"/>
        <w:tab w:val="right" w:pos="8306"/>
      </w:tabs>
      <w:snapToGrid w:val="0"/>
      <w:jc w:val="left"/>
    </w:pPr>
    <w:rPr>
      <w:sz w:val="18"/>
      <w:szCs w:val="18"/>
    </w:rPr>
  </w:style>
  <w:style w:type="paragraph" w:styleId="15">
    <w:name w:val="Body Text First Indent 2"/>
    <w:qFormat/>
    <w:uiPriority w:val="0"/>
    <w:pPr>
      <w:widowControl w:val="0"/>
      <w:spacing w:after="120"/>
      <w:ind w:left="420" w:leftChars="200" w:firstLine="420" w:firstLineChars="200"/>
      <w:jc w:val="both"/>
    </w:pPr>
    <w:rPr>
      <w:rFonts w:ascii="Times New Roman" w:hAnsi="Times New Roman" w:eastAsia="宋体" w:cs="Times New Roman"/>
      <w:kern w:val="2"/>
      <w:sz w:val="21"/>
      <w:szCs w:val="24"/>
      <w:lang w:val="en-US" w:eastAsia="zh-CN" w:bidi="ar-SA"/>
    </w:rPr>
  </w:style>
  <w:style w:type="paragraph" w:styleId="16">
    <w:name w:val="header"/>
    <w:basedOn w:val="1"/>
    <w:link w:val="85"/>
    <w:qFormat/>
    <w:uiPriority w:val="0"/>
    <w:pPr>
      <w:pBdr>
        <w:bottom w:val="single" w:color="auto" w:sz="6" w:space="1"/>
      </w:pBdr>
      <w:tabs>
        <w:tab w:val="center" w:pos="4153"/>
        <w:tab w:val="right" w:pos="8306"/>
      </w:tabs>
      <w:snapToGrid w:val="0"/>
      <w:jc w:val="center"/>
    </w:pPr>
    <w:rPr>
      <w:sz w:val="18"/>
      <w:szCs w:val="18"/>
    </w:rPr>
  </w:style>
  <w:style w:type="paragraph" w:styleId="17">
    <w:name w:val="footnote text"/>
    <w:basedOn w:val="1"/>
    <w:link w:val="90"/>
    <w:qFormat/>
    <w:uiPriority w:val="0"/>
    <w:pPr>
      <w:snapToGrid w:val="0"/>
      <w:jc w:val="left"/>
    </w:pPr>
    <w:rPr>
      <w:sz w:val="18"/>
    </w:rPr>
  </w:style>
  <w:style w:type="paragraph" w:styleId="18">
    <w:name w:val="Normal (Web)"/>
    <w:basedOn w:val="1"/>
    <w:qFormat/>
    <w:uiPriority w:val="0"/>
    <w:pPr>
      <w:spacing w:beforeAutospacing="1" w:afterAutospacing="1"/>
      <w:jc w:val="left"/>
    </w:pPr>
    <w:rPr>
      <w:rFonts w:cs="Times New Roman"/>
      <w:kern w:val="0"/>
      <w:sz w:val="24"/>
    </w:rPr>
  </w:style>
  <w:style w:type="character" w:styleId="20">
    <w:name w:val="Strong"/>
    <w:basedOn w:val="19"/>
    <w:qFormat/>
    <w:uiPriority w:val="0"/>
    <w:rPr>
      <w:b/>
    </w:rPr>
  </w:style>
  <w:style w:type="character" w:styleId="21">
    <w:name w:val="page number"/>
    <w:basedOn w:val="19"/>
    <w:qFormat/>
    <w:uiPriority w:val="0"/>
  </w:style>
  <w:style w:type="character" w:styleId="22">
    <w:name w:val="FollowedHyperlink"/>
    <w:basedOn w:val="19"/>
    <w:qFormat/>
    <w:uiPriority w:val="0"/>
    <w:rPr>
      <w:color w:val="800080"/>
      <w:u w:val="none"/>
    </w:rPr>
  </w:style>
  <w:style w:type="character" w:styleId="23">
    <w:name w:val="Emphasis"/>
    <w:basedOn w:val="19"/>
    <w:qFormat/>
    <w:uiPriority w:val="0"/>
  </w:style>
  <w:style w:type="character" w:styleId="24">
    <w:name w:val="HTML Definition"/>
    <w:basedOn w:val="19"/>
    <w:qFormat/>
    <w:uiPriority w:val="0"/>
  </w:style>
  <w:style w:type="character" w:styleId="25">
    <w:name w:val="HTML Variable"/>
    <w:basedOn w:val="19"/>
    <w:qFormat/>
    <w:uiPriority w:val="0"/>
  </w:style>
  <w:style w:type="character" w:styleId="26">
    <w:name w:val="Hyperlink"/>
    <w:basedOn w:val="19"/>
    <w:unhideWhenUsed/>
    <w:qFormat/>
    <w:uiPriority w:val="0"/>
    <w:rPr>
      <w:color w:val="000000"/>
      <w:u w:val="none"/>
    </w:rPr>
  </w:style>
  <w:style w:type="character" w:styleId="27">
    <w:name w:val="HTML Code"/>
    <w:basedOn w:val="19"/>
    <w:qFormat/>
    <w:uiPriority w:val="0"/>
    <w:rPr>
      <w:rFonts w:hint="default" w:ascii="monospace" w:hAnsi="monospace" w:eastAsia="monospace" w:cs="monospace"/>
      <w:sz w:val="21"/>
      <w:szCs w:val="21"/>
    </w:rPr>
  </w:style>
  <w:style w:type="character" w:styleId="28">
    <w:name w:val="annotation reference"/>
    <w:basedOn w:val="19"/>
    <w:qFormat/>
    <w:uiPriority w:val="0"/>
    <w:rPr>
      <w:sz w:val="21"/>
      <w:szCs w:val="21"/>
    </w:rPr>
  </w:style>
  <w:style w:type="character" w:styleId="29">
    <w:name w:val="HTML Cite"/>
    <w:basedOn w:val="19"/>
    <w:qFormat/>
    <w:uiPriority w:val="0"/>
    <w:rPr>
      <w:color w:val="008000"/>
      <w:sz w:val="14"/>
      <w:szCs w:val="14"/>
    </w:rPr>
  </w:style>
  <w:style w:type="character" w:styleId="30">
    <w:name w:val="footnote reference"/>
    <w:basedOn w:val="19"/>
    <w:qFormat/>
    <w:uiPriority w:val="0"/>
    <w:rPr>
      <w:rFonts w:ascii="Calibri" w:hAnsi="Calibri" w:eastAsia="宋体"/>
      <w:vertAlign w:val="superscript"/>
    </w:rPr>
  </w:style>
  <w:style w:type="character" w:styleId="31">
    <w:name w:val="HTML Keyboard"/>
    <w:basedOn w:val="19"/>
    <w:qFormat/>
    <w:uiPriority w:val="0"/>
    <w:rPr>
      <w:rFonts w:ascii="monospace" w:hAnsi="monospace" w:eastAsia="monospace" w:cs="monospace"/>
      <w:sz w:val="21"/>
      <w:szCs w:val="21"/>
    </w:rPr>
  </w:style>
  <w:style w:type="character" w:styleId="32">
    <w:name w:val="HTML Sample"/>
    <w:basedOn w:val="19"/>
    <w:qFormat/>
    <w:uiPriority w:val="0"/>
    <w:rPr>
      <w:rFonts w:hint="default" w:ascii="monospace" w:hAnsi="monospace" w:eastAsia="monospace" w:cs="monospace"/>
      <w:sz w:val="21"/>
      <w:szCs w:val="21"/>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5">
    <w:name w:val="标题 1 字符"/>
    <w:basedOn w:val="19"/>
    <w:link w:val="4"/>
    <w:qFormat/>
    <w:uiPriority w:val="0"/>
    <w:rPr>
      <w:rFonts w:ascii="黑体" w:hAnsi="黑体" w:eastAsia="黑体" w:cs="Arial Narrow"/>
      <w:b/>
      <w:bCs/>
      <w:kern w:val="44"/>
      <w:sz w:val="24"/>
      <w:szCs w:val="32"/>
    </w:rPr>
  </w:style>
  <w:style w:type="character" w:customStyle="1" w:styleId="36">
    <w:name w:val="closeeye"/>
    <w:basedOn w:val="19"/>
    <w:qFormat/>
    <w:uiPriority w:val="0"/>
  </w:style>
  <w:style w:type="character" w:customStyle="1" w:styleId="37">
    <w:name w:val="openeye"/>
    <w:basedOn w:val="19"/>
    <w:qFormat/>
    <w:uiPriority w:val="0"/>
  </w:style>
  <w:style w:type="character" w:customStyle="1" w:styleId="38">
    <w:name w:val="remaintime"/>
    <w:basedOn w:val="19"/>
    <w:qFormat/>
    <w:uiPriority w:val="0"/>
    <w:rPr>
      <w:color w:val="000000"/>
      <w:shd w:val="clear" w:color="auto" w:fill="CACACA"/>
    </w:rPr>
  </w:style>
  <w:style w:type="character" w:customStyle="1" w:styleId="39">
    <w:name w:val="seepass"/>
    <w:basedOn w:val="19"/>
    <w:qFormat/>
    <w:uiPriority w:val="0"/>
  </w:style>
  <w:style w:type="character" w:customStyle="1" w:styleId="40">
    <w:name w:val="on"/>
    <w:basedOn w:val="19"/>
    <w:qFormat/>
    <w:uiPriority w:val="0"/>
    <w:rPr>
      <w:color w:val="FFFFFF"/>
      <w:bdr w:val="single" w:color="C9100E" w:sz="4" w:space="0"/>
      <w:shd w:val="clear" w:color="auto" w:fill="C9100E"/>
    </w:rPr>
  </w:style>
  <w:style w:type="character" w:customStyle="1" w:styleId="41">
    <w:name w:val="eyespan"/>
    <w:basedOn w:val="19"/>
    <w:qFormat/>
    <w:uiPriority w:val="0"/>
  </w:style>
  <w:style w:type="character" w:customStyle="1" w:styleId="42">
    <w:name w:val="hidepass"/>
    <w:basedOn w:val="19"/>
    <w:qFormat/>
    <w:uiPriority w:val="0"/>
  </w:style>
  <w:style w:type="character" w:customStyle="1" w:styleId="43">
    <w:name w:val="hover18"/>
    <w:basedOn w:val="19"/>
    <w:qFormat/>
    <w:uiPriority w:val="0"/>
    <w:rPr>
      <w:color w:val="FFFFFF"/>
      <w:shd w:val="clear" w:color="auto" w:fill="237EC7"/>
    </w:rPr>
  </w:style>
  <w:style w:type="character" w:customStyle="1" w:styleId="44">
    <w:name w:val="hover19"/>
    <w:basedOn w:val="19"/>
    <w:qFormat/>
    <w:uiPriority w:val="0"/>
    <w:rPr>
      <w:color w:val="FFFFFF"/>
      <w:bdr w:val="single" w:color="C9100E" w:sz="4" w:space="0"/>
      <w:shd w:val="clear" w:color="auto" w:fill="C9100E"/>
    </w:rPr>
  </w:style>
  <w:style w:type="character" w:customStyle="1" w:styleId="45">
    <w:name w:val="first-child"/>
    <w:basedOn w:val="19"/>
    <w:qFormat/>
    <w:uiPriority w:val="0"/>
  </w:style>
  <w:style w:type="character" w:customStyle="1" w:styleId="46">
    <w:name w:val="hover47"/>
    <w:basedOn w:val="19"/>
    <w:qFormat/>
    <w:uiPriority w:val="0"/>
    <w:rPr>
      <w:shd w:val="clear" w:color="auto" w:fill="1D50A2"/>
    </w:rPr>
  </w:style>
  <w:style w:type="character" w:customStyle="1" w:styleId="47">
    <w:name w:val="hover48"/>
    <w:basedOn w:val="19"/>
    <w:qFormat/>
    <w:uiPriority w:val="0"/>
    <w:rPr>
      <w:color w:val="1D50A2"/>
    </w:rPr>
  </w:style>
  <w:style w:type="character" w:customStyle="1" w:styleId="48">
    <w:name w:val="mip-carousel-current-indicator"/>
    <w:basedOn w:val="19"/>
    <w:qFormat/>
    <w:uiPriority w:val="0"/>
    <w:rPr>
      <w:shd w:val="clear" w:color="auto" w:fill="FF0000"/>
    </w:rPr>
  </w:style>
  <w:style w:type="character" w:customStyle="1" w:styleId="49">
    <w:name w:val="hover24"/>
    <w:basedOn w:val="19"/>
    <w:qFormat/>
    <w:uiPriority w:val="0"/>
    <w:rPr>
      <w:color w:val="315EFB"/>
    </w:rPr>
  </w:style>
  <w:style w:type="character" w:customStyle="1" w:styleId="50">
    <w:name w:val="hover25"/>
    <w:basedOn w:val="19"/>
    <w:qFormat/>
    <w:uiPriority w:val="0"/>
  </w:style>
  <w:style w:type="character" w:customStyle="1" w:styleId="51">
    <w:name w:val="c-icon28"/>
    <w:basedOn w:val="19"/>
    <w:qFormat/>
    <w:uiPriority w:val="0"/>
  </w:style>
  <w:style w:type="character" w:customStyle="1" w:styleId="52">
    <w:name w:val="pchide"/>
    <w:basedOn w:val="19"/>
    <w:qFormat/>
    <w:uiPriority w:val="0"/>
    <w:rPr>
      <w:color w:val="999999"/>
    </w:rPr>
  </w:style>
  <w:style w:type="character" w:customStyle="1" w:styleId="53">
    <w:name w:val="cur"/>
    <w:basedOn w:val="19"/>
    <w:qFormat/>
    <w:uiPriority w:val="0"/>
    <w:rPr>
      <w:color w:val="C40001"/>
    </w:rPr>
  </w:style>
  <w:style w:type="character" w:customStyle="1" w:styleId="54">
    <w:name w:val="cur1"/>
    <w:basedOn w:val="19"/>
    <w:qFormat/>
    <w:uiPriority w:val="0"/>
    <w:rPr>
      <w:color w:val="C40001"/>
    </w:rPr>
  </w:style>
  <w:style w:type="character" w:customStyle="1" w:styleId="55">
    <w:name w:val="zhankai"/>
    <w:basedOn w:val="19"/>
    <w:qFormat/>
    <w:uiPriority w:val="0"/>
  </w:style>
  <w:style w:type="character" w:customStyle="1" w:styleId="56">
    <w:name w:val="p90"/>
    <w:basedOn w:val="19"/>
    <w:qFormat/>
    <w:uiPriority w:val="0"/>
  </w:style>
  <w:style w:type="character" w:customStyle="1" w:styleId="57">
    <w:name w:val="last-child"/>
    <w:basedOn w:val="19"/>
    <w:qFormat/>
    <w:uiPriority w:val="0"/>
  </w:style>
  <w:style w:type="character" w:customStyle="1" w:styleId="58">
    <w:name w:val="last-child1"/>
    <w:basedOn w:val="19"/>
    <w:qFormat/>
    <w:uiPriority w:val="0"/>
  </w:style>
  <w:style w:type="character" w:customStyle="1" w:styleId="59">
    <w:name w:val="hover10"/>
    <w:basedOn w:val="19"/>
    <w:qFormat/>
    <w:uiPriority w:val="0"/>
    <w:rPr>
      <w:color w:val="C40001"/>
    </w:rPr>
  </w:style>
  <w:style w:type="character" w:customStyle="1" w:styleId="60">
    <w:name w:val="index-module_accountauthentication_3bwix"/>
    <w:basedOn w:val="19"/>
    <w:qFormat/>
    <w:uiPriority w:val="0"/>
  </w:style>
  <w:style w:type="character" w:customStyle="1" w:styleId="61">
    <w:name w:val="m01"/>
    <w:basedOn w:val="19"/>
    <w:qFormat/>
    <w:uiPriority w:val="0"/>
  </w:style>
  <w:style w:type="character" w:customStyle="1" w:styleId="62">
    <w:name w:val="m011"/>
    <w:basedOn w:val="19"/>
    <w:qFormat/>
    <w:uiPriority w:val="0"/>
  </w:style>
  <w:style w:type="character" w:customStyle="1" w:styleId="63">
    <w:name w:val="name"/>
    <w:basedOn w:val="19"/>
    <w:qFormat/>
    <w:uiPriority w:val="0"/>
    <w:rPr>
      <w:color w:val="6A6A6A"/>
      <w:u w:val="single"/>
    </w:rPr>
  </w:style>
  <w:style w:type="character" w:customStyle="1" w:styleId="64">
    <w:name w:val="more4"/>
    <w:basedOn w:val="19"/>
    <w:qFormat/>
    <w:uiPriority w:val="0"/>
    <w:rPr>
      <w:color w:val="666666"/>
      <w:sz w:val="14"/>
      <w:szCs w:val="14"/>
    </w:rPr>
  </w:style>
  <w:style w:type="character" w:customStyle="1" w:styleId="65">
    <w:name w:val="dates"/>
    <w:basedOn w:val="19"/>
    <w:qFormat/>
    <w:uiPriority w:val="0"/>
  </w:style>
  <w:style w:type="character" w:customStyle="1" w:styleId="66">
    <w:name w:val="bg02"/>
    <w:basedOn w:val="19"/>
    <w:qFormat/>
    <w:uiPriority w:val="0"/>
  </w:style>
  <w:style w:type="character" w:customStyle="1" w:styleId="67">
    <w:name w:val="tabg"/>
    <w:basedOn w:val="19"/>
    <w:qFormat/>
    <w:uiPriority w:val="0"/>
    <w:rPr>
      <w:color w:val="FFFFFF"/>
      <w:sz w:val="21"/>
      <w:szCs w:val="21"/>
    </w:rPr>
  </w:style>
  <w:style w:type="character" w:customStyle="1" w:styleId="68">
    <w:name w:val="bg01"/>
    <w:basedOn w:val="19"/>
    <w:qFormat/>
    <w:uiPriority w:val="0"/>
  </w:style>
  <w:style w:type="character" w:customStyle="1" w:styleId="69">
    <w:name w:val="font2"/>
    <w:basedOn w:val="19"/>
    <w:qFormat/>
    <w:uiPriority w:val="0"/>
  </w:style>
  <w:style w:type="character" w:customStyle="1" w:styleId="70">
    <w:name w:val="font3"/>
    <w:basedOn w:val="19"/>
    <w:qFormat/>
    <w:uiPriority w:val="0"/>
  </w:style>
  <w:style w:type="character" w:customStyle="1" w:styleId="71">
    <w:name w:val="laypage_curr"/>
    <w:basedOn w:val="19"/>
    <w:qFormat/>
    <w:uiPriority w:val="0"/>
    <w:rPr>
      <w:color w:val="FFFDF4"/>
      <w:shd w:val="clear" w:color="auto" w:fill="0B67A6"/>
    </w:rPr>
  </w:style>
  <w:style w:type="character" w:customStyle="1" w:styleId="72">
    <w:name w:val="place"/>
    <w:basedOn w:val="19"/>
    <w:qFormat/>
    <w:uiPriority w:val="0"/>
  </w:style>
  <w:style w:type="character" w:customStyle="1" w:styleId="73">
    <w:name w:val="place1"/>
    <w:basedOn w:val="19"/>
    <w:qFormat/>
    <w:uiPriority w:val="0"/>
  </w:style>
  <w:style w:type="character" w:customStyle="1" w:styleId="74">
    <w:name w:val="place2"/>
    <w:basedOn w:val="19"/>
    <w:qFormat/>
    <w:uiPriority w:val="0"/>
  </w:style>
  <w:style w:type="character" w:customStyle="1" w:styleId="75">
    <w:name w:val="place3"/>
    <w:basedOn w:val="19"/>
    <w:qFormat/>
    <w:uiPriority w:val="0"/>
    <w:rPr>
      <w:rFonts w:ascii="微软雅黑" w:hAnsi="微软雅黑" w:eastAsia="微软雅黑" w:cs="微软雅黑"/>
      <w:color w:val="888888"/>
      <w:sz w:val="20"/>
      <w:szCs w:val="20"/>
    </w:rPr>
  </w:style>
  <w:style w:type="character" w:customStyle="1" w:styleId="76">
    <w:name w:val="noline"/>
    <w:basedOn w:val="19"/>
    <w:qFormat/>
    <w:uiPriority w:val="0"/>
  </w:style>
  <w:style w:type="character" w:customStyle="1" w:styleId="77">
    <w:name w:val="font"/>
    <w:basedOn w:val="19"/>
    <w:qFormat/>
    <w:uiPriority w:val="0"/>
  </w:style>
  <w:style w:type="character" w:customStyle="1" w:styleId="78">
    <w:name w:val="font1"/>
    <w:basedOn w:val="19"/>
    <w:qFormat/>
    <w:uiPriority w:val="0"/>
  </w:style>
  <w:style w:type="character" w:customStyle="1" w:styleId="79">
    <w:name w:val="gwds_nopic"/>
    <w:basedOn w:val="19"/>
    <w:qFormat/>
    <w:uiPriority w:val="0"/>
  </w:style>
  <w:style w:type="character" w:customStyle="1" w:styleId="80">
    <w:name w:val="gwds_nopic1"/>
    <w:basedOn w:val="19"/>
    <w:qFormat/>
    <w:uiPriority w:val="0"/>
  </w:style>
  <w:style w:type="character" w:customStyle="1" w:styleId="81">
    <w:name w:val="gwds_nopic2"/>
    <w:basedOn w:val="19"/>
    <w:qFormat/>
    <w:uiPriority w:val="0"/>
  </w:style>
  <w:style w:type="character" w:customStyle="1" w:styleId="82">
    <w:name w:val="hover20"/>
    <w:basedOn w:val="19"/>
    <w:qFormat/>
    <w:uiPriority w:val="0"/>
    <w:rPr>
      <w:color w:val="015293"/>
    </w:rPr>
  </w:style>
  <w:style w:type="paragraph" w:customStyle="1" w:styleId="83">
    <w:name w:val="图标题头"/>
    <w:qFormat/>
    <w:uiPriority w:val="0"/>
    <w:pPr>
      <w:spacing w:line="360" w:lineRule="auto"/>
      <w:ind w:firstLine="360"/>
      <w:jc w:val="center"/>
    </w:pPr>
    <w:rPr>
      <w:rFonts w:ascii="Times New Roman" w:hAnsi="Times New Roman" w:cs="Times New Roman" w:eastAsiaTheme="minorEastAsia"/>
      <w:b/>
      <w:bCs/>
      <w:sz w:val="18"/>
      <w:szCs w:val="18"/>
      <w:lang w:val="en-US" w:eastAsia="zh-CN" w:bidi="ar-SA"/>
    </w:rPr>
  </w:style>
  <w:style w:type="paragraph" w:customStyle="1" w:styleId="84">
    <w:name w:val="引文"/>
    <w:basedOn w:val="1"/>
    <w:qFormat/>
    <w:uiPriority w:val="0"/>
    <w:pPr>
      <w:spacing w:line="288" w:lineRule="auto"/>
      <w:ind w:left="200" w:hanging="200" w:hangingChars="200"/>
    </w:pPr>
  </w:style>
  <w:style w:type="character" w:customStyle="1" w:styleId="85">
    <w:name w:val="页眉 字符"/>
    <w:basedOn w:val="19"/>
    <w:link w:val="16"/>
    <w:qFormat/>
    <w:uiPriority w:val="0"/>
    <w:rPr>
      <w:rFonts w:asciiTheme="minorHAnsi" w:hAnsiTheme="minorHAnsi" w:eastAsiaTheme="minorEastAsia" w:cstheme="minorBidi"/>
      <w:kern w:val="2"/>
      <w:sz w:val="18"/>
      <w:szCs w:val="18"/>
    </w:rPr>
  </w:style>
  <w:style w:type="character" w:customStyle="1" w:styleId="86">
    <w:name w:val="页脚 字符"/>
    <w:basedOn w:val="19"/>
    <w:link w:val="14"/>
    <w:qFormat/>
    <w:uiPriority w:val="99"/>
    <w:rPr>
      <w:rFonts w:asciiTheme="minorHAnsi" w:hAnsiTheme="minorHAnsi" w:eastAsiaTheme="minorEastAsia" w:cstheme="minorBidi"/>
      <w:kern w:val="2"/>
      <w:sz w:val="18"/>
      <w:szCs w:val="18"/>
    </w:rPr>
  </w:style>
  <w:style w:type="paragraph" w:customStyle="1" w:styleId="87">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88">
    <w:name w:val="批注文字 字符"/>
    <w:basedOn w:val="19"/>
    <w:link w:val="8"/>
    <w:qFormat/>
    <w:uiPriority w:val="0"/>
  </w:style>
  <w:style w:type="character" w:customStyle="1" w:styleId="89">
    <w:name w:val="批注主题 字符"/>
    <w:basedOn w:val="88"/>
    <w:link w:val="7"/>
    <w:qFormat/>
    <w:uiPriority w:val="0"/>
    <w:rPr>
      <w:rFonts w:asciiTheme="minorHAnsi" w:hAnsiTheme="minorHAnsi" w:eastAsiaTheme="minorEastAsia" w:cstheme="minorBidi"/>
      <w:b/>
      <w:bCs/>
      <w:kern w:val="2"/>
      <w:sz w:val="21"/>
      <w:szCs w:val="24"/>
    </w:rPr>
  </w:style>
  <w:style w:type="character" w:customStyle="1" w:styleId="90">
    <w:name w:val="脚注文本 字符"/>
    <w:basedOn w:val="19"/>
    <w:link w:val="17"/>
    <w:qFormat/>
    <w:uiPriority w:val="0"/>
    <w:rPr>
      <w:rFonts w:asciiTheme="minorHAnsi" w:hAnsiTheme="minorHAnsi" w:eastAsiaTheme="minorEastAsia" w:cstheme="minorBidi"/>
      <w:kern w:val="2"/>
      <w:sz w:val="18"/>
      <w:szCs w:val="24"/>
    </w:rPr>
  </w:style>
  <w:style w:type="paragraph" w:customStyle="1" w:styleId="91">
    <w:name w:val="列表段落1"/>
    <w:basedOn w:val="1"/>
    <w:qFormat/>
    <w:uiPriority w:val="99"/>
    <w:pPr>
      <w:ind w:firstLine="420" w:firstLineChars="200"/>
    </w:pPr>
  </w:style>
  <w:style w:type="character" w:customStyle="1" w:styleId="92">
    <w:name w:val="font21"/>
    <w:basedOn w:val="19"/>
    <w:qFormat/>
    <w:uiPriority w:val="0"/>
    <w:rPr>
      <w:rFonts w:hint="eastAsia" w:ascii="宋体" w:hAnsi="宋体" w:eastAsia="宋体" w:cs="宋体"/>
      <w:color w:val="000000"/>
      <w:sz w:val="18"/>
      <w:szCs w:val="18"/>
      <w:u w:val="none"/>
    </w:rPr>
  </w:style>
  <w:style w:type="character" w:customStyle="1" w:styleId="93">
    <w:name w:val="MTEquationSection"/>
    <w:basedOn w:val="19"/>
    <w:qFormat/>
    <w:uiPriority w:val="0"/>
    <w:rPr>
      <w:rFonts w:ascii="黑体" w:hAnsi="黑体" w:eastAsia="黑体"/>
      <w:vanish/>
      <w:color w:val="FF0000"/>
    </w:rPr>
  </w:style>
  <w:style w:type="character" w:customStyle="1" w:styleId="94">
    <w:name w:val="dt-editor__word"/>
    <w:qFormat/>
    <w:uiPriority w:val="0"/>
  </w:style>
  <w:style w:type="table" w:customStyle="1" w:styleId="95">
    <w:name w:val="网格型1"/>
    <w:qFormat/>
    <w:uiPriority w:val="39"/>
    <w:rPr>
      <w:rFonts w:ascii="等线" w:hAnsi="等线" w:eastAsia="等线"/>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style>
  <w:style w:type="paragraph" w:styleId="96">
    <w:name w:val="List Paragraph"/>
    <w:basedOn w:val="1"/>
    <w:qFormat/>
    <w:uiPriority w:val="99"/>
    <w:pPr>
      <w:ind w:firstLine="420" w:firstLineChars="200"/>
    </w:pPr>
  </w:style>
  <w:style w:type="paragraph" w:customStyle="1" w:styleId="97">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98">
    <w:name w:val="MTDisplayEquation"/>
    <w:basedOn w:val="99"/>
    <w:next w:val="1"/>
    <w:link w:val="100"/>
    <w:qFormat/>
    <w:uiPriority w:val="0"/>
    <w:pPr>
      <w:tabs>
        <w:tab w:val="center" w:pos="4320"/>
        <w:tab w:val="right" w:pos="8620"/>
        <w:tab w:val="right" w:pos="10103"/>
      </w:tabs>
      <w:spacing w:line="380" w:lineRule="exact"/>
      <w:ind w:firstLine="392" w:firstLineChars="200"/>
    </w:pPr>
    <w:rPr>
      <w:rFonts w:ascii="Times New Roman" w:hAnsi="Times New Roman" w:eastAsia="宋体" w:cs="Times New Roman"/>
      <w:i/>
      <w:iCs/>
      <w:szCs w:val="22"/>
    </w:rPr>
  </w:style>
  <w:style w:type="paragraph" w:customStyle="1" w:styleId="99">
    <w:name w:val="公式"/>
    <w:basedOn w:val="1"/>
    <w:unhideWhenUsed/>
    <w:qFormat/>
    <w:uiPriority w:val="0"/>
    <w:pPr>
      <w:tabs>
        <w:tab w:val="right" w:pos="10103"/>
      </w:tabs>
      <w:spacing w:line="360" w:lineRule="auto"/>
      <w:jc w:val="center"/>
    </w:pPr>
  </w:style>
  <w:style w:type="character" w:customStyle="1" w:styleId="100">
    <w:name w:val="MTDisplayEquation 字符"/>
    <w:basedOn w:val="19"/>
    <w:link w:val="98"/>
    <w:qFormat/>
    <w:uiPriority w:val="0"/>
    <w:rPr>
      <w:rFonts w:ascii="Times New Roman" w:hAnsi="Times New Roman" w:eastAsia="宋体" w:cs="Times New Roman"/>
      <w:i/>
      <w:iCs/>
      <w:kern w:val="2"/>
      <w:sz w:val="21"/>
      <w:szCs w:val="22"/>
    </w:rPr>
  </w:style>
  <w:style w:type="character" w:customStyle="1" w:styleId="101">
    <w:name w:val="未处理的提及1"/>
    <w:basedOn w:val="19"/>
    <w:semiHidden/>
    <w:unhideWhenUsed/>
    <w:qFormat/>
    <w:uiPriority w:val="99"/>
    <w:rPr>
      <w:color w:val="605E5C"/>
      <w:shd w:val="clear" w:color="auto" w:fill="E1DFDD"/>
    </w:rPr>
  </w:style>
  <w:style w:type="paragraph" w:customStyle="1" w:styleId="102">
    <w:name w:val="修订3"/>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03">
    <w:name w:val="批注框文本 字符"/>
    <w:basedOn w:val="19"/>
    <w:link w:val="13"/>
    <w:qFormat/>
    <w:uiPriority w:val="0"/>
    <w:rPr>
      <w:rFonts w:asciiTheme="minorHAnsi" w:hAnsiTheme="minorHAnsi" w:eastAsiaTheme="minorEastAsia" w:cstheme="minorBidi"/>
      <w:kern w:val="2"/>
      <w:sz w:val="18"/>
      <w:szCs w:val="18"/>
    </w:rPr>
  </w:style>
  <w:style w:type="character" w:customStyle="1" w:styleId="104">
    <w:name w:val="标题 2 字符"/>
    <w:basedOn w:val="19"/>
    <w:link w:val="5"/>
    <w:qFormat/>
    <w:uiPriority w:val="0"/>
    <w:rPr>
      <w:rFonts w:ascii="宋体" w:hAnsi="宋体" w:eastAsiaTheme="minorEastAsia"/>
      <w:b/>
      <w:bCs/>
      <w:sz w:val="28"/>
      <w:szCs w:val="36"/>
    </w:rPr>
  </w:style>
  <w:style w:type="character" w:customStyle="1" w:styleId="105">
    <w:name w:val="未处理的提及2"/>
    <w:basedOn w:val="19"/>
    <w:semiHidden/>
    <w:unhideWhenUsed/>
    <w:qFormat/>
    <w:uiPriority w:val="99"/>
    <w:rPr>
      <w:color w:val="605E5C"/>
      <w:shd w:val="clear" w:color="auto" w:fill="E1DFDD"/>
    </w:rPr>
  </w:style>
  <w:style w:type="character" w:customStyle="1" w:styleId="106">
    <w:name w:val="正文文本 字符"/>
    <w:basedOn w:val="19"/>
    <w:link w:val="10"/>
    <w:qFormat/>
    <w:uiPriority w:val="99"/>
    <w:rPr>
      <w:rFonts w:asciiTheme="minorHAnsi" w:hAnsiTheme="minorHAnsi" w:eastAsiaTheme="minorEastAsia" w:cstheme="minorBidi"/>
      <w:kern w:val="2"/>
      <w:sz w:val="18"/>
      <w:szCs w:val="24"/>
    </w:rPr>
  </w:style>
  <w:style w:type="paragraph" w:customStyle="1" w:styleId="107">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08">
    <w:name w:val="Unresolved Mention"/>
    <w:basedOn w:val="19"/>
    <w:semiHidden/>
    <w:unhideWhenUsed/>
    <w:qFormat/>
    <w:uiPriority w:val="99"/>
    <w:rPr>
      <w:color w:val="605E5C"/>
      <w:shd w:val="clear" w:color="auto" w:fill="E1DFDD"/>
    </w:rPr>
  </w:style>
  <w:style w:type="paragraph" w:customStyle="1" w:styleId="109">
    <w:name w:val="3"/>
    <w:basedOn w:val="1"/>
    <w:next w:val="91"/>
    <w:qFormat/>
    <w:uiPriority w:val="34"/>
    <w:pPr>
      <w:ind w:firstLine="420" w:firstLineChars="200"/>
    </w:pPr>
    <w:rPr>
      <w:rFonts w:ascii="等线" w:hAnsi="等线" w:eastAsia="等线"/>
    </w:rPr>
  </w:style>
  <w:style w:type="paragraph" w:customStyle="1" w:styleId="110">
    <w:name w:val="4正文"/>
    <w:basedOn w:val="1"/>
    <w:qFormat/>
    <w:uiPriority w:val="0"/>
    <w:pPr>
      <w:spacing w:line="400" w:lineRule="exact"/>
    </w:pPr>
    <w:rPr>
      <w:rFonts w:ascii="Times New Roman" w:hAnsi="Times New Roman" w:cs="Times New Roman"/>
      <w:szCs w:val="24"/>
    </w:rPr>
  </w:style>
  <w:style w:type="table" w:customStyle="1" w:styleId="111">
    <w:name w:val="网格型3"/>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12">
    <w:name w:val="网格型4"/>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13">
    <w:name w:val="正文jj"/>
    <w:basedOn w:val="1"/>
    <w:qFormat/>
    <w:uiPriority w:val="0"/>
    <w:pPr>
      <w:spacing w:line="240" w:lineRule="atLeast"/>
      <w:ind w:firstLine="392" w:firstLineChars="200"/>
    </w:pPr>
    <w:rPr>
      <w:rFonts w:hint="eastAsia" w:ascii="Times New Roman" w:hAnsi="Times New Roman" w:eastAsia="宋体" w:cs="Times New Roman"/>
      <w:szCs w:val="22"/>
    </w:rPr>
  </w:style>
  <w:style w:type="paragraph" w:customStyle="1" w:styleId="114">
    <w:name w:val="表标题jj"/>
    <w:basedOn w:val="1"/>
    <w:qFormat/>
    <w:uiPriority w:val="0"/>
    <w:pPr>
      <w:keepNext/>
      <w:spacing w:line="240" w:lineRule="atLeast"/>
      <w:ind w:firstLine="332" w:firstLineChars="200"/>
    </w:pPr>
    <w:rPr>
      <w:rFonts w:ascii="Times New Roman" w:hAnsi="Times New Roman" w:eastAsia="黑体" w:cs="Times New Roman"/>
      <w:sz w:val="18"/>
      <w:szCs w:val="20"/>
    </w:rPr>
  </w:style>
  <w:style w:type="paragraph" w:customStyle="1" w:styleId="115">
    <w:name w:val="表下注jj"/>
    <w:basedOn w:val="1"/>
    <w:qFormat/>
    <w:uiPriority w:val="0"/>
    <w:pPr>
      <w:keepNext/>
      <w:keepLines/>
      <w:tabs>
        <w:tab w:val="left" w:pos="432"/>
      </w:tabs>
      <w:spacing w:line="240" w:lineRule="atLeast"/>
      <w:ind w:firstLine="332" w:firstLineChars="200"/>
      <w:outlineLvl w:val="0"/>
    </w:pPr>
    <w:rPr>
      <w:rFonts w:hint="eastAsia" w:ascii="Times New Roman" w:hAnsi="Times New Roman" w:eastAsia="宋体" w:cs="Times New Roman"/>
      <w:sz w:val="18"/>
      <w:szCs w:val="18"/>
    </w:rPr>
  </w:style>
  <w:style w:type="paragraph" w:customStyle="1" w:styleId="116">
    <w:name w:val="正文-公1"/>
    <w:basedOn w:val="1"/>
    <w:qFormat/>
    <w:uiPriority w:val="0"/>
    <w:pPr>
      <w:framePr w:hSpace="181" w:wrap="notBeside" w:vAnchor="text" w:hAnchor="margin" w:xAlign="center" w:y="63"/>
      <w:spacing w:line="300" w:lineRule="exact"/>
      <w:ind w:firstLine="0" w:firstLineChars="0"/>
      <w:jc w:val="center"/>
    </w:pPr>
    <w:rPr>
      <w:rFonts w:ascii="宋体" w:hAnsi="宋体" w:cs="Times New Roman"/>
      <w:b/>
      <w:bCs/>
      <w:sz w:val="18"/>
      <w:szCs w:val="18"/>
    </w:rPr>
  </w:style>
  <w:style w:type="table" w:customStyle="1" w:styleId="117">
    <w:name w:val="无格式表格 21"/>
    <w:basedOn w:val="33"/>
    <w:qFormat/>
    <w:uiPriority w:val="0"/>
    <w:tblPr>
      <w:tblBorders>
        <w:top w:val="single" w:color="7E7E7E" w:sz="4" w:space="0"/>
        <w:bottom w:val="single" w:color="7E7E7E" w:sz="4" w:space="0"/>
      </w:tblBorders>
      <w:tblLayout w:type="fixed"/>
    </w:tblPr>
    <w:tblStylePr w:type="firstRow">
      <w:rPr>
        <w:b/>
        <w:bCs/>
      </w:rPr>
      <w:tcPr>
        <w:tcBorders>
          <w:top w:val="nil"/>
          <w:left w:val="nil"/>
          <w:bottom w:val="single" w:color="7E7E7E" w:sz="4" w:space="0"/>
          <w:right w:val="nil"/>
          <w:insideH w:val="nil"/>
          <w:insideV w:val="nil"/>
          <w:tl2br w:val="nil"/>
          <w:tr2bl w:val="nil"/>
        </w:tcBorders>
      </w:tcPr>
    </w:tblStylePr>
    <w:tblStylePr w:type="lastRow">
      <w:rPr>
        <w:b/>
        <w:bCs/>
      </w:rPr>
      <w:tcPr>
        <w:tcBorders>
          <w:top w:val="single" w:color="7E7E7E"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single" w:color="7E7E7E" w:sz="4" w:space="0"/>
          <w:bottom w:val="nil"/>
          <w:right w:val="single" w:color="7E7E7E" w:sz="4" w:space="0"/>
          <w:insideH w:val="nil"/>
          <w:insideV w:val="nil"/>
          <w:tl2br w:val="nil"/>
          <w:tr2bl w:val="nil"/>
        </w:tcBorders>
      </w:tcPr>
    </w:tblStylePr>
    <w:tblStylePr w:type="band2Vert">
      <w:tcPr>
        <w:tcBorders>
          <w:top w:val="nil"/>
          <w:left w:val="single" w:color="7E7E7E" w:sz="4" w:space="0"/>
          <w:bottom w:val="nil"/>
          <w:right w:val="single" w:color="7E7E7E" w:sz="4" w:space="0"/>
          <w:insideH w:val="nil"/>
          <w:insideV w:val="nil"/>
          <w:tl2br w:val="nil"/>
          <w:tr2bl w:val="nil"/>
        </w:tcBorders>
      </w:tcPr>
    </w:tblStylePr>
    <w:tblStylePr w:type="band1Horz">
      <w:tcPr>
        <w:tcBorders>
          <w:top w:val="single" w:color="7E7E7E" w:sz="4" w:space="0"/>
          <w:left w:val="nil"/>
          <w:bottom w:val="single" w:color="7E7E7E" w:sz="4" w:space="0"/>
          <w:right w:val="nil"/>
          <w:insideH w:val="nil"/>
          <w:insideV w:val="nil"/>
          <w:tl2br w:val="nil"/>
          <w:tr2bl w:val="nil"/>
        </w:tcBorders>
      </w:tc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1182</Words>
  <Characters>1512</Characters>
  <Lines>263</Lines>
  <Paragraphs>74</Paragraphs>
  <TotalTime>5</TotalTime>
  <ScaleCrop>false</ScaleCrop>
  <LinksUpToDate>false</LinksUpToDate>
  <CharactersWithSpaces>1637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2022-01-16T05:23:00Z</dcterms:created>
  <dc:creator>jane</dc:creator>
  <cp:lastModifiedBy>deng</cp:lastModifiedBy>
  <cp:lastPrinted>2023-06-28T09:19:00Z</cp:lastPrinted>
  <dcterms:modified xsi:type="dcterms:W3CDTF">2025-06-12T05:57:27Z</dcterms:modified>
  <cp:revision>5116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53B9588622944597BF23A6981BA18873_13</vt:lpwstr>
  </property>
  <property fmtid="{D5CDD505-2E9C-101B-9397-08002B2CF9AE}" pid="4" name="GrammarlyDocumentId">
    <vt:lpwstr>570f05a23bdff360db974e84ec735d2cd6cd8ddbecd2c0a7ff48f6640e5a8b1c</vt:lpwstr>
  </property>
  <property fmtid="{D5CDD505-2E9C-101B-9397-08002B2CF9AE}" pid="5" name="MTWinEqns">
    <vt:bool>true</vt:bool>
  </property>
  <property fmtid="{D5CDD505-2E9C-101B-9397-08002B2CF9AE}" pid="6" name="TermCorrect">
    <vt:lpwstr>true</vt:lpwstr>
  </property>
  <property fmtid="{D5CDD505-2E9C-101B-9397-08002B2CF9AE}" pid="7" name="mul_line">
    <vt:lpwstr> </vt:lpwstr>
  </property>
</Properties>
</file>