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bookmarkStart w:id="0" w:name="_top"/>
      <w:bookmarkEnd w:id="0"/>
    </w:p>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spacing w:line="240" w:lineRule="atLeast"/>
        <w:jc w:val="cente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pPr>
      <w:r>
        <w:rPr>
          <w:rFonts w:hint="eastAsia" w:ascii="黑体" w:hAnsi="黑体" w:eastAsia="黑体" w:cs="黑体"/>
          <w:b w:val="0"/>
          <w:bCs w:val="0"/>
          <w:color w:val="auto"/>
          <w:kern w:val="2"/>
          <w:sz w:val="44"/>
          <w:szCs w:val="44"/>
          <w:highlight w:val="none"/>
          <w:shd w:val="clear" w:color="auto" w:fill="FFFFFF"/>
          <w:lang w:val="en-US" w:eastAsia="zh-CN" w:bidi="ar-SA"/>
        </w:rPr>
        <w:t>附  录</w:t>
      </w:r>
      <w: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footnoteReference w:id="0" w:customMarkFollows="1"/>
        <w:t>*</w:t>
      </w:r>
    </w:p>
    <w:p>
      <w:pPr>
        <w:jc w:val="both"/>
        <w:rPr>
          <w:rFonts w:hint="default" w:ascii="Times New Roman Regular" w:hAnsi="Times New Roman Regular" w:eastAsia="黑体" w:cs="Times New Roman Regular"/>
          <w:sz w:val="21"/>
          <w:szCs w:val="21"/>
          <w14:ligatures w14:val="none"/>
        </w:rPr>
      </w:pPr>
    </w:p>
    <w:p>
      <w:pPr>
        <w:widowControl/>
        <w:numPr>
          <w:ilvl w:val="255"/>
          <w:numId w:val="0"/>
        </w:numPr>
        <w:spacing w:line="240" w:lineRule="atLeast"/>
        <w:ind w:firstLine="392" w:firstLineChars="200"/>
        <w:rPr>
          <w:rFonts w:hint="eastAsia" w:ascii="Times New Roman" w:hAnsi="Times New Roman" w:eastAsia="宋体" w:cs="Times New Roman"/>
          <w:color w:val="000000"/>
          <w:sz w:val="21"/>
          <w:szCs w:val="21"/>
          <w:shd w:val="clear" w:color="auto" w:fill="FFFFFF"/>
          <w:lang w:val="en-US" w:eastAsia="zh-CN"/>
        </w:rPr>
      </w:pPr>
      <w:r>
        <w:rPr>
          <w:rFonts w:hint="eastAsia" w:ascii="Times New Roman" w:hAnsi="Times New Roman" w:eastAsia="宋体" w:cs="Times New Roman"/>
          <w:color w:val="000000"/>
          <w:sz w:val="21"/>
          <w:szCs w:val="21"/>
          <w:shd w:val="clear" w:color="auto" w:fill="FFFFFF"/>
          <w:lang w:val="en-US" w:eastAsia="zh-CN"/>
        </w:rPr>
        <w:t>附表1是本文五、进一步分析中的（一）异质性分析部分的回归结果。附表1的（1）～（3）列分别展示了东部、中部和西部地区数字金融总指数对农村金融市场结构影响的总指标的回归结果。结果表明，中部地区同时存在显著的规模经济效应和X效率效应，且规模经济效应强于X效率效应；东部地区和西部仅表现出显著的规模经济效应，X效率效应则不显著。</w:t>
      </w:r>
    </w:p>
    <w:p>
      <w:pPr>
        <w:numPr>
          <w:ilvl w:val="255"/>
          <w:numId w:val="0"/>
        </w:numPr>
        <w:spacing w:line="240" w:lineRule="atLeast"/>
        <w:ind w:firstLine="332" w:firstLineChars="200"/>
        <w:jc w:val="both"/>
        <w:rPr>
          <w:rFonts w:ascii="Times New Roman" w:hAnsi="Times New Roman" w:eastAsia="黑体" w:cs="Times New Roman"/>
          <w:bCs/>
          <w:color w:val="000000"/>
          <w:sz w:val="18"/>
          <w:szCs w:val="18"/>
        </w:rPr>
      </w:pPr>
      <w:r>
        <w:rPr>
          <w:rFonts w:hint="eastAsia" w:ascii="Times New Roman" w:hAnsi="Times New Roman" w:eastAsia="黑体" w:cs="Times New Roman"/>
          <w:bCs/>
          <w:color w:val="000000"/>
          <w:sz w:val="18"/>
          <w:szCs w:val="18"/>
          <w:lang w:val="en-US" w:eastAsia="zh-CN"/>
        </w:rPr>
        <w:t>附</w:t>
      </w:r>
      <w:r>
        <w:rPr>
          <w:rFonts w:hint="eastAsia" w:ascii="Times New Roman" w:hAnsi="Times New Roman" w:eastAsia="黑体" w:cs="Times New Roman"/>
          <w:bCs/>
          <w:color w:val="000000"/>
          <w:sz w:val="18"/>
          <w:szCs w:val="18"/>
        </w:rPr>
        <w:t>表</w:t>
      </w:r>
      <w:r>
        <w:rPr>
          <w:rFonts w:hint="eastAsia" w:ascii="Times New Roman" w:hAnsi="Times New Roman" w:eastAsia="黑体" w:cs="Times New Roman"/>
          <w:bCs/>
          <w:color w:val="000000"/>
          <w:sz w:val="18"/>
          <w:szCs w:val="18"/>
          <w:lang w:val="en-US" w:eastAsia="zh-CN"/>
        </w:rPr>
        <w:t>1</w:t>
      </w:r>
      <w:r>
        <w:rPr>
          <w:rFonts w:hint="eastAsia" w:ascii="Times New Roman" w:hAnsi="Times New Roman" w:eastAsia="黑体" w:cs="Times New Roman"/>
          <w:bCs/>
          <w:color w:val="000000"/>
          <w:sz w:val="18"/>
          <w:szCs w:val="18"/>
        </w:rPr>
        <w:t xml:space="preserve">               数字金融对农村金融机构规模经济效应与X效率分地区回归结果</w:t>
      </w:r>
    </w:p>
    <w:tbl>
      <w:tblPr>
        <w:tblStyle w:val="34"/>
        <w:tblW w:w="8626" w:type="dxa"/>
        <w:jc w:val="center"/>
        <w:tblInd w:w="0" w:type="dxa"/>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36"/>
        <w:gridCol w:w="2030"/>
        <w:gridCol w:w="2030"/>
        <w:gridCol w:w="2030"/>
      </w:tblGrid>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vMerge w:val="restart"/>
            <w:tcBorders>
              <w:top w:val="single" w:color="000000" w:sz="12" w:space="0"/>
              <w:right w:val="single" w:color="auto" w:sz="4" w:space="0"/>
              <w:tl2br w:val="nil"/>
            </w:tcBorders>
            <w:shd w:val="clear" w:color="auto" w:fill="FFFFFF"/>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变量</w:t>
            </w:r>
          </w:p>
        </w:tc>
        <w:tc>
          <w:tcPr>
            <w:tcW w:w="6090" w:type="dxa"/>
            <w:gridSpan w:val="3"/>
            <w:tcBorders>
              <w:top w:val="single" w:color="000000" w:sz="12" w:space="0"/>
              <w:left w:val="single" w:color="auto" w:sz="4" w:space="0"/>
              <w:bottom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Calibri" w:hAnsi="Calibri" w:eastAsia="宋体" w:cs="宋体"/>
                <w:bCs/>
                <w:sz w:val="18"/>
                <w:szCs w:val="18"/>
              </w:rPr>
              <w:t>农村金融市场竞争程度</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vMerge w:val="continue"/>
            <w:tcBorders>
              <w:right w:val="single" w:color="auto" w:sz="4" w:space="0"/>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p>
        </w:tc>
        <w:tc>
          <w:tcPr>
            <w:tcW w:w="2030" w:type="dxa"/>
            <w:tcBorders>
              <w:top w:val="nil"/>
              <w:left w:val="single" w:color="auto" w:sz="4" w:space="0"/>
              <w:bottom w:val="nil"/>
              <w:right w:val="nil"/>
            </w:tcBorders>
            <w:shd w:val="clear" w:color="auto" w:fill="FFFFFF"/>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（1）</w:t>
            </w:r>
          </w:p>
        </w:tc>
        <w:tc>
          <w:tcPr>
            <w:tcW w:w="2030" w:type="dxa"/>
            <w:tcBorders>
              <w:top w:val="nil"/>
              <w:left w:val="nil"/>
              <w:bottom w:val="nil"/>
              <w:right w:val="nil"/>
            </w:tcBorders>
            <w:shd w:val="clear" w:color="auto" w:fill="FFFFFF"/>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rPr>
              <w:t>（2）</w:t>
            </w:r>
          </w:p>
        </w:tc>
        <w:tc>
          <w:tcPr>
            <w:tcW w:w="2030" w:type="dxa"/>
            <w:tcBorders>
              <w:top w:val="nil"/>
              <w:left w:val="nil"/>
              <w:bottom w:val="nil"/>
            </w:tcBorders>
            <w:shd w:val="clear" w:color="auto" w:fill="FFFFFF"/>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3</w:t>
            </w:r>
            <w:r>
              <w:rPr>
                <w:rFonts w:ascii="Times New Roman" w:hAnsi="Times New Roman" w:eastAsia="宋体" w:cs="Times New Roman"/>
                <w:kern w:val="0"/>
                <w:sz w:val="18"/>
                <w:szCs w:val="18"/>
              </w:rPr>
              <w:t>）</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vMerge w:val="continue"/>
            <w:tcBorders>
              <w:right w:val="single" w:color="auto" w:sz="4" w:space="0"/>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p>
        </w:tc>
        <w:tc>
          <w:tcPr>
            <w:tcW w:w="2030" w:type="dxa"/>
            <w:tcBorders>
              <w:top w:val="nil"/>
              <w:left w:val="single" w:color="auto" w:sz="4" w:space="0"/>
              <w:bottom w:val="single" w:color="auto" w:sz="4" w:space="0"/>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东部</w:t>
            </w:r>
            <w:r>
              <w:rPr>
                <w:rFonts w:hint="eastAsia" w:ascii="Times New Roman" w:hAnsi="Times New Roman" w:eastAsia="宋体" w:cs="Times New Roman"/>
                <w:sz w:val="18"/>
                <w:szCs w:val="18"/>
              </w:rPr>
              <w:t>地区</w:t>
            </w:r>
          </w:p>
        </w:tc>
        <w:tc>
          <w:tcPr>
            <w:tcW w:w="2030" w:type="dxa"/>
            <w:tcBorders>
              <w:top w:val="nil"/>
              <w:left w:val="nil"/>
              <w:bottom w:val="single" w:color="auto" w:sz="4" w:space="0"/>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中部</w:t>
            </w:r>
            <w:r>
              <w:rPr>
                <w:rFonts w:hint="eastAsia" w:ascii="Times New Roman" w:hAnsi="Times New Roman" w:eastAsia="宋体" w:cs="Times New Roman"/>
                <w:kern w:val="0"/>
                <w:sz w:val="18"/>
                <w:szCs w:val="18"/>
              </w:rPr>
              <w:t>地区</w:t>
            </w:r>
          </w:p>
        </w:tc>
        <w:tc>
          <w:tcPr>
            <w:tcW w:w="2030" w:type="dxa"/>
            <w:tcBorders>
              <w:top w:val="nil"/>
              <w:left w:val="nil"/>
              <w:bottom w:val="single" w:color="auto" w:sz="4" w:space="0"/>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ascii="Times New Roman" w:hAnsi="Times New Roman" w:eastAsia="宋体" w:cs="Times New Roman"/>
                <w:kern w:val="0"/>
                <w:sz w:val="18"/>
                <w:szCs w:val="18"/>
              </w:rPr>
              <w:t>西部</w:t>
            </w:r>
            <w:r>
              <w:rPr>
                <w:rFonts w:hint="eastAsia" w:ascii="Times New Roman" w:hAnsi="Times New Roman" w:eastAsia="宋体" w:cs="Times New Roman"/>
                <w:kern w:val="0"/>
                <w:sz w:val="18"/>
                <w:szCs w:val="18"/>
              </w:rPr>
              <w:t>地区</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vMerge w:val="restart"/>
            <w:tcBorders>
              <w:top w:val="single" w:color="auto" w:sz="4" w:space="0"/>
              <w:bottom w:val="nil"/>
              <w:right w:val="single" w:color="auto" w:sz="4" w:space="0"/>
            </w:tcBorders>
            <w:shd w:val="clear" w:color="auto" w:fill="FFFFFF"/>
            <w:vAlign w:val="center"/>
          </w:tcPr>
          <w:p>
            <w:pPr>
              <w:keepNext w:val="0"/>
              <w:keepLines w:val="0"/>
              <w:pageBreakBefore w:val="0"/>
              <w:widowControl w:val="0"/>
              <w:kinsoku/>
              <w:wordWrap/>
              <w:overflowPunct/>
              <w:topLinePunct w:val="0"/>
              <w:bidi w:val="0"/>
              <w:adjustRightInd/>
              <w:snapToGrid/>
              <w:spacing w:line="300" w:lineRule="exact"/>
              <w:jc w:val="both"/>
              <w:textAlignment w:val="auto"/>
              <w:rPr>
                <w:rFonts w:hint="default" w:ascii="Times New Roman" w:hAnsi="Times New Roman" w:eastAsia="宋体" w:cs="Times New Roman"/>
                <w:bCs/>
                <w:sz w:val="18"/>
                <w:szCs w:val="18"/>
                <w:lang w:val="en-US" w:eastAsia="zh-CN"/>
              </w:rPr>
            </w:pPr>
            <w:r>
              <w:rPr>
                <w:rFonts w:hint="eastAsia" w:ascii="Times New Roman" w:hAnsi="Times New Roman" w:eastAsia="宋体" w:cs="Times New Roman"/>
                <w:bCs/>
                <w:sz w:val="18"/>
                <w:szCs w:val="18"/>
                <w:lang w:val="en-US" w:eastAsia="zh-CN"/>
              </w:rPr>
              <w:t>总指数</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ascii="Times New Roman" w:hAnsi="Times New Roman" w:eastAsia="宋体" w:cs="Times New Roman"/>
                <w:kern w:val="0"/>
                <w:sz w:val="18"/>
                <w:szCs w:val="18"/>
              </w:rPr>
            </w:pPr>
          </w:p>
        </w:tc>
        <w:tc>
          <w:tcPr>
            <w:tcW w:w="2030" w:type="dxa"/>
            <w:tcBorders>
              <w:top w:val="single" w:color="auto" w:sz="4" w:space="0"/>
              <w:left w:val="single" w:color="auto" w:sz="4" w:space="0"/>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0.896</w:t>
            </w:r>
            <w:r>
              <w:rPr>
                <w:rFonts w:hint="eastAsia" w:ascii="Times New Roman" w:hAnsi="Times New Roman" w:eastAsia="宋体" w:cs="Times New Roman"/>
                <w:bCs/>
                <w:sz w:val="18"/>
                <w:szCs w:val="18"/>
                <w:vertAlign w:val="superscript"/>
                <w:lang w:bidi="ar"/>
              </w:rPr>
              <w:t>***</w:t>
            </w:r>
          </w:p>
        </w:tc>
        <w:tc>
          <w:tcPr>
            <w:tcW w:w="2030" w:type="dxa"/>
            <w:tcBorders>
              <w:top w:val="single" w:color="auto" w:sz="4" w:space="0"/>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0.388</w:t>
            </w:r>
            <w:r>
              <w:rPr>
                <w:rFonts w:hint="eastAsia" w:ascii="Times New Roman" w:hAnsi="Times New Roman" w:eastAsia="宋体" w:cs="Times New Roman"/>
                <w:bCs/>
                <w:sz w:val="18"/>
                <w:szCs w:val="18"/>
                <w:vertAlign w:val="superscript"/>
                <w:lang w:bidi="ar"/>
              </w:rPr>
              <w:t>***</w:t>
            </w:r>
          </w:p>
        </w:tc>
        <w:tc>
          <w:tcPr>
            <w:tcW w:w="2030" w:type="dxa"/>
            <w:tcBorders>
              <w:top w:val="single" w:color="auto" w:sz="4" w:space="0"/>
              <w:left w:val="nil"/>
              <w:bottom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1.157</w:t>
            </w:r>
            <w:r>
              <w:rPr>
                <w:rFonts w:hint="eastAsia" w:ascii="Times New Roman" w:hAnsi="Times New Roman" w:eastAsia="宋体" w:cs="Times New Roman"/>
                <w:bCs/>
                <w:sz w:val="18"/>
                <w:szCs w:val="18"/>
                <w:vertAlign w:val="superscript"/>
                <w:lang w:bidi="ar"/>
              </w:rPr>
              <w:t>***</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vMerge w:val="continue"/>
            <w:tcBorders>
              <w:top w:val="nil"/>
              <w:bottom w:val="nil"/>
              <w:right w:val="single" w:color="auto" w:sz="4" w:space="0"/>
            </w:tcBorders>
            <w:shd w:val="clear" w:color="auto" w:fill="FFFFFF"/>
            <w:vAlign w:val="center"/>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ascii="Times New Roman" w:hAnsi="Times New Roman" w:eastAsia="宋体" w:cs="Times New Roman"/>
                <w:kern w:val="0"/>
                <w:sz w:val="18"/>
                <w:szCs w:val="18"/>
              </w:rPr>
            </w:pPr>
          </w:p>
        </w:tc>
        <w:tc>
          <w:tcPr>
            <w:tcW w:w="2030"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kern w:val="0"/>
                <w:sz w:val="18"/>
                <w:szCs w:val="18"/>
              </w:rPr>
              <w:t>（</w:t>
            </w:r>
            <w:r>
              <w:rPr>
                <w:rFonts w:hint="eastAsia" w:ascii="Times New Roman" w:hAnsi="Times New Roman" w:eastAsia="宋体" w:cs="Times New Roman"/>
                <w:bCs/>
                <w:sz w:val="18"/>
                <w:szCs w:val="18"/>
                <w:lang w:bidi="ar"/>
              </w:rPr>
              <w:t>0.125</w:t>
            </w:r>
            <w:r>
              <w:rPr>
                <w:rFonts w:hint="eastAsia" w:ascii="Times New Roman" w:hAnsi="Times New Roman" w:eastAsia="宋体" w:cs="Times New Roman"/>
                <w:kern w:val="0"/>
                <w:sz w:val="18"/>
                <w:szCs w:val="18"/>
              </w:rPr>
              <w:t>）</w:t>
            </w:r>
          </w:p>
        </w:tc>
        <w:tc>
          <w:tcPr>
            <w:tcW w:w="2030" w:type="dxa"/>
            <w:tcBorders>
              <w:top w:val="nil"/>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kern w:val="0"/>
                <w:sz w:val="18"/>
                <w:szCs w:val="18"/>
              </w:rPr>
              <w:t>（</w:t>
            </w:r>
            <w:r>
              <w:rPr>
                <w:rFonts w:hint="eastAsia" w:ascii="Times New Roman" w:hAnsi="Times New Roman" w:eastAsia="宋体" w:cs="Times New Roman"/>
                <w:bCs/>
                <w:sz w:val="18"/>
                <w:szCs w:val="18"/>
                <w:lang w:bidi="ar"/>
              </w:rPr>
              <w:t>0.123</w:t>
            </w:r>
            <w:r>
              <w:rPr>
                <w:rFonts w:hint="eastAsia" w:ascii="Times New Roman" w:hAnsi="Times New Roman" w:eastAsia="宋体" w:cs="Times New Roman"/>
                <w:kern w:val="0"/>
                <w:sz w:val="18"/>
                <w:szCs w:val="18"/>
              </w:rPr>
              <w:t>）</w:t>
            </w:r>
          </w:p>
        </w:tc>
        <w:tc>
          <w:tcPr>
            <w:tcW w:w="2030" w:type="dxa"/>
            <w:tcBorders>
              <w:top w:val="nil"/>
              <w:left w:val="nil"/>
              <w:bottom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kern w:val="0"/>
                <w:sz w:val="18"/>
                <w:szCs w:val="18"/>
              </w:rPr>
              <w:t>（</w:t>
            </w:r>
            <w:r>
              <w:rPr>
                <w:rFonts w:hint="eastAsia" w:ascii="Times New Roman" w:hAnsi="Times New Roman" w:eastAsia="宋体" w:cs="Times New Roman"/>
                <w:bCs/>
                <w:sz w:val="18"/>
                <w:szCs w:val="18"/>
                <w:lang w:bidi="ar"/>
              </w:rPr>
              <w:t>0.386</w:t>
            </w:r>
            <w:r>
              <w:rPr>
                <w:rFonts w:hint="eastAsia" w:ascii="Times New Roman" w:hAnsi="Times New Roman" w:eastAsia="宋体" w:cs="Times New Roman"/>
                <w:kern w:val="0"/>
                <w:sz w:val="18"/>
                <w:szCs w:val="18"/>
              </w:rPr>
              <w:t>）</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vMerge w:val="restart"/>
            <w:tcBorders>
              <w:top w:val="nil"/>
              <w:bottom w:val="nil"/>
              <w:right w:val="single" w:color="auto" w:sz="4" w:space="0"/>
            </w:tcBorders>
            <w:shd w:val="clear" w:color="auto" w:fill="FFFFFF"/>
            <w:vAlign w:val="center"/>
          </w:tcPr>
          <w:p>
            <w:pPr>
              <w:keepNext w:val="0"/>
              <w:keepLines w:val="0"/>
              <w:pageBreakBefore w:val="0"/>
              <w:widowControl w:val="0"/>
              <w:kinsoku/>
              <w:wordWrap/>
              <w:overflowPunct/>
              <w:topLinePunct w:val="0"/>
              <w:bidi w:val="0"/>
              <w:adjustRightInd/>
              <w:snapToGrid/>
              <w:spacing w:line="300" w:lineRule="exact"/>
              <w:jc w:val="both"/>
              <w:textAlignment w:val="auto"/>
              <w:rPr>
                <w:rFonts w:hint="eastAsia" w:ascii="Times New Roman" w:hAnsi="Times New Roman" w:eastAsia="宋体" w:cs="Times New Roman"/>
                <w:bCs/>
                <w:sz w:val="18"/>
                <w:szCs w:val="18"/>
                <w:lang w:val="en-US" w:eastAsia="zh-CN"/>
              </w:rPr>
            </w:pPr>
            <w:r>
              <w:rPr>
                <w:rFonts w:hint="eastAsia" w:ascii="Times New Roman" w:hAnsi="Times New Roman" w:eastAsia="宋体" w:cs="Times New Roman"/>
                <w:bCs/>
                <w:sz w:val="18"/>
                <w:szCs w:val="18"/>
                <w:lang w:bidi="ar"/>
              </w:rPr>
              <w:t>农村金融机构规模</w:t>
            </w:r>
            <w:r>
              <w:rPr>
                <w:rFonts w:hint="eastAsia" w:ascii="Times New Roman" w:hAnsi="Times New Roman" w:eastAsia="宋体" w:cs="Times New Roman"/>
                <w:bCs/>
                <w:sz w:val="18"/>
                <w:szCs w:val="18"/>
                <w:lang w:val="en-US" w:eastAsia="zh-CN" w:bidi="ar"/>
              </w:rPr>
              <w:t>经济</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ascii="Times New Roman" w:hAnsi="Times New Roman" w:eastAsia="宋体" w:cs="Times New Roman"/>
                <w:kern w:val="0"/>
                <w:sz w:val="18"/>
                <w:szCs w:val="18"/>
              </w:rPr>
            </w:pPr>
          </w:p>
        </w:tc>
        <w:tc>
          <w:tcPr>
            <w:tcW w:w="2030"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0.005</w:t>
            </w:r>
          </w:p>
        </w:tc>
        <w:tc>
          <w:tcPr>
            <w:tcW w:w="2030" w:type="dxa"/>
            <w:tcBorders>
              <w:top w:val="nil"/>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0.158</w:t>
            </w:r>
            <w:r>
              <w:rPr>
                <w:rFonts w:hint="eastAsia" w:ascii="Times New Roman" w:hAnsi="Times New Roman" w:eastAsia="宋体" w:cs="Times New Roman"/>
                <w:bCs/>
                <w:sz w:val="18"/>
                <w:szCs w:val="18"/>
                <w:vertAlign w:val="superscript"/>
                <w:lang w:bidi="ar"/>
              </w:rPr>
              <w:t>***</w:t>
            </w:r>
          </w:p>
        </w:tc>
        <w:tc>
          <w:tcPr>
            <w:tcW w:w="2030" w:type="dxa"/>
            <w:tcBorders>
              <w:top w:val="nil"/>
              <w:left w:val="nil"/>
              <w:bottom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rPr>
              <w:t>−</w:t>
            </w:r>
            <w:r>
              <w:rPr>
                <w:rFonts w:hint="eastAsia" w:ascii="Times New Roman" w:hAnsi="Times New Roman" w:eastAsia="宋体" w:cs="Times New Roman"/>
                <w:bCs/>
                <w:sz w:val="18"/>
                <w:szCs w:val="18"/>
                <w:lang w:bidi="ar"/>
              </w:rPr>
              <w:t>0.194</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vMerge w:val="continue"/>
            <w:tcBorders>
              <w:top w:val="nil"/>
              <w:bottom w:val="nil"/>
              <w:right w:val="single" w:color="auto" w:sz="4" w:space="0"/>
            </w:tcBorders>
            <w:shd w:val="clear" w:color="auto" w:fill="FFFFFF"/>
            <w:vAlign w:val="center"/>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ascii="Times New Roman" w:hAnsi="Times New Roman" w:eastAsia="宋体" w:cs="Times New Roman"/>
                <w:kern w:val="0"/>
                <w:sz w:val="18"/>
                <w:szCs w:val="18"/>
              </w:rPr>
            </w:pPr>
          </w:p>
        </w:tc>
        <w:tc>
          <w:tcPr>
            <w:tcW w:w="2030"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kern w:val="0"/>
                <w:sz w:val="18"/>
                <w:szCs w:val="18"/>
              </w:rPr>
              <w:t>（</w:t>
            </w:r>
            <w:r>
              <w:rPr>
                <w:rFonts w:hint="eastAsia" w:ascii="Times New Roman" w:hAnsi="Times New Roman" w:eastAsia="宋体" w:cs="Times New Roman"/>
                <w:bCs/>
                <w:sz w:val="18"/>
                <w:szCs w:val="18"/>
                <w:lang w:bidi="ar"/>
              </w:rPr>
              <w:t>0.105</w:t>
            </w:r>
            <w:r>
              <w:rPr>
                <w:rFonts w:hint="eastAsia" w:ascii="Times New Roman" w:hAnsi="Times New Roman" w:eastAsia="宋体" w:cs="Times New Roman"/>
                <w:kern w:val="0"/>
                <w:sz w:val="18"/>
                <w:szCs w:val="18"/>
              </w:rPr>
              <w:t>）</w:t>
            </w:r>
          </w:p>
        </w:tc>
        <w:tc>
          <w:tcPr>
            <w:tcW w:w="2030" w:type="dxa"/>
            <w:tcBorders>
              <w:top w:val="nil"/>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kern w:val="0"/>
                <w:sz w:val="18"/>
                <w:szCs w:val="18"/>
              </w:rPr>
              <w:t>（</w:t>
            </w:r>
            <w:r>
              <w:rPr>
                <w:rFonts w:hint="eastAsia" w:ascii="Times New Roman" w:hAnsi="Times New Roman" w:eastAsia="宋体" w:cs="Times New Roman"/>
                <w:bCs/>
                <w:sz w:val="18"/>
                <w:szCs w:val="18"/>
                <w:lang w:bidi="ar"/>
              </w:rPr>
              <w:t>0.052</w:t>
            </w:r>
            <w:r>
              <w:rPr>
                <w:rFonts w:hint="eastAsia" w:ascii="Times New Roman" w:hAnsi="Times New Roman" w:eastAsia="宋体" w:cs="Times New Roman"/>
                <w:kern w:val="0"/>
                <w:sz w:val="18"/>
                <w:szCs w:val="18"/>
              </w:rPr>
              <w:t>）</w:t>
            </w:r>
          </w:p>
        </w:tc>
        <w:tc>
          <w:tcPr>
            <w:tcW w:w="2030" w:type="dxa"/>
            <w:tcBorders>
              <w:top w:val="nil"/>
              <w:left w:val="nil"/>
              <w:bottom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kern w:val="0"/>
                <w:sz w:val="18"/>
                <w:szCs w:val="18"/>
              </w:rPr>
              <w:t>（</w:t>
            </w:r>
            <w:r>
              <w:rPr>
                <w:rFonts w:hint="eastAsia" w:ascii="Times New Roman" w:hAnsi="Times New Roman" w:eastAsia="宋体" w:cs="Times New Roman"/>
                <w:bCs/>
                <w:sz w:val="18"/>
                <w:szCs w:val="18"/>
                <w:lang w:bidi="ar"/>
              </w:rPr>
              <w:t>0.200</w:t>
            </w:r>
            <w:r>
              <w:rPr>
                <w:rFonts w:hint="eastAsia" w:ascii="Times New Roman" w:hAnsi="Times New Roman" w:eastAsia="宋体" w:cs="Times New Roman"/>
                <w:kern w:val="0"/>
                <w:sz w:val="18"/>
                <w:szCs w:val="18"/>
              </w:rPr>
              <w:t>）</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vMerge w:val="restart"/>
            <w:tcBorders>
              <w:top w:val="nil"/>
              <w:bottom w:val="nil"/>
              <w:right w:val="single" w:color="auto" w:sz="4" w:space="0"/>
            </w:tcBorders>
            <w:shd w:val="clear" w:color="auto" w:fill="FFFFFF"/>
            <w:vAlign w:val="center"/>
          </w:tcPr>
          <w:p>
            <w:pPr>
              <w:keepNext w:val="0"/>
              <w:keepLines w:val="0"/>
              <w:pageBreakBefore w:val="0"/>
              <w:widowControl w:val="0"/>
              <w:kinsoku/>
              <w:wordWrap/>
              <w:overflowPunct/>
              <w:topLinePunct w:val="0"/>
              <w:bidi w:val="0"/>
              <w:adjustRightInd/>
              <w:snapToGrid/>
              <w:spacing w:line="300" w:lineRule="exact"/>
              <w:jc w:val="both"/>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X效率</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ascii="Times New Roman" w:hAnsi="Times New Roman" w:eastAsia="宋体" w:cs="Times New Roman"/>
                <w:kern w:val="0"/>
                <w:sz w:val="18"/>
                <w:szCs w:val="18"/>
              </w:rPr>
            </w:pPr>
          </w:p>
        </w:tc>
        <w:tc>
          <w:tcPr>
            <w:tcW w:w="2030"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rPr>
              <w:t>−</w:t>
            </w:r>
            <w:r>
              <w:rPr>
                <w:rFonts w:hint="eastAsia" w:ascii="Times New Roman" w:hAnsi="Times New Roman" w:eastAsia="宋体" w:cs="Times New Roman"/>
                <w:bCs/>
                <w:sz w:val="18"/>
                <w:szCs w:val="18"/>
                <w:lang w:bidi="ar"/>
              </w:rPr>
              <w:t>0.399</w:t>
            </w:r>
            <w:r>
              <w:rPr>
                <w:rFonts w:hint="eastAsia" w:ascii="Times New Roman" w:hAnsi="Times New Roman" w:eastAsia="宋体" w:cs="Times New Roman"/>
                <w:bCs/>
                <w:sz w:val="18"/>
                <w:szCs w:val="18"/>
                <w:vertAlign w:val="superscript"/>
                <w:lang w:bidi="ar"/>
              </w:rPr>
              <w:t>***</w:t>
            </w:r>
          </w:p>
        </w:tc>
        <w:tc>
          <w:tcPr>
            <w:tcW w:w="2030" w:type="dxa"/>
            <w:tcBorders>
              <w:top w:val="nil"/>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rPr>
              <w:t>−</w:t>
            </w:r>
            <w:r>
              <w:rPr>
                <w:rFonts w:hint="eastAsia" w:ascii="Times New Roman" w:hAnsi="Times New Roman" w:eastAsia="宋体" w:cs="Times New Roman"/>
                <w:bCs/>
                <w:sz w:val="18"/>
                <w:szCs w:val="18"/>
                <w:lang w:bidi="ar"/>
              </w:rPr>
              <w:t>0.002</w:t>
            </w:r>
          </w:p>
        </w:tc>
        <w:tc>
          <w:tcPr>
            <w:tcW w:w="2030" w:type="dxa"/>
            <w:tcBorders>
              <w:top w:val="nil"/>
              <w:left w:val="nil"/>
              <w:bottom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0.115</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vMerge w:val="continue"/>
            <w:tcBorders>
              <w:top w:val="nil"/>
              <w:bottom w:val="nil"/>
              <w:right w:val="single" w:color="auto" w:sz="4" w:space="0"/>
            </w:tcBorders>
            <w:shd w:val="clear" w:color="auto" w:fill="FFFFFF"/>
            <w:vAlign w:val="center"/>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ascii="Times New Roman" w:hAnsi="Times New Roman" w:eastAsia="宋体" w:cs="Times New Roman"/>
                <w:kern w:val="0"/>
                <w:sz w:val="18"/>
                <w:szCs w:val="18"/>
              </w:rPr>
            </w:pPr>
          </w:p>
        </w:tc>
        <w:tc>
          <w:tcPr>
            <w:tcW w:w="2030"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kern w:val="0"/>
                <w:sz w:val="18"/>
                <w:szCs w:val="18"/>
              </w:rPr>
              <w:t>（</w:t>
            </w:r>
            <w:r>
              <w:rPr>
                <w:rFonts w:hint="eastAsia" w:ascii="Times New Roman" w:hAnsi="Times New Roman" w:eastAsia="宋体" w:cs="Times New Roman"/>
                <w:bCs/>
                <w:sz w:val="18"/>
                <w:szCs w:val="18"/>
                <w:lang w:bidi="ar"/>
              </w:rPr>
              <w:t>0.114</w:t>
            </w:r>
            <w:r>
              <w:rPr>
                <w:rFonts w:hint="eastAsia" w:ascii="Times New Roman" w:hAnsi="Times New Roman" w:eastAsia="宋体" w:cs="Times New Roman"/>
                <w:kern w:val="0"/>
                <w:sz w:val="18"/>
                <w:szCs w:val="18"/>
              </w:rPr>
              <w:t>）</w:t>
            </w:r>
          </w:p>
        </w:tc>
        <w:tc>
          <w:tcPr>
            <w:tcW w:w="2030" w:type="dxa"/>
            <w:tcBorders>
              <w:top w:val="nil"/>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kern w:val="0"/>
                <w:sz w:val="18"/>
                <w:szCs w:val="18"/>
              </w:rPr>
              <w:t>（</w:t>
            </w:r>
            <w:r>
              <w:rPr>
                <w:rFonts w:hint="eastAsia" w:ascii="Times New Roman" w:hAnsi="Times New Roman" w:eastAsia="宋体" w:cs="Times New Roman"/>
                <w:bCs/>
                <w:sz w:val="18"/>
                <w:szCs w:val="18"/>
                <w:lang w:bidi="ar"/>
              </w:rPr>
              <w:t>0.085</w:t>
            </w:r>
            <w:r>
              <w:rPr>
                <w:rFonts w:hint="eastAsia" w:ascii="Times New Roman" w:hAnsi="Times New Roman" w:eastAsia="宋体" w:cs="Times New Roman"/>
                <w:kern w:val="0"/>
                <w:sz w:val="18"/>
                <w:szCs w:val="18"/>
              </w:rPr>
              <w:t>）</w:t>
            </w:r>
          </w:p>
        </w:tc>
        <w:tc>
          <w:tcPr>
            <w:tcW w:w="2030" w:type="dxa"/>
            <w:tcBorders>
              <w:top w:val="nil"/>
              <w:left w:val="nil"/>
              <w:bottom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kern w:val="0"/>
                <w:sz w:val="18"/>
                <w:szCs w:val="18"/>
              </w:rPr>
              <w:t>（</w:t>
            </w:r>
            <w:r>
              <w:rPr>
                <w:rFonts w:hint="eastAsia" w:ascii="Times New Roman" w:hAnsi="Times New Roman" w:eastAsia="宋体" w:cs="Times New Roman"/>
                <w:bCs/>
                <w:sz w:val="18"/>
                <w:szCs w:val="18"/>
                <w:lang w:bidi="ar"/>
              </w:rPr>
              <w:t>0.194</w:t>
            </w:r>
            <w:r>
              <w:rPr>
                <w:rFonts w:hint="eastAsia" w:ascii="Times New Roman" w:hAnsi="Times New Roman" w:eastAsia="宋体" w:cs="Times New Roman"/>
                <w:kern w:val="0"/>
                <w:sz w:val="18"/>
                <w:szCs w:val="18"/>
              </w:rPr>
              <w:t>）</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vMerge w:val="restart"/>
            <w:tcBorders>
              <w:top w:val="nil"/>
              <w:bottom w:val="nil"/>
              <w:right w:val="single" w:color="auto" w:sz="4" w:space="0"/>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Times New Roman" w:hAnsi="Times New Roman" w:eastAsia="宋体" w:cs="Times New Roman"/>
                <w:kern w:val="0"/>
                <w:sz w:val="18"/>
                <w:szCs w:val="18"/>
                <w:lang w:val="en-US" w:eastAsia="zh-CN"/>
              </w:rPr>
            </w:pPr>
            <w:r>
              <w:rPr>
                <w:rFonts w:hint="eastAsia" w:ascii="Times New Roman" w:hAnsi="Times New Roman" w:eastAsia="宋体" w:cs="Times New Roman"/>
                <w:bCs/>
                <w:sz w:val="18"/>
                <w:szCs w:val="18"/>
                <w:lang w:val="en-US" w:eastAsia="zh-CN"/>
              </w:rPr>
              <w:t>总指数</w:t>
            </w:r>
            <w:r>
              <w:rPr>
                <w:rFonts w:hint="eastAsia" w:ascii="Times New Roman" w:hAnsi="Times New Roman" w:eastAsia="宋体" w:cs="Times New Roman"/>
                <w:bCs/>
                <w:sz w:val="18"/>
                <w:szCs w:val="18"/>
              </w:rPr>
              <w:t>×</w:t>
            </w:r>
            <w:r>
              <w:rPr>
                <w:rFonts w:hint="eastAsia" w:ascii="Times New Roman" w:hAnsi="Times New Roman" w:eastAsia="宋体" w:cs="Times New Roman"/>
                <w:bCs/>
                <w:sz w:val="18"/>
                <w:szCs w:val="18"/>
                <w:lang w:bidi="ar"/>
              </w:rPr>
              <w:t>农村金融机构规模</w:t>
            </w:r>
            <w:r>
              <w:rPr>
                <w:rFonts w:hint="eastAsia" w:ascii="Times New Roman" w:hAnsi="Times New Roman" w:eastAsia="宋体" w:cs="Times New Roman"/>
                <w:bCs/>
                <w:sz w:val="18"/>
                <w:szCs w:val="18"/>
                <w:lang w:val="en-US" w:eastAsia="zh-CN" w:bidi="ar"/>
              </w:rPr>
              <w:t>经济</w:t>
            </w:r>
          </w:p>
        </w:tc>
        <w:tc>
          <w:tcPr>
            <w:tcW w:w="2030"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0.263</w:t>
            </w:r>
            <w:r>
              <w:rPr>
                <w:rFonts w:hint="eastAsia" w:ascii="Times New Roman" w:hAnsi="Times New Roman" w:eastAsia="宋体" w:cs="Times New Roman"/>
                <w:bCs/>
                <w:sz w:val="18"/>
                <w:szCs w:val="18"/>
                <w:vertAlign w:val="superscript"/>
                <w:lang w:bidi="ar"/>
              </w:rPr>
              <w:t>***</w:t>
            </w:r>
          </w:p>
        </w:tc>
        <w:tc>
          <w:tcPr>
            <w:tcW w:w="2030" w:type="dxa"/>
            <w:tcBorders>
              <w:top w:val="nil"/>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0.177</w:t>
            </w:r>
            <w:r>
              <w:rPr>
                <w:rFonts w:hint="eastAsia" w:ascii="Times New Roman" w:hAnsi="Times New Roman" w:eastAsia="宋体" w:cs="Times New Roman"/>
                <w:bCs/>
                <w:sz w:val="18"/>
                <w:szCs w:val="18"/>
                <w:vertAlign w:val="superscript"/>
                <w:lang w:bidi="ar"/>
              </w:rPr>
              <w:t>***</w:t>
            </w:r>
          </w:p>
        </w:tc>
        <w:tc>
          <w:tcPr>
            <w:tcW w:w="2030" w:type="dxa"/>
            <w:tcBorders>
              <w:top w:val="nil"/>
              <w:left w:val="nil"/>
              <w:bottom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0.969</w:t>
            </w:r>
            <w:r>
              <w:rPr>
                <w:rFonts w:hint="eastAsia" w:ascii="Times New Roman" w:hAnsi="Times New Roman" w:eastAsia="宋体" w:cs="Times New Roman"/>
                <w:bCs/>
                <w:sz w:val="18"/>
                <w:szCs w:val="18"/>
                <w:vertAlign w:val="superscript"/>
                <w:lang w:bidi="ar"/>
              </w:rPr>
              <w:t>***</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vMerge w:val="continue"/>
            <w:tcBorders>
              <w:top w:val="nil"/>
              <w:bottom w:val="nil"/>
              <w:right w:val="single" w:color="auto" w:sz="4" w:space="0"/>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ascii="Times New Roman" w:hAnsi="Times New Roman" w:eastAsia="宋体" w:cs="Times New Roman"/>
                <w:kern w:val="0"/>
                <w:sz w:val="18"/>
                <w:szCs w:val="18"/>
              </w:rPr>
            </w:pPr>
          </w:p>
        </w:tc>
        <w:tc>
          <w:tcPr>
            <w:tcW w:w="2030"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kern w:val="0"/>
                <w:sz w:val="18"/>
                <w:szCs w:val="18"/>
              </w:rPr>
              <w:t>（</w:t>
            </w:r>
            <w:r>
              <w:rPr>
                <w:rFonts w:hint="eastAsia" w:ascii="Times New Roman" w:hAnsi="Times New Roman" w:eastAsia="宋体" w:cs="Times New Roman"/>
                <w:bCs/>
                <w:sz w:val="18"/>
                <w:szCs w:val="18"/>
                <w:lang w:bidi="ar"/>
              </w:rPr>
              <w:t>0.042</w:t>
            </w:r>
            <w:r>
              <w:rPr>
                <w:rFonts w:hint="eastAsia" w:ascii="Times New Roman" w:hAnsi="Times New Roman" w:eastAsia="宋体" w:cs="Times New Roman"/>
                <w:kern w:val="0"/>
                <w:sz w:val="18"/>
                <w:szCs w:val="18"/>
              </w:rPr>
              <w:t>）</w:t>
            </w:r>
          </w:p>
        </w:tc>
        <w:tc>
          <w:tcPr>
            <w:tcW w:w="2030" w:type="dxa"/>
            <w:tcBorders>
              <w:top w:val="nil"/>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kern w:val="0"/>
                <w:sz w:val="18"/>
                <w:szCs w:val="18"/>
              </w:rPr>
              <w:t>（</w:t>
            </w:r>
            <w:r>
              <w:rPr>
                <w:rFonts w:hint="eastAsia" w:ascii="Times New Roman" w:hAnsi="Times New Roman" w:eastAsia="宋体" w:cs="Times New Roman"/>
                <w:bCs/>
                <w:sz w:val="18"/>
                <w:szCs w:val="18"/>
                <w:lang w:bidi="ar"/>
              </w:rPr>
              <w:t>0.037</w:t>
            </w:r>
            <w:r>
              <w:rPr>
                <w:rFonts w:hint="eastAsia" w:ascii="Times New Roman" w:hAnsi="Times New Roman" w:eastAsia="宋体" w:cs="Times New Roman"/>
                <w:kern w:val="0"/>
                <w:sz w:val="18"/>
                <w:szCs w:val="18"/>
              </w:rPr>
              <w:t>）</w:t>
            </w:r>
          </w:p>
        </w:tc>
        <w:tc>
          <w:tcPr>
            <w:tcW w:w="2030" w:type="dxa"/>
            <w:tcBorders>
              <w:top w:val="nil"/>
              <w:left w:val="nil"/>
              <w:bottom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kern w:val="0"/>
                <w:sz w:val="18"/>
                <w:szCs w:val="18"/>
              </w:rPr>
              <w:t>（</w:t>
            </w:r>
            <w:r>
              <w:rPr>
                <w:rFonts w:hint="eastAsia" w:ascii="Times New Roman" w:hAnsi="Times New Roman" w:eastAsia="宋体" w:cs="Times New Roman"/>
                <w:bCs/>
                <w:sz w:val="18"/>
                <w:szCs w:val="18"/>
                <w:lang w:bidi="ar"/>
              </w:rPr>
              <w:t>0.149</w:t>
            </w:r>
            <w:r>
              <w:rPr>
                <w:rFonts w:hint="eastAsia" w:ascii="Times New Roman" w:hAnsi="Times New Roman" w:eastAsia="宋体" w:cs="Times New Roman"/>
                <w:kern w:val="0"/>
                <w:sz w:val="18"/>
                <w:szCs w:val="18"/>
              </w:rPr>
              <w:t>）</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vMerge w:val="restart"/>
            <w:tcBorders>
              <w:top w:val="nil"/>
              <w:bottom w:val="single" w:color="auto" w:sz="4" w:space="0"/>
              <w:right w:val="single" w:color="auto" w:sz="4" w:space="0"/>
            </w:tcBorders>
            <w:shd w:val="clear" w:color="auto" w:fill="FFFFFF"/>
          </w:tcPr>
          <w:p>
            <w:pPr>
              <w:keepNext w:val="0"/>
              <w:keepLines w:val="0"/>
              <w:pageBreakBefore w:val="0"/>
              <w:widowControl w:val="0"/>
              <w:kinsoku/>
              <w:wordWrap/>
              <w:overflowPunct/>
              <w:topLinePunct w:val="0"/>
              <w:bidi w:val="0"/>
              <w:adjustRightInd/>
              <w:snapToGrid/>
              <w:spacing w:line="300" w:lineRule="exact"/>
              <w:jc w:val="both"/>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lang w:val="en-US" w:eastAsia="zh-CN"/>
              </w:rPr>
              <w:t>总指数</w:t>
            </w:r>
            <w:r>
              <w:rPr>
                <w:rFonts w:hint="eastAsia" w:ascii="Times New Roman" w:hAnsi="Times New Roman" w:eastAsia="宋体" w:cs="Times New Roman"/>
                <w:bCs/>
                <w:sz w:val="18"/>
                <w:szCs w:val="18"/>
              </w:rPr>
              <w:t>×X效率</w:t>
            </w:r>
          </w:p>
        </w:tc>
        <w:tc>
          <w:tcPr>
            <w:tcW w:w="2030"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0.072</w:t>
            </w:r>
          </w:p>
        </w:tc>
        <w:tc>
          <w:tcPr>
            <w:tcW w:w="2030" w:type="dxa"/>
            <w:tcBorders>
              <w:top w:val="nil"/>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0.231</w:t>
            </w:r>
            <w:r>
              <w:rPr>
                <w:rFonts w:hint="eastAsia" w:ascii="Times New Roman" w:hAnsi="Times New Roman" w:eastAsia="宋体" w:cs="Times New Roman"/>
                <w:bCs/>
                <w:sz w:val="18"/>
                <w:szCs w:val="18"/>
                <w:vertAlign w:val="superscript"/>
                <w:lang w:bidi="ar"/>
              </w:rPr>
              <w:t>***</w:t>
            </w:r>
          </w:p>
        </w:tc>
        <w:tc>
          <w:tcPr>
            <w:tcW w:w="2030" w:type="dxa"/>
            <w:tcBorders>
              <w:top w:val="nil"/>
              <w:left w:val="nil"/>
              <w:bottom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0.090</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vMerge w:val="continue"/>
            <w:tcBorders>
              <w:top w:val="single" w:color="auto" w:sz="4" w:space="0"/>
              <w:bottom w:val="single" w:color="auto" w:sz="4" w:space="0"/>
              <w:right w:val="single" w:color="auto" w:sz="4" w:space="0"/>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ascii="Times New Roman" w:hAnsi="Times New Roman" w:eastAsia="宋体" w:cs="Times New Roman"/>
                <w:kern w:val="0"/>
                <w:sz w:val="18"/>
                <w:szCs w:val="18"/>
              </w:rPr>
            </w:pPr>
          </w:p>
        </w:tc>
        <w:tc>
          <w:tcPr>
            <w:tcW w:w="2030" w:type="dxa"/>
            <w:tcBorders>
              <w:top w:val="nil"/>
              <w:left w:val="single" w:color="auto" w:sz="4" w:space="0"/>
              <w:bottom w:val="single" w:color="auto" w:sz="4" w:space="0"/>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kern w:val="0"/>
                <w:sz w:val="18"/>
                <w:szCs w:val="18"/>
              </w:rPr>
              <w:t>（</w:t>
            </w:r>
            <w:r>
              <w:rPr>
                <w:rFonts w:hint="eastAsia" w:ascii="Times New Roman" w:hAnsi="Times New Roman" w:eastAsia="宋体" w:cs="Times New Roman"/>
                <w:bCs/>
                <w:sz w:val="18"/>
                <w:szCs w:val="18"/>
                <w:lang w:bidi="ar"/>
              </w:rPr>
              <w:t>0.087</w:t>
            </w:r>
            <w:r>
              <w:rPr>
                <w:rFonts w:hint="eastAsia" w:ascii="Times New Roman" w:hAnsi="Times New Roman" w:eastAsia="宋体" w:cs="Times New Roman"/>
                <w:kern w:val="0"/>
                <w:sz w:val="18"/>
                <w:szCs w:val="18"/>
              </w:rPr>
              <w:t>）</w:t>
            </w:r>
          </w:p>
        </w:tc>
        <w:tc>
          <w:tcPr>
            <w:tcW w:w="2030" w:type="dxa"/>
            <w:tcBorders>
              <w:top w:val="nil"/>
              <w:left w:val="nil"/>
              <w:bottom w:val="single" w:color="auto" w:sz="4" w:space="0"/>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kern w:val="0"/>
                <w:sz w:val="18"/>
                <w:szCs w:val="18"/>
              </w:rPr>
              <w:t>（</w:t>
            </w:r>
            <w:r>
              <w:rPr>
                <w:rFonts w:hint="eastAsia" w:ascii="Times New Roman" w:hAnsi="Times New Roman" w:eastAsia="宋体" w:cs="Times New Roman"/>
                <w:bCs/>
                <w:sz w:val="18"/>
                <w:szCs w:val="18"/>
                <w:lang w:bidi="ar"/>
              </w:rPr>
              <w:t>0.071</w:t>
            </w:r>
            <w:r>
              <w:rPr>
                <w:rFonts w:hint="eastAsia" w:ascii="Times New Roman" w:hAnsi="Times New Roman" w:eastAsia="宋体" w:cs="Times New Roman"/>
                <w:kern w:val="0"/>
                <w:sz w:val="18"/>
                <w:szCs w:val="18"/>
              </w:rPr>
              <w:t>）</w:t>
            </w:r>
          </w:p>
        </w:tc>
        <w:tc>
          <w:tcPr>
            <w:tcW w:w="2030" w:type="dxa"/>
            <w:tcBorders>
              <w:top w:val="nil"/>
              <w:left w:val="nil"/>
              <w:bottom w:val="single" w:color="auto" w:sz="4" w:space="0"/>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kern w:val="0"/>
                <w:sz w:val="18"/>
                <w:szCs w:val="18"/>
              </w:rPr>
              <w:t>（</w:t>
            </w:r>
            <w:r>
              <w:rPr>
                <w:rFonts w:hint="eastAsia" w:ascii="Times New Roman" w:hAnsi="Times New Roman" w:eastAsia="宋体" w:cs="Times New Roman"/>
                <w:bCs/>
                <w:sz w:val="18"/>
                <w:szCs w:val="18"/>
                <w:lang w:bidi="ar"/>
              </w:rPr>
              <w:t>0.233</w:t>
            </w:r>
            <w:r>
              <w:rPr>
                <w:rFonts w:hint="eastAsia" w:ascii="Times New Roman" w:hAnsi="Times New Roman" w:eastAsia="宋体" w:cs="Times New Roman"/>
                <w:kern w:val="0"/>
                <w:sz w:val="18"/>
                <w:szCs w:val="18"/>
              </w:rPr>
              <w:t>）</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tcBorders>
              <w:top w:val="single" w:color="auto" w:sz="4" w:space="0"/>
              <w:bottom w:val="nil"/>
              <w:right w:val="single" w:color="auto" w:sz="4" w:space="0"/>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控制变量</w:t>
            </w:r>
          </w:p>
        </w:tc>
        <w:tc>
          <w:tcPr>
            <w:tcW w:w="2030" w:type="dxa"/>
            <w:tcBorders>
              <w:top w:val="single" w:color="auto" w:sz="4" w:space="0"/>
              <w:left w:val="single" w:color="auto" w:sz="4" w:space="0"/>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已控制</w:t>
            </w:r>
          </w:p>
        </w:tc>
        <w:tc>
          <w:tcPr>
            <w:tcW w:w="2030" w:type="dxa"/>
            <w:tcBorders>
              <w:top w:val="single" w:color="auto" w:sz="4" w:space="0"/>
              <w:left w:val="nil"/>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已控制</w:t>
            </w:r>
          </w:p>
        </w:tc>
        <w:tc>
          <w:tcPr>
            <w:tcW w:w="2030" w:type="dxa"/>
            <w:tcBorders>
              <w:top w:val="single" w:color="auto" w:sz="4" w:space="0"/>
              <w:left w:val="nil"/>
              <w:bottom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已控制</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tcBorders>
              <w:top w:val="nil"/>
              <w:bottom w:val="nil"/>
              <w:right w:val="single" w:color="auto" w:sz="4" w:space="0"/>
            </w:tcBorders>
            <w:shd w:val="clear" w:color="auto" w:fill="FFFFFF"/>
          </w:tcPr>
          <w:p>
            <w:pPr>
              <w:keepNext w:val="0"/>
              <w:keepLines w:val="0"/>
              <w:pageBreakBefore w:val="0"/>
              <w:widowControl w:val="0"/>
              <w:kinsoku/>
              <w:wordWrap/>
              <w:overflowPunct/>
              <w:topLinePunct w:val="0"/>
              <w:bidi w:val="0"/>
              <w:adjustRightInd/>
              <w:snapToGrid/>
              <w:spacing w:line="300" w:lineRule="exact"/>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个体固定效应</w:t>
            </w:r>
          </w:p>
        </w:tc>
        <w:tc>
          <w:tcPr>
            <w:tcW w:w="2030"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已控制</w:t>
            </w:r>
          </w:p>
        </w:tc>
        <w:tc>
          <w:tcPr>
            <w:tcW w:w="2030" w:type="dxa"/>
            <w:tcBorders>
              <w:top w:val="nil"/>
              <w:left w:val="nil"/>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已控制</w:t>
            </w:r>
          </w:p>
        </w:tc>
        <w:tc>
          <w:tcPr>
            <w:tcW w:w="2030" w:type="dxa"/>
            <w:tcBorders>
              <w:top w:val="nil"/>
              <w:left w:val="nil"/>
              <w:bottom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已控制</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tcBorders>
              <w:top w:val="nil"/>
              <w:bottom w:val="nil"/>
              <w:right w:val="single" w:color="auto" w:sz="4" w:space="0"/>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观测数值</w:t>
            </w:r>
          </w:p>
        </w:tc>
        <w:tc>
          <w:tcPr>
            <w:tcW w:w="2030"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880</w:t>
            </w:r>
          </w:p>
        </w:tc>
        <w:tc>
          <w:tcPr>
            <w:tcW w:w="2030" w:type="dxa"/>
            <w:tcBorders>
              <w:top w:val="nil"/>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284</w:t>
            </w:r>
          </w:p>
        </w:tc>
        <w:tc>
          <w:tcPr>
            <w:tcW w:w="2030" w:type="dxa"/>
            <w:tcBorders>
              <w:top w:val="nil"/>
              <w:left w:val="nil"/>
              <w:bottom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205</w:t>
            </w:r>
          </w:p>
        </w:tc>
      </w:tr>
      <w:tr>
        <w:tblPrEx>
          <w:tblBorders>
            <w:top w:val="single" w:color="auto" w:sz="8"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536" w:type="dxa"/>
            <w:tcBorders>
              <w:top w:val="nil"/>
              <w:right w:val="single" w:color="auto" w:sz="4" w:space="0"/>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ascii="Times New Roman" w:hAnsi="Times New Roman" w:eastAsia="宋体" w:cs="Times New Roman"/>
                <w:kern w:val="0"/>
                <w:sz w:val="18"/>
                <w:szCs w:val="18"/>
              </w:rPr>
            </w:pPr>
            <w:r>
              <w:rPr>
                <w:rFonts w:hint="default" w:ascii="Times New Roman" w:hAnsi="Times New Roman" w:eastAsia="宋体" w:cs="Times New Roman"/>
                <w:bCs/>
                <w:sz w:val="18"/>
                <w:szCs w:val="18"/>
              </w:rPr>
              <w:t>R</w:t>
            </w:r>
            <w:r>
              <w:rPr>
                <w:rFonts w:hint="default" w:ascii="Times New Roman" w:hAnsi="Times New Roman" w:eastAsia="宋体" w:cs="Times New Roman"/>
                <w:bCs/>
                <w:sz w:val="18"/>
                <w:szCs w:val="18"/>
                <w:vertAlign w:val="superscript"/>
              </w:rPr>
              <w:t>2</w:t>
            </w:r>
          </w:p>
        </w:tc>
        <w:tc>
          <w:tcPr>
            <w:tcW w:w="2030" w:type="dxa"/>
            <w:tcBorders>
              <w:top w:val="nil"/>
              <w:left w:val="single" w:color="auto" w:sz="4" w:space="0"/>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0.838</w:t>
            </w:r>
          </w:p>
        </w:tc>
        <w:tc>
          <w:tcPr>
            <w:tcW w:w="2030" w:type="dxa"/>
            <w:tcBorders>
              <w:top w:val="nil"/>
              <w:left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0.850</w:t>
            </w:r>
          </w:p>
        </w:tc>
        <w:tc>
          <w:tcPr>
            <w:tcW w:w="2030" w:type="dxa"/>
            <w:tcBorders>
              <w:top w:val="nil"/>
              <w:lef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lang w:bidi="ar"/>
              </w:rPr>
            </w:pPr>
            <w:r>
              <w:rPr>
                <w:rFonts w:hint="eastAsia" w:ascii="Times New Roman" w:hAnsi="Times New Roman" w:eastAsia="宋体" w:cs="Times New Roman"/>
                <w:bCs/>
                <w:sz w:val="18"/>
                <w:szCs w:val="18"/>
                <w:lang w:bidi="ar"/>
              </w:rPr>
              <w:t>0.901</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eastAsia" w:ascii="Times New Roman" w:hAnsi="Times New Roman" w:eastAsia="宋体" w:cs="Times New Roman"/>
          <w:color w:val="000000"/>
          <w:sz w:val="18"/>
          <w:szCs w:val="16"/>
        </w:rPr>
      </w:pPr>
      <w:r>
        <w:rPr>
          <w:rFonts w:hint="eastAsia" w:ascii="Times New Roman" w:hAnsi="Times New Roman" w:eastAsia="宋体" w:cs="Times New Roman"/>
          <w:color w:val="000000"/>
          <w:sz w:val="18"/>
          <w:szCs w:val="16"/>
        </w:rPr>
        <w:t>注：①</w:t>
      </w:r>
      <w:r>
        <w:rPr>
          <w:rFonts w:hint="eastAsia" w:ascii="Times New Roman" w:hAnsi="Times New Roman" w:eastAsia="宋体" w:cs="Times New Roman"/>
          <w:color w:val="000000"/>
          <w:sz w:val="18"/>
          <w:szCs w:val="16"/>
          <w:vertAlign w:val="baseline"/>
        </w:rPr>
        <w:t>*</w:t>
      </w:r>
      <w:r>
        <w:rPr>
          <w:rFonts w:ascii="Times New Roman" w:hAnsi="Times New Roman" w:eastAsia="宋体" w:cs="Times New Roman"/>
          <w:color w:val="000000"/>
          <w:sz w:val="18"/>
          <w:szCs w:val="16"/>
          <w:vertAlign w:val="baseline"/>
        </w:rPr>
        <w:t>、</w:t>
      </w:r>
      <w:r>
        <w:rPr>
          <w:rFonts w:hint="eastAsia" w:ascii="Times New Roman" w:hAnsi="Times New Roman" w:eastAsia="宋体" w:cs="Times New Roman"/>
          <w:color w:val="000000"/>
          <w:sz w:val="18"/>
          <w:szCs w:val="16"/>
          <w:vertAlign w:val="baseline"/>
        </w:rPr>
        <w:t>**</w:t>
      </w:r>
      <w:r>
        <w:rPr>
          <w:rFonts w:ascii="Times New Roman" w:hAnsi="Times New Roman" w:eastAsia="宋体" w:cs="Times New Roman"/>
          <w:color w:val="000000"/>
          <w:sz w:val="18"/>
          <w:szCs w:val="16"/>
          <w:vertAlign w:val="baseline"/>
        </w:rPr>
        <w:t>和</w:t>
      </w:r>
      <w:r>
        <w:rPr>
          <w:rFonts w:hint="eastAsia" w:ascii="Times New Roman" w:hAnsi="Times New Roman" w:eastAsia="宋体" w:cs="Times New Roman"/>
          <w:color w:val="000000"/>
          <w:sz w:val="18"/>
          <w:szCs w:val="16"/>
          <w:vertAlign w:val="baseline"/>
        </w:rPr>
        <w:t>***</w:t>
      </w:r>
      <w:r>
        <w:rPr>
          <w:rFonts w:ascii="Times New Roman" w:hAnsi="Times New Roman" w:eastAsia="宋体" w:cs="Times New Roman"/>
          <w:color w:val="000000"/>
          <w:sz w:val="18"/>
          <w:szCs w:val="16"/>
          <w:vertAlign w:val="baseline"/>
        </w:rPr>
        <w:t>代表显著</w:t>
      </w:r>
      <w:r>
        <w:rPr>
          <w:rFonts w:ascii="Times New Roman" w:hAnsi="Times New Roman" w:eastAsia="宋体" w:cs="Times New Roman"/>
          <w:color w:val="000000"/>
          <w:sz w:val="18"/>
          <w:szCs w:val="16"/>
        </w:rPr>
        <w:t>性水平10%、5%和1%</w:t>
      </w:r>
      <w:r>
        <w:rPr>
          <w:rFonts w:hint="eastAsia" w:ascii="Times New Roman" w:hAnsi="Times New Roman" w:eastAsia="宋体" w:cs="Times New Roman"/>
          <w:color w:val="000000"/>
          <w:sz w:val="18"/>
          <w:szCs w:val="16"/>
        </w:rPr>
        <w:t>。②括号内的值为稳健标准误。③控制变量与基准回归相同。</w:t>
      </w:r>
    </w:p>
    <w:p>
      <w:pPr>
        <w:rPr>
          <w:rFonts w:hint="eastAsia" w:ascii="Times New Roman" w:hAnsi="Times New Roman" w:eastAsia="宋体" w:cs="Times New Roman"/>
          <w:color w:val="000000"/>
          <w:sz w:val="18"/>
          <w:szCs w:val="16"/>
        </w:rPr>
      </w:pPr>
    </w:p>
    <w:p>
      <w:pPr>
        <w:widowControl/>
        <w:numPr>
          <w:ilvl w:val="255"/>
          <w:numId w:val="0"/>
        </w:numPr>
        <w:spacing w:line="240" w:lineRule="atLeast"/>
        <w:ind w:firstLine="384" w:firstLineChars="200"/>
        <w:rPr>
          <w:rFonts w:hint="eastAsia" w:ascii="Times New Roman" w:hAnsi="Times New Roman" w:eastAsia="宋体" w:cs="Times New Roman"/>
          <w:color w:val="000000"/>
          <w:spacing w:val="-2"/>
          <w:sz w:val="21"/>
          <w:szCs w:val="21"/>
          <w:shd w:val="clear" w:color="auto" w:fill="FFFFFF"/>
          <w:lang w:val="en-US" w:eastAsia="zh-CN"/>
        </w:rPr>
      </w:pPr>
      <w:r>
        <w:rPr>
          <w:rFonts w:hint="eastAsia" w:ascii="Times New Roman" w:hAnsi="Times New Roman" w:eastAsia="宋体" w:cs="Times New Roman"/>
          <w:color w:val="000000"/>
          <w:spacing w:val="-2"/>
          <w:sz w:val="21"/>
          <w:szCs w:val="21"/>
          <w:shd w:val="clear" w:color="auto" w:fill="FFFFFF"/>
        </w:rPr>
        <w:t>附表</w:t>
      </w:r>
      <w:r>
        <w:rPr>
          <w:rFonts w:hint="eastAsia" w:ascii="Times New Roman" w:hAnsi="Times New Roman" w:eastAsia="宋体" w:cs="Times New Roman"/>
          <w:color w:val="000000"/>
          <w:spacing w:val="-2"/>
          <w:sz w:val="21"/>
          <w:szCs w:val="21"/>
          <w:shd w:val="clear" w:color="auto" w:fill="FFFFFF"/>
          <w:lang w:val="en-US" w:eastAsia="zh-CN"/>
        </w:rPr>
        <w:t>2</w:t>
      </w:r>
      <w:r>
        <w:rPr>
          <w:rFonts w:hint="eastAsia" w:ascii="Times New Roman" w:hAnsi="Times New Roman" w:eastAsia="宋体" w:cs="Times New Roman"/>
          <w:color w:val="000000"/>
          <w:spacing w:val="-2"/>
          <w:sz w:val="21"/>
          <w:szCs w:val="21"/>
          <w:shd w:val="clear" w:color="auto" w:fill="FFFFFF"/>
        </w:rPr>
        <w:t>是</w:t>
      </w:r>
      <w:r>
        <w:rPr>
          <w:rFonts w:hint="eastAsia" w:ascii="Times New Roman" w:hAnsi="Times New Roman" w:eastAsia="宋体" w:cs="Times New Roman"/>
          <w:color w:val="000000"/>
          <w:spacing w:val="-2"/>
          <w:sz w:val="21"/>
          <w:szCs w:val="21"/>
          <w:shd w:val="clear" w:color="auto" w:fill="FFFFFF"/>
          <w:lang w:val="en-US" w:eastAsia="zh-CN"/>
        </w:rPr>
        <w:t>本文五、进一步分析中的（二）数字金融对农村金融市场“价格”的影响部分的回归结果。附表2的（1）</w:t>
      </w:r>
      <w:r>
        <w:rPr>
          <w:rFonts w:hint="eastAsia" w:ascii="Times New Roman" w:hAnsi="Times New Roman" w:eastAsia="宋体" w:cs="Times New Roman"/>
          <w:color w:val="000000"/>
          <w:spacing w:val="-2"/>
          <w:sz w:val="21"/>
          <w:szCs w:val="21"/>
          <w:shd w:val="clear" w:color="auto" w:fill="FFFFFF"/>
          <w:lang w:val="en-US" w:eastAsia="zh-CN"/>
        </w:rPr>
        <w:t>～</w:t>
      </w:r>
      <w:r>
        <w:rPr>
          <w:rFonts w:hint="eastAsia" w:ascii="Times New Roman" w:hAnsi="Times New Roman" w:eastAsia="宋体" w:cs="Times New Roman"/>
          <w:color w:val="000000"/>
          <w:spacing w:val="-2"/>
          <w:sz w:val="21"/>
          <w:szCs w:val="21"/>
          <w:shd w:val="clear" w:color="auto" w:fill="FFFFFF"/>
          <w:lang w:val="en-US" w:eastAsia="zh-CN"/>
        </w:rPr>
        <w:t>（4）列分别为数字金融总指数和各子指标的回归结果，均显著为负。这表明，数字金融的发展会降低农村金融市场的贷款利率水平，说明数字金融的发展使得农村信贷服务实现了“惠”。</w:t>
      </w:r>
    </w:p>
    <w:p>
      <w:pPr>
        <w:numPr>
          <w:ilvl w:val="255"/>
          <w:numId w:val="0"/>
        </w:numPr>
        <w:spacing w:line="240" w:lineRule="atLeast"/>
        <w:ind w:firstLine="830" w:firstLineChars="500"/>
        <w:jc w:val="both"/>
        <w:rPr>
          <w:rFonts w:hint="eastAsia" w:ascii="Times New Roman" w:hAnsi="Times New Roman" w:eastAsia="黑体" w:cs="Times New Roman"/>
          <w:bCs/>
          <w:color w:val="000000"/>
          <w:sz w:val="18"/>
          <w:szCs w:val="18"/>
          <w:lang w:val="en-US" w:eastAsia="zh-CN"/>
        </w:rPr>
      </w:pPr>
    </w:p>
    <w:p>
      <w:pPr>
        <w:numPr>
          <w:ilvl w:val="255"/>
          <w:numId w:val="0"/>
        </w:numPr>
        <w:spacing w:line="240" w:lineRule="atLeast"/>
        <w:ind w:firstLine="830" w:firstLineChars="500"/>
        <w:jc w:val="both"/>
        <w:rPr>
          <w:rFonts w:hint="eastAsia" w:ascii="Times New Roman" w:hAnsi="Times New Roman" w:eastAsia="黑体" w:cs="Times New Roman"/>
          <w:bCs/>
          <w:color w:val="000000"/>
          <w:sz w:val="18"/>
          <w:szCs w:val="18"/>
          <w:lang w:val="en-US" w:eastAsia="zh-CN"/>
        </w:rPr>
      </w:pPr>
    </w:p>
    <w:p>
      <w:pPr>
        <w:numPr>
          <w:ilvl w:val="255"/>
          <w:numId w:val="0"/>
        </w:numPr>
        <w:spacing w:line="240" w:lineRule="atLeast"/>
        <w:ind w:firstLine="830" w:firstLineChars="500"/>
        <w:jc w:val="both"/>
        <w:rPr>
          <w:rFonts w:ascii="Times New Roman" w:hAnsi="Times New Roman" w:eastAsia="黑体" w:cs="Times New Roman"/>
          <w:bCs/>
          <w:color w:val="000000"/>
          <w:sz w:val="18"/>
          <w:szCs w:val="18"/>
        </w:rPr>
      </w:pPr>
      <w:r>
        <w:rPr>
          <w:rFonts w:hint="eastAsia" w:ascii="Times New Roman" w:hAnsi="Times New Roman" w:eastAsia="黑体" w:cs="Times New Roman"/>
          <w:bCs/>
          <w:color w:val="000000"/>
          <w:sz w:val="18"/>
          <w:szCs w:val="18"/>
          <w:lang w:val="en-US" w:eastAsia="zh-CN"/>
        </w:rPr>
        <w:t>附</w:t>
      </w:r>
      <w:r>
        <w:rPr>
          <w:rFonts w:hint="eastAsia" w:ascii="Times New Roman" w:hAnsi="Times New Roman" w:eastAsia="黑体" w:cs="Times New Roman"/>
          <w:bCs/>
          <w:color w:val="000000"/>
          <w:sz w:val="18"/>
          <w:szCs w:val="18"/>
        </w:rPr>
        <w:t>表</w:t>
      </w:r>
      <w:r>
        <w:rPr>
          <w:rFonts w:hint="eastAsia" w:ascii="Times New Roman" w:hAnsi="Times New Roman" w:eastAsia="黑体" w:cs="Times New Roman"/>
          <w:bCs/>
          <w:color w:val="000000"/>
          <w:sz w:val="18"/>
          <w:szCs w:val="18"/>
          <w:lang w:val="en-US" w:eastAsia="zh-CN"/>
        </w:rPr>
        <w:t>2</w:t>
      </w:r>
      <w:r>
        <w:rPr>
          <w:rFonts w:hint="eastAsia" w:ascii="Times New Roman" w:hAnsi="Times New Roman" w:eastAsia="黑体" w:cs="Times New Roman"/>
          <w:bCs/>
          <w:color w:val="000000"/>
          <w:sz w:val="18"/>
          <w:szCs w:val="18"/>
        </w:rPr>
        <w:t xml:space="preserve">               数字金融对农村金融市场“价格”的影响回归结果</w:t>
      </w:r>
    </w:p>
    <w:tbl>
      <w:tblPr>
        <w:tblStyle w:val="34"/>
        <w:tblW w:w="8601" w:type="dxa"/>
        <w:jc w:val="center"/>
        <w:tblInd w:w="-836"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1757"/>
        <w:gridCol w:w="1757"/>
        <w:gridCol w:w="1757"/>
        <w:gridCol w:w="1758"/>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72" w:type="dxa"/>
            <w:vMerge w:val="restart"/>
            <w:tcBorders>
              <w:top w:val="single" w:color="000000" w:sz="12" w:space="0"/>
              <w:bottom w:val="single" w:color="auto" w:sz="4" w:space="0"/>
              <w:right w:val="single" w:color="auto" w:sz="4" w:space="0"/>
              <w:tl2br w:val="nil"/>
            </w:tcBorders>
            <w:shd w:val="clear" w:color="auto" w:fill="FFFFFF"/>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变量</w:t>
            </w:r>
          </w:p>
        </w:tc>
        <w:tc>
          <w:tcPr>
            <w:tcW w:w="7029" w:type="dxa"/>
            <w:gridSpan w:val="4"/>
            <w:tcBorders>
              <w:top w:val="single" w:color="000000" w:sz="12" w:space="0"/>
              <w:left w:val="single" w:color="auto" w:sz="4" w:space="0"/>
              <w:bottom w:val="single" w:color="auto" w:sz="4" w:space="0"/>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bCs/>
                <w:sz w:val="18"/>
                <w:szCs w:val="18"/>
                <w:lang w:val="en-US" w:eastAsia="zh-CN"/>
              </w:rPr>
              <w:t>市场贷款利率</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72" w:type="dxa"/>
            <w:vMerge w:val="continue"/>
            <w:tcBorders>
              <w:top w:val="single" w:color="auto" w:sz="4" w:space="0"/>
              <w:bottom w:val="single" w:color="auto" w:sz="4" w:space="0"/>
              <w:right w:val="single" w:color="auto" w:sz="4" w:space="0"/>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left"/>
              <w:textAlignment w:val="auto"/>
              <w:rPr>
                <w:rFonts w:ascii="Times New Roman" w:hAnsi="Times New Roman" w:eastAsia="宋体" w:cs="Times New Roman"/>
                <w:kern w:val="0"/>
                <w:sz w:val="18"/>
                <w:szCs w:val="18"/>
              </w:rPr>
            </w:pPr>
          </w:p>
        </w:tc>
        <w:tc>
          <w:tcPr>
            <w:tcW w:w="1757" w:type="dxa"/>
            <w:tcBorders>
              <w:top w:val="single" w:color="auto" w:sz="4" w:space="0"/>
              <w:left w:val="single" w:color="auto" w:sz="4" w:space="0"/>
              <w:bottom w:val="single" w:color="auto" w:sz="4" w:space="0"/>
              <w:right w:val="nil"/>
            </w:tcBorders>
            <w:shd w:val="clear" w:color="auto" w:fill="FFFFFF"/>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（1）</w:t>
            </w:r>
          </w:p>
        </w:tc>
        <w:tc>
          <w:tcPr>
            <w:tcW w:w="1757" w:type="dxa"/>
            <w:tcBorders>
              <w:top w:val="single" w:color="auto" w:sz="4" w:space="0"/>
              <w:left w:val="nil"/>
              <w:bottom w:val="single" w:color="auto" w:sz="4" w:space="0"/>
              <w:right w:val="nil"/>
            </w:tcBorders>
            <w:shd w:val="clear" w:color="auto" w:fill="FFFFFF"/>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（2）</w:t>
            </w:r>
          </w:p>
        </w:tc>
        <w:tc>
          <w:tcPr>
            <w:tcW w:w="1757" w:type="dxa"/>
            <w:tcBorders>
              <w:top w:val="single" w:color="auto" w:sz="4" w:space="0"/>
              <w:left w:val="nil"/>
              <w:bottom w:val="single" w:color="auto" w:sz="4" w:space="0"/>
              <w:right w:val="nil"/>
            </w:tcBorders>
            <w:shd w:val="clear" w:color="auto" w:fill="FFFFFF"/>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（3）</w:t>
            </w:r>
          </w:p>
        </w:tc>
        <w:tc>
          <w:tcPr>
            <w:tcW w:w="1758" w:type="dxa"/>
            <w:tcBorders>
              <w:top w:val="single" w:color="auto" w:sz="4" w:space="0"/>
              <w:left w:val="nil"/>
              <w:bottom w:val="single" w:color="auto" w:sz="4" w:space="0"/>
            </w:tcBorders>
            <w:shd w:val="clear" w:color="auto" w:fill="FFFFFF"/>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（4）</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72" w:type="dxa"/>
            <w:vMerge w:val="restart"/>
            <w:tcBorders>
              <w:top w:val="single" w:color="auto" w:sz="4" w:space="0"/>
              <w:bottom w:val="nil"/>
              <w:right w:val="single" w:color="auto" w:sz="4" w:space="0"/>
            </w:tcBorders>
            <w:shd w:val="clear" w:color="auto" w:fill="FFFFFF"/>
            <w:vAlign w:val="top"/>
          </w:tcPr>
          <w:p>
            <w:pPr>
              <w:keepNext w:val="0"/>
              <w:keepLines w:val="0"/>
              <w:pageBreakBefore w:val="0"/>
              <w:widowControl w:val="0"/>
              <w:kinsoku/>
              <w:wordWrap/>
              <w:overflowPunct/>
              <w:topLinePunct w:val="0"/>
              <w:bidi w:val="0"/>
              <w:adjustRightInd/>
              <w:snapToGrid/>
              <w:spacing w:line="300" w:lineRule="exact"/>
              <w:textAlignment w:val="auto"/>
              <w:rPr>
                <w:rFonts w:hint="eastAsia" w:ascii="Times New Roman" w:hAnsi="Times New Roman" w:eastAsia="宋体" w:cs="Times New Roman"/>
                <w:kern w:val="0"/>
                <w:sz w:val="18"/>
                <w:szCs w:val="18"/>
              </w:rPr>
            </w:pPr>
            <w:r>
              <w:rPr>
                <w:rFonts w:hint="eastAsia" w:ascii="Calibri" w:hAnsi="Calibri" w:eastAsia="宋体" w:cs="Times New Roman"/>
                <w:bCs/>
                <w:sz w:val="18"/>
                <w:szCs w:val="18"/>
              </w:rPr>
              <w:t>总指数</w:t>
            </w:r>
          </w:p>
        </w:tc>
        <w:tc>
          <w:tcPr>
            <w:tcW w:w="1757" w:type="dxa"/>
            <w:tcBorders>
              <w:top w:val="single" w:color="auto" w:sz="4" w:space="0"/>
              <w:left w:val="single" w:color="auto" w:sz="4" w:space="0"/>
              <w:bottom w:val="nil"/>
              <w:right w:val="nil"/>
            </w:tcBorders>
            <w:shd w:val="clear" w:color="auto" w:fill="FFFFFF"/>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bCs/>
                <w:sz w:val="18"/>
                <w:szCs w:val="18"/>
              </w:rPr>
              <w:t>−</w:t>
            </w:r>
            <w:r>
              <w:rPr>
                <w:rFonts w:hint="eastAsia" w:ascii="Times New Roman" w:hAnsi="Times New Roman" w:eastAsia="宋体" w:cs="Times New Roman"/>
                <w:kern w:val="0"/>
                <w:sz w:val="18"/>
                <w:szCs w:val="18"/>
              </w:rPr>
              <w:t>0.048</w:t>
            </w:r>
            <w:r>
              <w:rPr>
                <w:rFonts w:hint="eastAsia" w:ascii="Times New Roman" w:hAnsi="Times New Roman" w:eastAsia="宋体" w:cs="Times New Roman"/>
                <w:kern w:val="0"/>
                <w:sz w:val="18"/>
                <w:szCs w:val="18"/>
                <w:vertAlign w:val="superscript"/>
              </w:rPr>
              <w:t>***</w:t>
            </w:r>
          </w:p>
        </w:tc>
        <w:tc>
          <w:tcPr>
            <w:tcW w:w="1757" w:type="dxa"/>
            <w:tcBorders>
              <w:top w:val="single" w:color="auto" w:sz="4" w:space="0"/>
              <w:left w:val="nil"/>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c>
          <w:tcPr>
            <w:tcW w:w="1757" w:type="dxa"/>
            <w:tcBorders>
              <w:top w:val="single" w:color="auto" w:sz="4" w:space="0"/>
              <w:left w:val="nil"/>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c>
          <w:tcPr>
            <w:tcW w:w="1758" w:type="dxa"/>
            <w:tcBorders>
              <w:top w:val="single" w:color="auto" w:sz="4" w:space="0"/>
              <w:left w:val="nil"/>
              <w:bottom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72" w:type="dxa"/>
            <w:vMerge w:val="continue"/>
            <w:tcBorders>
              <w:top w:val="nil"/>
              <w:bottom w:val="nil"/>
              <w:right w:val="single" w:color="auto" w:sz="4" w:space="0"/>
            </w:tcBorders>
            <w:shd w:val="clear" w:color="auto" w:fill="FFFFFF"/>
            <w:vAlign w:val="center"/>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Times New Roman" w:hAnsi="Times New Roman" w:eastAsia="宋体" w:cs="Times New Roman"/>
                <w:kern w:val="0"/>
                <w:sz w:val="18"/>
                <w:szCs w:val="18"/>
              </w:rPr>
            </w:pPr>
          </w:p>
        </w:tc>
        <w:tc>
          <w:tcPr>
            <w:tcW w:w="1757" w:type="dxa"/>
            <w:tcBorders>
              <w:top w:val="nil"/>
              <w:left w:val="single" w:color="auto" w:sz="4" w:space="0"/>
              <w:bottom w:val="nil"/>
              <w:right w:val="nil"/>
            </w:tcBorders>
            <w:shd w:val="clear" w:color="auto" w:fill="FFFFFF"/>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0.004</w:t>
            </w:r>
            <w:r>
              <w:rPr>
                <w:rFonts w:hint="eastAsia" w:ascii="Times New Roman" w:hAnsi="Times New Roman" w:eastAsia="宋体" w:cs="Times New Roman"/>
                <w:kern w:val="0"/>
                <w:sz w:val="18"/>
                <w:szCs w:val="18"/>
              </w:rPr>
              <w:t>）</w:t>
            </w:r>
          </w:p>
        </w:tc>
        <w:tc>
          <w:tcPr>
            <w:tcW w:w="1757" w:type="dxa"/>
            <w:tcBorders>
              <w:top w:val="nil"/>
              <w:left w:val="nil"/>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c>
          <w:tcPr>
            <w:tcW w:w="1757" w:type="dxa"/>
            <w:tcBorders>
              <w:top w:val="nil"/>
              <w:left w:val="nil"/>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c>
          <w:tcPr>
            <w:tcW w:w="1758" w:type="dxa"/>
            <w:tcBorders>
              <w:top w:val="nil"/>
              <w:left w:val="nil"/>
              <w:bottom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72" w:type="dxa"/>
            <w:vMerge w:val="restart"/>
            <w:tcBorders>
              <w:top w:val="nil"/>
              <w:bottom w:val="nil"/>
              <w:right w:val="single" w:color="auto" w:sz="4" w:space="0"/>
            </w:tcBorders>
            <w:shd w:val="clear" w:color="auto" w:fill="FFFFFF"/>
            <w:vAlign w:val="top"/>
          </w:tcPr>
          <w:p>
            <w:pPr>
              <w:keepNext w:val="0"/>
              <w:keepLines w:val="0"/>
              <w:pageBreakBefore w:val="0"/>
              <w:widowControl w:val="0"/>
              <w:kinsoku/>
              <w:wordWrap/>
              <w:overflowPunct/>
              <w:topLinePunct w:val="0"/>
              <w:bidi w:val="0"/>
              <w:adjustRightInd/>
              <w:snapToGrid/>
              <w:spacing w:line="300" w:lineRule="exact"/>
              <w:textAlignment w:val="auto"/>
              <w:rPr>
                <w:rFonts w:hint="eastAsia" w:ascii="Times New Roman" w:hAnsi="Times New Roman" w:eastAsia="宋体" w:cs="Times New Roman"/>
                <w:kern w:val="0"/>
                <w:sz w:val="18"/>
                <w:szCs w:val="18"/>
              </w:rPr>
            </w:pPr>
            <w:r>
              <w:rPr>
                <w:rFonts w:hint="eastAsia" w:ascii="Calibri" w:hAnsi="Calibri" w:eastAsia="宋体" w:cs="Times New Roman"/>
                <w:bCs/>
                <w:sz w:val="18"/>
                <w:szCs w:val="18"/>
                <w:lang w:bidi="ar"/>
              </w:rPr>
              <w:t>覆盖广度</w:t>
            </w:r>
          </w:p>
        </w:tc>
        <w:tc>
          <w:tcPr>
            <w:tcW w:w="1757"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c>
          <w:tcPr>
            <w:tcW w:w="1757" w:type="dxa"/>
            <w:tcBorders>
              <w:top w:val="nil"/>
              <w:left w:val="nil"/>
              <w:bottom w:val="nil"/>
              <w:right w:val="nil"/>
            </w:tcBorders>
            <w:shd w:val="clear" w:color="auto" w:fill="FFFFFF"/>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bCs/>
                <w:sz w:val="18"/>
                <w:szCs w:val="18"/>
              </w:rPr>
              <w:t>−</w:t>
            </w:r>
            <w:r>
              <w:rPr>
                <w:rFonts w:hint="eastAsia" w:ascii="Times New Roman" w:hAnsi="Times New Roman" w:eastAsia="宋体" w:cs="Times New Roman"/>
                <w:kern w:val="0"/>
                <w:sz w:val="18"/>
                <w:szCs w:val="18"/>
              </w:rPr>
              <w:t>0.012</w:t>
            </w:r>
            <w:r>
              <w:rPr>
                <w:rFonts w:hint="eastAsia" w:ascii="Times New Roman" w:hAnsi="Times New Roman" w:eastAsia="宋体" w:cs="Times New Roman"/>
                <w:kern w:val="0"/>
                <w:sz w:val="18"/>
                <w:szCs w:val="18"/>
                <w:vertAlign w:val="superscript"/>
              </w:rPr>
              <w:t>***</w:t>
            </w:r>
          </w:p>
        </w:tc>
        <w:tc>
          <w:tcPr>
            <w:tcW w:w="1757" w:type="dxa"/>
            <w:tcBorders>
              <w:top w:val="nil"/>
              <w:left w:val="nil"/>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c>
          <w:tcPr>
            <w:tcW w:w="1758" w:type="dxa"/>
            <w:tcBorders>
              <w:top w:val="nil"/>
              <w:left w:val="nil"/>
              <w:bottom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72" w:type="dxa"/>
            <w:vMerge w:val="continue"/>
            <w:tcBorders>
              <w:top w:val="nil"/>
              <w:bottom w:val="nil"/>
              <w:right w:val="single" w:color="auto" w:sz="4" w:space="0"/>
            </w:tcBorders>
            <w:shd w:val="clear" w:color="auto" w:fill="FFFFFF"/>
            <w:vAlign w:val="center"/>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Times New Roman" w:hAnsi="Times New Roman" w:eastAsia="宋体" w:cs="Times New Roman"/>
                <w:kern w:val="0"/>
                <w:sz w:val="18"/>
                <w:szCs w:val="18"/>
              </w:rPr>
            </w:pPr>
          </w:p>
        </w:tc>
        <w:tc>
          <w:tcPr>
            <w:tcW w:w="1757"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c>
          <w:tcPr>
            <w:tcW w:w="1757" w:type="dxa"/>
            <w:tcBorders>
              <w:top w:val="nil"/>
              <w:left w:val="nil"/>
              <w:bottom w:val="nil"/>
              <w:right w:val="nil"/>
            </w:tcBorders>
            <w:shd w:val="clear" w:color="auto" w:fill="FFFFFF"/>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0.003</w:t>
            </w:r>
            <w:r>
              <w:rPr>
                <w:rFonts w:hint="eastAsia" w:ascii="Times New Roman" w:hAnsi="Times New Roman" w:eastAsia="宋体" w:cs="Times New Roman"/>
                <w:kern w:val="0"/>
                <w:sz w:val="18"/>
                <w:szCs w:val="18"/>
              </w:rPr>
              <w:t>）</w:t>
            </w:r>
          </w:p>
        </w:tc>
        <w:tc>
          <w:tcPr>
            <w:tcW w:w="1757" w:type="dxa"/>
            <w:tcBorders>
              <w:top w:val="nil"/>
              <w:left w:val="nil"/>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c>
          <w:tcPr>
            <w:tcW w:w="1758" w:type="dxa"/>
            <w:tcBorders>
              <w:top w:val="nil"/>
              <w:left w:val="nil"/>
              <w:bottom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72" w:type="dxa"/>
            <w:vMerge w:val="restart"/>
            <w:tcBorders>
              <w:top w:val="nil"/>
              <w:bottom w:val="nil"/>
              <w:right w:val="single" w:color="auto" w:sz="4" w:space="0"/>
            </w:tcBorders>
            <w:shd w:val="clear" w:color="auto" w:fill="FFFFFF"/>
            <w:vAlign w:val="top"/>
          </w:tcPr>
          <w:p>
            <w:pPr>
              <w:keepNext w:val="0"/>
              <w:keepLines w:val="0"/>
              <w:pageBreakBefore w:val="0"/>
              <w:widowControl w:val="0"/>
              <w:kinsoku/>
              <w:wordWrap/>
              <w:overflowPunct/>
              <w:topLinePunct w:val="0"/>
              <w:bidi w:val="0"/>
              <w:adjustRightInd/>
              <w:snapToGrid/>
              <w:spacing w:line="300" w:lineRule="exact"/>
              <w:textAlignment w:val="auto"/>
              <w:rPr>
                <w:rFonts w:hint="eastAsia" w:ascii="Times New Roman" w:hAnsi="Times New Roman" w:eastAsia="宋体" w:cs="Times New Roman"/>
                <w:kern w:val="0"/>
                <w:sz w:val="18"/>
                <w:szCs w:val="18"/>
              </w:rPr>
            </w:pPr>
            <w:r>
              <w:rPr>
                <w:rFonts w:hint="eastAsia" w:ascii="Calibri" w:hAnsi="Calibri" w:eastAsia="宋体" w:cs="Times New Roman"/>
                <w:bCs/>
                <w:sz w:val="18"/>
                <w:szCs w:val="18"/>
                <w:lang w:bidi="ar"/>
              </w:rPr>
              <w:t>使用深度</w:t>
            </w:r>
          </w:p>
        </w:tc>
        <w:tc>
          <w:tcPr>
            <w:tcW w:w="1757"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c>
          <w:tcPr>
            <w:tcW w:w="1757" w:type="dxa"/>
            <w:tcBorders>
              <w:top w:val="nil"/>
              <w:left w:val="nil"/>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c>
          <w:tcPr>
            <w:tcW w:w="1757" w:type="dxa"/>
            <w:tcBorders>
              <w:top w:val="nil"/>
              <w:left w:val="nil"/>
              <w:bottom w:val="nil"/>
              <w:right w:val="nil"/>
            </w:tcBorders>
            <w:shd w:val="clear" w:color="auto" w:fill="FFFFFF"/>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bCs/>
                <w:sz w:val="18"/>
                <w:szCs w:val="18"/>
              </w:rPr>
              <w:t>−</w:t>
            </w:r>
            <w:r>
              <w:rPr>
                <w:rFonts w:hint="eastAsia" w:ascii="Times New Roman" w:hAnsi="Times New Roman" w:eastAsia="宋体" w:cs="Times New Roman"/>
                <w:kern w:val="0"/>
                <w:sz w:val="18"/>
                <w:szCs w:val="18"/>
              </w:rPr>
              <w:t>0.059</w:t>
            </w:r>
            <w:r>
              <w:rPr>
                <w:rFonts w:hint="eastAsia" w:ascii="Times New Roman" w:hAnsi="Times New Roman" w:eastAsia="宋体" w:cs="Times New Roman"/>
                <w:kern w:val="0"/>
                <w:sz w:val="18"/>
                <w:szCs w:val="18"/>
                <w:vertAlign w:val="superscript"/>
              </w:rPr>
              <w:t>***</w:t>
            </w:r>
          </w:p>
        </w:tc>
        <w:tc>
          <w:tcPr>
            <w:tcW w:w="1758" w:type="dxa"/>
            <w:tcBorders>
              <w:top w:val="nil"/>
              <w:left w:val="nil"/>
              <w:bottom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72" w:type="dxa"/>
            <w:vMerge w:val="continue"/>
            <w:tcBorders>
              <w:top w:val="nil"/>
              <w:bottom w:val="nil"/>
              <w:right w:val="single" w:color="auto" w:sz="4" w:space="0"/>
            </w:tcBorders>
            <w:shd w:val="clear" w:color="auto" w:fill="FFFFFF"/>
            <w:vAlign w:val="center"/>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Times New Roman" w:hAnsi="Times New Roman" w:eastAsia="宋体" w:cs="Times New Roman"/>
                <w:kern w:val="0"/>
                <w:sz w:val="18"/>
                <w:szCs w:val="18"/>
              </w:rPr>
            </w:pPr>
          </w:p>
        </w:tc>
        <w:tc>
          <w:tcPr>
            <w:tcW w:w="1757"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c>
          <w:tcPr>
            <w:tcW w:w="1757" w:type="dxa"/>
            <w:tcBorders>
              <w:top w:val="nil"/>
              <w:left w:val="nil"/>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c>
          <w:tcPr>
            <w:tcW w:w="1757" w:type="dxa"/>
            <w:tcBorders>
              <w:top w:val="nil"/>
              <w:left w:val="nil"/>
              <w:bottom w:val="nil"/>
              <w:right w:val="nil"/>
            </w:tcBorders>
            <w:shd w:val="clear" w:color="auto" w:fill="FFFFFF"/>
            <w:vAlign w:val="top"/>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0.004</w:t>
            </w:r>
            <w:r>
              <w:rPr>
                <w:rFonts w:hint="eastAsia" w:ascii="Times New Roman" w:hAnsi="Times New Roman" w:eastAsia="宋体" w:cs="Times New Roman"/>
                <w:kern w:val="0"/>
                <w:sz w:val="18"/>
                <w:szCs w:val="18"/>
              </w:rPr>
              <w:t>）</w:t>
            </w:r>
          </w:p>
        </w:tc>
        <w:tc>
          <w:tcPr>
            <w:tcW w:w="1758" w:type="dxa"/>
            <w:tcBorders>
              <w:top w:val="nil"/>
              <w:left w:val="nil"/>
              <w:bottom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Times New Roman" w:hAnsi="Times New Roman" w:eastAsia="宋体" w:cs="Times New Roman"/>
                <w:bCs/>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72" w:type="dxa"/>
            <w:vMerge w:val="restart"/>
            <w:tcBorders>
              <w:top w:val="nil"/>
              <w:bottom w:val="nil"/>
              <w:right w:val="single" w:color="auto" w:sz="4" w:space="0"/>
            </w:tcBorders>
            <w:shd w:val="clear" w:color="auto" w:fill="FFFFFF"/>
            <w:vAlign w:val="top"/>
          </w:tcPr>
          <w:p>
            <w:pPr>
              <w:keepNext w:val="0"/>
              <w:keepLines w:val="0"/>
              <w:pageBreakBefore w:val="0"/>
              <w:widowControl w:val="0"/>
              <w:kinsoku/>
              <w:wordWrap/>
              <w:overflowPunct/>
              <w:topLinePunct w:val="0"/>
              <w:bidi w:val="0"/>
              <w:adjustRightInd/>
              <w:snapToGrid/>
              <w:spacing w:line="300" w:lineRule="exact"/>
              <w:textAlignment w:val="auto"/>
              <w:rPr>
                <w:rFonts w:ascii="Calibri" w:hAnsi="Calibri" w:eastAsia="宋体" w:cs="Times New Roman"/>
                <w:bCs/>
                <w:kern w:val="2"/>
                <w:sz w:val="18"/>
                <w:szCs w:val="18"/>
                <w:lang w:val="en-US" w:eastAsia="zh-CN" w:bidi="ar"/>
              </w:rPr>
            </w:pPr>
            <w:r>
              <w:rPr>
                <w:rFonts w:hint="eastAsia" w:ascii="Calibri" w:hAnsi="Calibri" w:eastAsia="宋体" w:cs="Times New Roman"/>
                <w:bCs/>
                <w:sz w:val="18"/>
                <w:szCs w:val="18"/>
                <w:lang w:bidi="ar"/>
              </w:rPr>
              <w:t>数字化程度</w:t>
            </w:r>
          </w:p>
        </w:tc>
        <w:tc>
          <w:tcPr>
            <w:tcW w:w="1757"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p>
        </w:tc>
        <w:tc>
          <w:tcPr>
            <w:tcW w:w="1757" w:type="dxa"/>
            <w:tcBorders>
              <w:top w:val="nil"/>
              <w:left w:val="nil"/>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p>
        </w:tc>
        <w:tc>
          <w:tcPr>
            <w:tcW w:w="1757" w:type="dxa"/>
            <w:tcBorders>
              <w:top w:val="nil"/>
              <w:left w:val="nil"/>
              <w:bottom w:val="nil"/>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p>
        </w:tc>
        <w:tc>
          <w:tcPr>
            <w:tcW w:w="1758" w:type="dxa"/>
            <w:tcBorders>
              <w:top w:val="nil"/>
              <w:left w:val="nil"/>
              <w:bottom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bCs/>
                <w:sz w:val="18"/>
                <w:szCs w:val="18"/>
              </w:rPr>
              <w:t>−</w:t>
            </w:r>
            <w:r>
              <w:rPr>
                <w:rFonts w:hint="eastAsia" w:ascii="Times New Roman" w:hAnsi="Times New Roman" w:eastAsia="宋体" w:cs="Times New Roman"/>
                <w:kern w:val="0"/>
                <w:sz w:val="18"/>
                <w:szCs w:val="18"/>
              </w:rPr>
              <w:t>0.033</w:t>
            </w:r>
            <w:r>
              <w:rPr>
                <w:rFonts w:hint="eastAsia" w:ascii="Times New Roman" w:hAnsi="Times New Roman" w:eastAsia="宋体" w:cs="Times New Roman"/>
                <w:kern w:val="0"/>
                <w:sz w:val="18"/>
                <w:szCs w:val="18"/>
                <w:vertAlign w:val="superscript"/>
              </w:rPr>
              <w:t>***</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72" w:type="dxa"/>
            <w:vMerge w:val="continue"/>
            <w:tcBorders>
              <w:top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ascii="Times New Roman" w:hAnsi="Times New Roman" w:eastAsia="宋体" w:cs="Times New Roman"/>
                <w:kern w:val="0"/>
                <w:sz w:val="18"/>
                <w:szCs w:val="18"/>
              </w:rPr>
            </w:pPr>
          </w:p>
        </w:tc>
        <w:tc>
          <w:tcPr>
            <w:tcW w:w="1757" w:type="dxa"/>
            <w:tcBorders>
              <w:top w:val="nil"/>
              <w:left w:val="single" w:color="auto" w:sz="4" w:space="0"/>
              <w:bottom w:val="single" w:color="auto" w:sz="4" w:space="0"/>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p>
        </w:tc>
        <w:tc>
          <w:tcPr>
            <w:tcW w:w="1757" w:type="dxa"/>
            <w:tcBorders>
              <w:top w:val="nil"/>
              <w:left w:val="nil"/>
              <w:bottom w:val="single" w:color="auto" w:sz="4" w:space="0"/>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p>
        </w:tc>
        <w:tc>
          <w:tcPr>
            <w:tcW w:w="1757" w:type="dxa"/>
            <w:tcBorders>
              <w:top w:val="nil"/>
              <w:left w:val="nil"/>
              <w:bottom w:val="single" w:color="auto" w:sz="4" w:space="0"/>
              <w:right w:val="nil"/>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p>
        </w:tc>
        <w:tc>
          <w:tcPr>
            <w:tcW w:w="1758" w:type="dxa"/>
            <w:tcBorders>
              <w:top w:val="nil"/>
              <w:left w:val="nil"/>
              <w:bottom w:val="single" w:color="auto" w:sz="4" w:space="0"/>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w:t>
            </w:r>
            <w:r>
              <w:rPr>
                <w:rFonts w:hint="eastAsia" w:ascii="Times New Roman" w:hAnsi="Times New Roman" w:eastAsia="宋体" w:cs="Times New Roman"/>
                <w:kern w:val="0"/>
                <w:sz w:val="18"/>
                <w:szCs w:val="18"/>
              </w:rPr>
              <w:t>0.005</w:t>
            </w:r>
            <w:r>
              <w:rPr>
                <w:rFonts w:hint="eastAsia" w:ascii="Times New Roman" w:hAnsi="Times New Roman" w:eastAsia="宋体" w:cs="Times New Roman"/>
                <w:kern w:val="0"/>
                <w:sz w:val="18"/>
                <w:szCs w:val="18"/>
              </w:rPr>
              <w:t>）</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72" w:type="dxa"/>
            <w:tcBorders>
              <w:top w:val="single" w:color="auto" w:sz="4" w:space="0"/>
              <w:bottom w:val="nil"/>
              <w:right w:val="single" w:color="auto" w:sz="4" w:space="0"/>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控制变量</w:t>
            </w:r>
          </w:p>
        </w:tc>
        <w:tc>
          <w:tcPr>
            <w:tcW w:w="1757" w:type="dxa"/>
            <w:tcBorders>
              <w:top w:val="single" w:color="auto" w:sz="4" w:space="0"/>
              <w:left w:val="single" w:color="auto" w:sz="4" w:space="0"/>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已控制</w:t>
            </w:r>
          </w:p>
        </w:tc>
        <w:tc>
          <w:tcPr>
            <w:tcW w:w="1757" w:type="dxa"/>
            <w:tcBorders>
              <w:top w:val="single" w:color="auto" w:sz="4" w:space="0"/>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已控制</w:t>
            </w:r>
          </w:p>
        </w:tc>
        <w:tc>
          <w:tcPr>
            <w:tcW w:w="1757" w:type="dxa"/>
            <w:tcBorders>
              <w:top w:val="single" w:color="auto" w:sz="4" w:space="0"/>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已控制</w:t>
            </w:r>
          </w:p>
        </w:tc>
        <w:tc>
          <w:tcPr>
            <w:tcW w:w="1758" w:type="dxa"/>
            <w:tcBorders>
              <w:top w:val="single" w:color="auto" w:sz="4" w:space="0"/>
              <w:left w:val="nil"/>
              <w:bottom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已控制</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72" w:type="dxa"/>
            <w:tcBorders>
              <w:top w:val="nil"/>
              <w:bottom w:val="nil"/>
              <w:right w:val="single" w:color="auto" w:sz="4" w:space="0"/>
            </w:tcBorders>
            <w:shd w:val="clear" w:color="auto" w:fill="FFFFFF"/>
          </w:tcPr>
          <w:p>
            <w:pPr>
              <w:keepNext w:val="0"/>
              <w:keepLines w:val="0"/>
              <w:pageBreakBefore w:val="0"/>
              <w:widowControl w:val="0"/>
              <w:kinsoku/>
              <w:wordWrap/>
              <w:overflowPunct/>
              <w:topLinePunct w:val="0"/>
              <w:bidi w:val="0"/>
              <w:adjustRightInd/>
              <w:snapToGrid/>
              <w:spacing w:line="300" w:lineRule="exact"/>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个体固定效应</w:t>
            </w:r>
          </w:p>
        </w:tc>
        <w:tc>
          <w:tcPr>
            <w:tcW w:w="1757"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已控制</w:t>
            </w:r>
          </w:p>
        </w:tc>
        <w:tc>
          <w:tcPr>
            <w:tcW w:w="1757" w:type="dxa"/>
            <w:tcBorders>
              <w:top w:val="nil"/>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已控制</w:t>
            </w:r>
          </w:p>
        </w:tc>
        <w:tc>
          <w:tcPr>
            <w:tcW w:w="1757" w:type="dxa"/>
            <w:tcBorders>
              <w:top w:val="nil"/>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已控制</w:t>
            </w:r>
          </w:p>
        </w:tc>
        <w:tc>
          <w:tcPr>
            <w:tcW w:w="1758" w:type="dxa"/>
            <w:tcBorders>
              <w:top w:val="nil"/>
              <w:left w:val="nil"/>
              <w:bottom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已控制</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72" w:type="dxa"/>
            <w:tcBorders>
              <w:top w:val="nil"/>
              <w:bottom w:val="nil"/>
              <w:right w:val="single" w:color="auto" w:sz="4" w:space="0"/>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观测值</w:t>
            </w:r>
          </w:p>
        </w:tc>
        <w:tc>
          <w:tcPr>
            <w:tcW w:w="1757" w:type="dxa"/>
            <w:tcBorders>
              <w:top w:val="nil"/>
              <w:left w:val="single" w:color="auto" w:sz="4" w:space="0"/>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1512</w:t>
            </w:r>
          </w:p>
        </w:tc>
        <w:tc>
          <w:tcPr>
            <w:tcW w:w="1757" w:type="dxa"/>
            <w:tcBorders>
              <w:top w:val="nil"/>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1512</w:t>
            </w:r>
          </w:p>
        </w:tc>
        <w:tc>
          <w:tcPr>
            <w:tcW w:w="1757" w:type="dxa"/>
            <w:tcBorders>
              <w:top w:val="nil"/>
              <w:left w:val="nil"/>
              <w:bottom w:val="nil"/>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1512</w:t>
            </w:r>
          </w:p>
        </w:tc>
        <w:tc>
          <w:tcPr>
            <w:tcW w:w="1758" w:type="dxa"/>
            <w:tcBorders>
              <w:top w:val="nil"/>
              <w:left w:val="nil"/>
              <w:bottom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1512</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1572" w:type="dxa"/>
            <w:tcBorders>
              <w:top w:val="nil"/>
              <w:bottom w:val="single" w:color="000000" w:sz="12" w:space="0"/>
              <w:right w:val="single" w:color="auto" w:sz="4" w:space="0"/>
            </w:tcBorders>
            <w:shd w:val="clear" w:color="auto" w:fill="FFFFFF"/>
          </w:tcPr>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ascii="Times New Roman" w:hAnsi="Times New Roman" w:eastAsia="宋体" w:cs="Times New Roman"/>
                <w:kern w:val="0"/>
                <w:sz w:val="18"/>
                <w:szCs w:val="18"/>
              </w:rPr>
            </w:pPr>
            <w:r>
              <w:rPr>
                <w:rFonts w:hint="default" w:ascii="Times New Roman" w:hAnsi="Times New Roman" w:eastAsia="宋体" w:cs="Times New Roman"/>
                <w:bCs/>
                <w:sz w:val="18"/>
                <w:szCs w:val="18"/>
              </w:rPr>
              <w:t>R</w:t>
            </w:r>
            <w:r>
              <w:rPr>
                <w:rFonts w:hint="default" w:ascii="Times New Roman" w:hAnsi="Times New Roman" w:eastAsia="宋体" w:cs="Times New Roman"/>
                <w:bCs/>
                <w:sz w:val="18"/>
                <w:szCs w:val="18"/>
                <w:vertAlign w:val="superscript"/>
              </w:rPr>
              <w:t>2</w:t>
            </w:r>
          </w:p>
        </w:tc>
        <w:tc>
          <w:tcPr>
            <w:tcW w:w="1757" w:type="dxa"/>
            <w:tcBorders>
              <w:top w:val="nil"/>
              <w:left w:val="single" w:color="auto" w:sz="4" w:space="0"/>
              <w:bottom w:val="single" w:color="000000" w:sz="12" w:space="0"/>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0.996</w:t>
            </w:r>
          </w:p>
        </w:tc>
        <w:tc>
          <w:tcPr>
            <w:tcW w:w="1757" w:type="dxa"/>
            <w:tcBorders>
              <w:top w:val="nil"/>
              <w:left w:val="nil"/>
              <w:bottom w:val="single" w:color="000000" w:sz="12" w:space="0"/>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0.995</w:t>
            </w:r>
          </w:p>
        </w:tc>
        <w:tc>
          <w:tcPr>
            <w:tcW w:w="1757" w:type="dxa"/>
            <w:tcBorders>
              <w:top w:val="nil"/>
              <w:left w:val="nil"/>
              <w:bottom w:val="single" w:color="000000" w:sz="12" w:space="0"/>
              <w:right w:val="nil"/>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0.996</w:t>
            </w:r>
          </w:p>
        </w:tc>
        <w:tc>
          <w:tcPr>
            <w:tcW w:w="1758" w:type="dxa"/>
            <w:tcBorders>
              <w:top w:val="nil"/>
              <w:left w:val="nil"/>
              <w:bottom w:val="single" w:color="000000" w:sz="12" w:space="0"/>
            </w:tcBorders>
            <w:shd w:val="clear" w:color="auto" w:fill="FFFFFF"/>
          </w:tcPr>
          <w:p>
            <w:pPr>
              <w:keepNext w:val="0"/>
              <w:keepLines w:val="0"/>
              <w:pageBreakBefore w:val="0"/>
              <w:widowControl w:val="0"/>
              <w:kinsoku/>
              <w:wordWrap/>
              <w:overflowPunct/>
              <w:topLinePunct w:val="0"/>
              <w:bidi w:val="0"/>
              <w:adjustRightInd/>
              <w:snapToGrid/>
              <w:spacing w:line="300" w:lineRule="exact"/>
              <w:jc w:val="center"/>
              <w:textAlignment w:val="auto"/>
              <w:rPr>
                <w:rFonts w:ascii="Times New Roman" w:hAnsi="Times New Roman" w:eastAsia="宋体" w:cs="Times New Roman"/>
                <w:bCs/>
                <w:sz w:val="18"/>
                <w:szCs w:val="18"/>
              </w:rPr>
            </w:pPr>
            <w:r>
              <w:rPr>
                <w:rFonts w:hint="eastAsia" w:ascii="Times New Roman" w:hAnsi="Times New Roman" w:eastAsia="宋体" w:cs="Times New Roman"/>
                <w:bCs/>
                <w:sz w:val="18"/>
                <w:szCs w:val="18"/>
              </w:rPr>
              <w:t>0.995</w:t>
            </w:r>
          </w:p>
        </w:tc>
      </w:tr>
    </w:tbl>
    <w:p>
      <w:pPr>
        <w:widowControl/>
        <w:numPr>
          <w:ilvl w:val="255"/>
          <w:numId w:val="0"/>
        </w:numPr>
        <w:ind w:firstLine="332" w:firstLineChars="200"/>
        <w:jc w:val="both"/>
        <w:rPr>
          <w:rFonts w:ascii="Times New Roman" w:hAnsi="Times New Roman" w:eastAsia="宋体" w:cs="Times New Roman"/>
          <w:color w:val="000000"/>
          <w:sz w:val="18"/>
          <w:szCs w:val="16"/>
        </w:rPr>
      </w:pPr>
      <w:r>
        <w:rPr>
          <w:rFonts w:hint="eastAsia" w:ascii="Times New Roman" w:hAnsi="Times New Roman" w:eastAsia="宋体" w:cs="Times New Roman"/>
          <w:color w:val="000000"/>
          <w:sz w:val="18"/>
          <w:szCs w:val="16"/>
        </w:rPr>
        <w:t>注：①*、**和***代表显著性水平10%、5%和1%。②括号内</w:t>
      </w:r>
      <w:r>
        <w:rPr>
          <w:rFonts w:hint="eastAsia" w:ascii="Times New Roman" w:hAnsi="Times New Roman" w:eastAsia="宋体" w:cs="Times New Roman"/>
          <w:color w:val="000000"/>
          <w:sz w:val="18"/>
          <w:szCs w:val="16"/>
          <w:lang w:val="en-US" w:eastAsia="zh-CN"/>
        </w:rPr>
        <w:t>的值</w:t>
      </w:r>
      <w:r>
        <w:rPr>
          <w:rFonts w:hint="eastAsia" w:ascii="Times New Roman" w:hAnsi="Times New Roman" w:eastAsia="宋体" w:cs="Times New Roman"/>
          <w:color w:val="000000"/>
          <w:sz w:val="18"/>
          <w:szCs w:val="16"/>
        </w:rPr>
        <w:t>为稳健标准误。③控制变量与基准回归相同。</w:t>
      </w:r>
    </w:p>
    <w:p>
      <w:pPr>
        <w:widowControl w:val="0"/>
        <w:ind w:left="0" w:leftChars="0" w:firstLine="0" w:firstLineChars="0"/>
        <w:jc w:val="both"/>
        <w:rPr>
          <w:rFonts w:hint="eastAsia" w:ascii="Times New Roman" w:hAnsi="Times New Roman" w:eastAsia="宋体" w:cs="Times New Roman"/>
          <w:color w:val="000000"/>
          <w:kern w:val="2"/>
          <w:sz w:val="18"/>
          <w:szCs w:val="16"/>
          <w:lang w:val="en-US" w:eastAsia="zh-CN" w:bidi="ar-SA"/>
        </w:rPr>
      </w:pPr>
      <w:bookmarkStart w:id="1" w:name="_GoBack"/>
      <w:bookmarkEnd w:id="1"/>
    </w:p>
    <w:p>
      <w:pPr>
        <w:widowControl/>
        <w:spacing w:line="240" w:lineRule="atLeast"/>
        <w:ind w:firstLine="392" w:firstLineChars="200"/>
        <w:rPr>
          <w:rFonts w:ascii="Times New Roman" w:hAnsi="Times New Roman" w:eastAsia="宋体" w:cs="宋体"/>
          <w:szCs w:val="21"/>
        </w:rPr>
      </w:pPr>
      <w:r>
        <w:rPr>
          <w:rFonts w:hint="eastAsia" w:ascii="Times New Roman" w:hAnsi="Times New Roman" w:eastAsia="宋体" w:cs="Times New Roman"/>
          <w:color w:val="000000"/>
          <w:sz w:val="21"/>
          <w:szCs w:val="21"/>
          <w:shd w:val="clear" w:color="auto" w:fill="FFFFFF"/>
          <w:lang w:val="en-US" w:eastAsia="zh-CN"/>
        </w:rPr>
        <w:t>附表3是本文五、进一步分析中的（二）数字金融对农村金融机构收入结构的影响部分的回归结果。</w:t>
      </w:r>
      <w:r>
        <w:rPr>
          <w:rFonts w:hint="eastAsia" w:ascii="Times New Roman" w:hAnsi="Times New Roman" w:eastAsia="宋体" w:cs="宋体"/>
          <w:szCs w:val="21"/>
        </w:rPr>
        <w:t>如</w:t>
      </w:r>
      <w:r>
        <w:rPr>
          <w:rFonts w:hint="eastAsia" w:ascii="Times New Roman" w:hAnsi="Times New Roman" w:eastAsia="宋体" w:cs="宋体"/>
          <w:szCs w:val="21"/>
          <w:lang w:val="en-US" w:eastAsia="zh-CN"/>
        </w:rPr>
        <w:t>附表3</w:t>
      </w:r>
      <w:r>
        <w:rPr>
          <w:rFonts w:hint="eastAsia" w:ascii="Times New Roman" w:hAnsi="Times New Roman" w:eastAsia="宋体" w:cs="宋体"/>
          <w:szCs w:val="21"/>
        </w:rPr>
        <w:t>所示，在（1）</w:t>
      </w:r>
      <w:r>
        <w:rPr>
          <w:rFonts w:hint="eastAsia" w:ascii="Times New Roman" w:hAnsi="Times New Roman" w:eastAsia="宋体" w:cs="Times New Roman"/>
          <w:color w:val="000000"/>
          <w:spacing w:val="-2"/>
          <w:sz w:val="21"/>
          <w:szCs w:val="21"/>
          <w:shd w:val="clear" w:color="auto" w:fill="FFFFFF"/>
          <w:lang w:val="en-US" w:eastAsia="zh-CN"/>
        </w:rPr>
        <w:t>～</w:t>
      </w:r>
      <w:r>
        <w:rPr>
          <w:rFonts w:hint="eastAsia" w:ascii="Times New Roman" w:hAnsi="Times New Roman" w:eastAsia="宋体" w:cs="宋体"/>
          <w:szCs w:val="21"/>
        </w:rPr>
        <w:t>（4）列中，无论是数字金融总指</w:t>
      </w:r>
      <w:r>
        <w:rPr>
          <w:rFonts w:hint="eastAsia" w:ascii="Times New Roman" w:hAnsi="Times New Roman" w:eastAsia="宋体" w:cs="宋体"/>
          <w:szCs w:val="21"/>
          <w:lang w:val="en-US" w:eastAsia="zh-CN"/>
        </w:rPr>
        <w:t>数</w:t>
      </w:r>
      <w:r>
        <w:rPr>
          <w:rFonts w:hint="eastAsia" w:ascii="Times New Roman" w:hAnsi="Times New Roman" w:eastAsia="宋体" w:cs="宋体"/>
          <w:szCs w:val="21"/>
        </w:rPr>
        <w:t>还是</w:t>
      </w:r>
      <w:r>
        <w:rPr>
          <w:rFonts w:hint="eastAsia" w:ascii="Times New Roman" w:hAnsi="Times New Roman" w:eastAsia="宋体" w:cs="宋体"/>
          <w:szCs w:val="21"/>
          <w:lang w:val="en-US" w:eastAsia="zh-CN"/>
        </w:rPr>
        <w:t>各</w:t>
      </w:r>
      <w:r>
        <w:rPr>
          <w:rFonts w:hint="eastAsia" w:ascii="Times New Roman" w:hAnsi="Times New Roman" w:eastAsia="宋体" w:cs="宋体"/>
          <w:szCs w:val="21"/>
        </w:rPr>
        <w:t>子指标，系数基本显著为正，在（5）</w:t>
      </w:r>
      <w:r>
        <w:rPr>
          <w:rFonts w:hint="eastAsia" w:ascii="Times New Roman" w:hAnsi="Times New Roman" w:eastAsia="宋体" w:cs="Times New Roman"/>
          <w:color w:val="000000"/>
          <w:spacing w:val="-2"/>
          <w:sz w:val="21"/>
          <w:szCs w:val="21"/>
          <w:shd w:val="clear" w:color="auto" w:fill="FFFFFF"/>
          <w:lang w:val="en-US" w:eastAsia="zh-CN"/>
        </w:rPr>
        <w:t>～</w:t>
      </w:r>
      <w:r>
        <w:rPr>
          <w:rFonts w:hint="eastAsia" w:ascii="Times New Roman" w:hAnsi="Times New Roman" w:eastAsia="宋体" w:cs="宋体"/>
          <w:szCs w:val="21"/>
        </w:rPr>
        <w:t>（8）列中系数</w:t>
      </w:r>
      <w:r>
        <w:rPr>
          <w:rFonts w:hint="eastAsia" w:ascii="Times New Roman" w:hAnsi="Times New Roman" w:eastAsia="宋体" w:cs="宋体"/>
          <w:szCs w:val="21"/>
          <w:lang w:val="en-US" w:eastAsia="zh-CN"/>
        </w:rPr>
        <w:t>也基本为</w:t>
      </w:r>
      <w:r>
        <w:rPr>
          <w:rFonts w:hint="eastAsia" w:ascii="Times New Roman" w:hAnsi="Times New Roman" w:eastAsia="宋体" w:cs="宋体"/>
          <w:szCs w:val="21"/>
        </w:rPr>
        <w:t>负。说明数字金融改变了农村金融机构的收入结构，在提升其净利息收入的同时，也降低了农村金融机构的非利息收入。</w:t>
      </w:r>
    </w:p>
    <w:p>
      <w:pPr>
        <w:numPr>
          <w:ilvl w:val="255"/>
          <w:numId w:val="0"/>
        </w:numPr>
        <w:spacing w:line="240" w:lineRule="atLeast"/>
        <w:ind w:firstLine="332" w:firstLineChars="200"/>
        <w:jc w:val="both"/>
        <w:rPr>
          <w:rFonts w:ascii="Times New Roman" w:hAnsi="Times New Roman" w:eastAsia="黑体" w:cs="Times New Roman"/>
          <w:bCs/>
          <w:color w:val="000000"/>
          <w:sz w:val="18"/>
          <w:szCs w:val="18"/>
        </w:rPr>
      </w:pPr>
      <w:r>
        <w:rPr>
          <w:rFonts w:hint="eastAsia" w:ascii="Times New Roman" w:hAnsi="Times New Roman" w:eastAsia="黑体" w:cs="Times New Roman"/>
          <w:bCs/>
          <w:color w:val="000000"/>
          <w:sz w:val="18"/>
          <w:szCs w:val="18"/>
          <w:lang w:val="en-US" w:eastAsia="zh-CN"/>
        </w:rPr>
        <w:t>附</w:t>
      </w:r>
      <w:r>
        <w:rPr>
          <w:rFonts w:hint="eastAsia" w:ascii="Times New Roman" w:hAnsi="Times New Roman" w:eastAsia="黑体" w:cs="Times New Roman"/>
          <w:bCs/>
          <w:color w:val="000000"/>
          <w:sz w:val="18"/>
          <w:szCs w:val="18"/>
        </w:rPr>
        <w:t>表</w:t>
      </w:r>
      <w:r>
        <w:rPr>
          <w:rFonts w:hint="eastAsia" w:ascii="Times New Roman" w:hAnsi="Times New Roman" w:eastAsia="黑体" w:cs="Times New Roman"/>
          <w:bCs/>
          <w:color w:val="000000"/>
          <w:sz w:val="18"/>
          <w:szCs w:val="18"/>
          <w:lang w:val="en-US" w:eastAsia="zh-CN"/>
        </w:rPr>
        <w:t>3</w:t>
      </w:r>
      <w:r>
        <w:rPr>
          <w:rFonts w:hint="eastAsia" w:ascii="Times New Roman" w:hAnsi="Times New Roman" w:eastAsia="黑体" w:cs="Times New Roman"/>
          <w:bCs/>
          <w:color w:val="000000"/>
          <w:sz w:val="18"/>
          <w:szCs w:val="18"/>
        </w:rPr>
        <w:t xml:space="preserve">                     数字金融对农村金融机构收入结构的影响回归结果</w:t>
      </w:r>
    </w:p>
    <w:tbl>
      <w:tblPr>
        <w:tblStyle w:val="34"/>
        <w:tblW w:w="8690" w:type="dxa"/>
        <w:jc w:val="center"/>
        <w:tblInd w:w="639"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1174"/>
        <w:gridCol w:w="939"/>
        <w:gridCol w:w="939"/>
        <w:gridCol w:w="939"/>
        <w:gridCol w:w="939"/>
        <w:gridCol w:w="2"/>
        <w:gridCol w:w="937"/>
        <w:gridCol w:w="939"/>
        <w:gridCol w:w="939"/>
        <w:gridCol w:w="943"/>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174" w:type="dxa"/>
            <w:vMerge w:val="restart"/>
            <w:tcBorders>
              <w:top w:val="single" w:color="000000" w:sz="12" w:space="0"/>
              <w:bottom w:val="single" w:color="auto" w:sz="4" w:space="0"/>
              <w:right w:val="single" w:color="auto" w:sz="4" w:space="0"/>
              <w:tl2br w:val="nil"/>
            </w:tcBorders>
            <w:shd w:val="clear" w:color="auto" w:fill="FFFFFF"/>
            <w:vAlign w:val="center"/>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变量</w:t>
            </w:r>
          </w:p>
        </w:tc>
        <w:tc>
          <w:tcPr>
            <w:tcW w:w="3758" w:type="dxa"/>
            <w:gridSpan w:val="5"/>
            <w:tcBorders>
              <w:top w:val="single" w:color="000000" w:sz="12" w:space="0"/>
              <w:left w:val="single" w:color="auto" w:sz="4" w:space="0"/>
              <w:bottom w:val="single" w:color="auto" w:sz="4" w:space="0"/>
              <w:right w:val="single" w:color="auto" w:sz="4" w:space="0"/>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净利息收入</w:t>
            </w:r>
          </w:p>
        </w:tc>
        <w:tc>
          <w:tcPr>
            <w:tcW w:w="3758" w:type="dxa"/>
            <w:gridSpan w:val="4"/>
            <w:tcBorders>
              <w:top w:val="single" w:color="000000" w:sz="12" w:space="0"/>
              <w:left w:val="single" w:color="auto" w:sz="4" w:space="0"/>
              <w:bottom w:val="single" w:color="auto" w:sz="4" w:space="0"/>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非利息收入</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174" w:type="dxa"/>
            <w:vMerge w:val="continue"/>
            <w:tcBorders>
              <w:top w:val="single" w:color="auto" w:sz="4" w:space="0"/>
              <w:bottom w:val="single" w:color="auto" w:sz="4" w:space="0"/>
              <w:right w:val="single" w:color="auto" w:sz="4" w:space="0"/>
            </w:tcBorders>
            <w:shd w:val="clear" w:color="auto" w:fill="FFFFFF"/>
          </w:tcPr>
          <w:p>
            <w:pPr>
              <w:autoSpaceDE w:val="0"/>
              <w:autoSpaceDN w:val="0"/>
              <w:spacing w:line="300" w:lineRule="exact"/>
              <w:jc w:val="left"/>
              <w:rPr>
                <w:rFonts w:ascii="Times New Roman" w:hAnsi="Times New Roman" w:eastAsia="宋体" w:cs="Times New Roman"/>
                <w:kern w:val="0"/>
                <w:sz w:val="18"/>
                <w:szCs w:val="18"/>
              </w:rPr>
            </w:pPr>
          </w:p>
        </w:tc>
        <w:tc>
          <w:tcPr>
            <w:tcW w:w="939" w:type="dxa"/>
            <w:tcBorders>
              <w:top w:val="single" w:color="auto" w:sz="4" w:space="0"/>
              <w:left w:val="single" w:color="auto" w:sz="4" w:space="0"/>
              <w:bottom w:val="single" w:color="auto" w:sz="4" w:space="0"/>
              <w:right w:val="nil"/>
            </w:tcBorders>
            <w:shd w:val="clear" w:color="auto" w:fill="FFFFFF"/>
            <w:vAlign w:val="top"/>
          </w:tcPr>
          <w:p>
            <w:pPr>
              <w:autoSpaceDE w:val="0"/>
              <w:autoSpaceDN w:val="0"/>
              <w:spacing w:line="30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（1）</w:t>
            </w:r>
          </w:p>
        </w:tc>
        <w:tc>
          <w:tcPr>
            <w:tcW w:w="939" w:type="dxa"/>
            <w:tcBorders>
              <w:top w:val="single" w:color="auto" w:sz="4" w:space="0"/>
              <w:left w:val="nil"/>
              <w:bottom w:val="single" w:color="auto" w:sz="4" w:space="0"/>
              <w:right w:val="nil"/>
            </w:tcBorders>
            <w:shd w:val="clear" w:color="auto" w:fill="FFFFFF"/>
            <w:vAlign w:val="top"/>
          </w:tcPr>
          <w:p>
            <w:pPr>
              <w:autoSpaceDE w:val="0"/>
              <w:autoSpaceDN w:val="0"/>
              <w:spacing w:line="30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（2）</w:t>
            </w:r>
          </w:p>
        </w:tc>
        <w:tc>
          <w:tcPr>
            <w:tcW w:w="939" w:type="dxa"/>
            <w:tcBorders>
              <w:top w:val="single" w:color="auto" w:sz="4" w:space="0"/>
              <w:left w:val="nil"/>
              <w:bottom w:val="single" w:color="auto" w:sz="4" w:space="0"/>
              <w:right w:val="nil"/>
            </w:tcBorders>
            <w:shd w:val="clear" w:color="auto" w:fill="FFFFFF"/>
            <w:vAlign w:val="top"/>
          </w:tcPr>
          <w:p>
            <w:pPr>
              <w:autoSpaceDE w:val="0"/>
              <w:autoSpaceDN w:val="0"/>
              <w:spacing w:line="30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（3）</w:t>
            </w:r>
          </w:p>
        </w:tc>
        <w:tc>
          <w:tcPr>
            <w:tcW w:w="939" w:type="dxa"/>
            <w:tcBorders>
              <w:top w:val="single" w:color="auto" w:sz="4" w:space="0"/>
              <w:left w:val="nil"/>
              <w:bottom w:val="single" w:color="auto" w:sz="4" w:space="0"/>
              <w:right w:val="single" w:color="auto" w:sz="4" w:space="0"/>
            </w:tcBorders>
            <w:shd w:val="clear" w:color="auto" w:fill="FFFFFF"/>
            <w:vAlign w:val="top"/>
          </w:tcPr>
          <w:p>
            <w:pPr>
              <w:autoSpaceDE w:val="0"/>
              <w:autoSpaceDN w:val="0"/>
              <w:spacing w:line="30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（4）</w:t>
            </w:r>
          </w:p>
        </w:tc>
        <w:tc>
          <w:tcPr>
            <w:tcW w:w="939" w:type="dxa"/>
            <w:gridSpan w:val="2"/>
            <w:tcBorders>
              <w:top w:val="single" w:color="auto" w:sz="4" w:space="0"/>
              <w:left w:val="single" w:color="auto" w:sz="4" w:space="0"/>
              <w:bottom w:val="single" w:color="auto" w:sz="4" w:space="0"/>
              <w:right w:val="nil"/>
            </w:tcBorders>
            <w:shd w:val="clear" w:color="auto" w:fill="FFFFFF"/>
            <w:vAlign w:val="top"/>
          </w:tcPr>
          <w:p>
            <w:pPr>
              <w:autoSpaceDE w:val="0"/>
              <w:autoSpaceDN w:val="0"/>
              <w:spacing w:line="30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（5）</w:t>
            </w:r>
          </w:p>
        </w:tc>
        <w:tc>
          <w:tcPr>
            <w:tcW w:w="939" w:type="dxa"/>
            <w:tcBorders>
              <w:top w:val="single" w:color="auto" w:sz="4" w:space="0"/>
              <w:left w:val="nil"/>
              <w:bottom w:val="single" w:color="auto" w:sz="4" w:space="0"/>
              <w:right w:val="nil"/>
            </w:tcBorders>
            <w:shd w:val="clear" w:color="auto" w:fill="FFFFFF"/>
            <w:vAlign w:val="top"/>
          </w:tcPr>
          <w:p>
            <w:pPr>
              <w:autoSpaceDE w:val="0"/>
              <w:autoSpaceDN w:val="0"/>
              <w:spacing w:line="30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（6）</w:t>
            </w:r>
          </w:p>
        </w:tc>
        <w:tc>
          <w:tcPr>
            <w:tcW w:w="939" w:type="dxa"/>
            <w:tcBorders>
              <w:top w:val="single" w:color="auto" w:sz="4" w:space="0"/>
              <w:left w:val="nil"/>
              <w:bottom w:val="single" w:color="auto" w:sz="4" w:space="0"/>
              <w:right w:val="nil"/>
            </w:tcBorders>
            <w:shd w:val="clear" w:color="auto" w:fill="FFFFFF"/>
            <w:vAlign w:val="top"/>
          </w:tcPr>
          <w:p>
            <w:pPr>
              <w:autoSpaceDE w:val="0"/>
              <w:autoSpaceDN w:val="0"/>
              <w:spacing w:line="30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（7）</w:t>
            </w:r>
          </w:p>
        </w:tc>
        <w:tc>
          <w:tcPr>
            <w:tcW w:w="943" w:type="dxa"/>
            <w:tcBorders>
              <w:top w:val="single" w:color="auto" w:sz="4" w:space="0"/>
              <w:left w:val="nil"/>
              <w:bottom w:val="single" w:color="auto" w:sz="4" w:space="0"/>
              <w:right w:val="nil"/>
            </w:tcBorders>
            <w:shd w:val="clear" w:color="auto" w:fill="FFFFFF"/>
            <w:vAlign w:val="top"/>
          </w:tcPr>
          <w:p>
            <w:pPr>
              <w:autoSpaceDE w:val="0"/>
              <w:autoSpaceDN w:val="0"/>
              <w:spacing w:line="30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（8）</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174" w:type="dxa"/>
            <w:vMerge w:val="restart"/>
            <w:tcBorders>
              <w:top w:val="single" w:color="auto" w:sz="4" w:space="0"/>
              <w:bottom w:val="nil"/>
              <w:right w:val="single" w:color="auto" w:sz="4" w:space="0"/>
            </w:tcBorders>
            <w:shd w:val="clear" w:color="auto" w:fill="FFFFFF"/>
            <w:vAlign w:val="top"/>
          </w:tcPr>
          <w:p>
            <w:pPr>
              <w:spacing w:line="300" w:lineRule="exact"/>
              <w:rPr>
                <w:rFonts w:ascii="Times New Roman" w:hAnsi="Times New Roman" w:eastAsia="宋体" w:cs="Times New Roman"/>
                <w:kern w:val="0"/>
                <w:sz w:val="18"/>
                <w:szCs w:val="18"/>
              </w:rPr>
            </w:pPr>
            <w:r>
              <w:rPr>
                <w:rFonts w:hint="eastAsia" w:ascii="Calibri" w:hAnsi="Calibri" w:eastAsia="宋体" w:cs="Times New Roman"/>
                <w:bCs/>
                <w:sz w:val="18"/>
                <w:szCs w:val="18"/>
              </w:rPr>
              <w:t>总指数</w:t>
            </w:r>
          </w:p>
        </w:tc>
        <w:tc>
          <w:tcPr>
            <w:tcW w:w="939" w:type="dxa"/>
            <w:tcBorders>
              <w:top w:val="single" w:color="auto" w:sz="4" w:space="0"/>
              <w:left w:val="single" w:color="auto" w:sz="4" w:space="0"/>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0.099</w:t>
            </w:r>
            <w:r>
              <w:rPr>
                <w:rFonts w:hint="eastAsia" w:ascii="Times New Roman" w:hAnsi="Times New Roman" w:eastAsia="宋体" w:cs="Times New Roman"/>
                <w:kern w:val="0"/>
                <w:sz w:val="18"/>
                <w:szCs w:val="18"/>
                <w:vertAlign w:val="superscript"/>
              </w:rPr>
              <w:t>***</w:t>
            </w:r>
          </w:p>
        </w:tc>
        <w:tc>
          <w:tcPr>
            <w:tcW w:w="939" w:type="dxa"/>
            <w:tcBorders>
              <w:top w:val="single" w:color="auto" w:sz="4" w:space="0"/>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single" w:color="auto" w:sz="4" w:space="0"/>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single" w:color="auto" w:sz="4" w:space="0"/>
              <w:left w:val="nil"/>
              <w:bottom w:val="nil"/>
              <w:right w:val="single" w:color="auto" w:sz="4" w:space="0"/>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gridSpan w:val="2"/>
            <w:tcBorders>
              <w:top w:val="single" w:color="auto" w:sz="4" w:space="0"/>
              <w:left w:val="single" w:color="auto" w:sz="4" w:space="0"/>
              <w:bottom w:val="nil"/>
              <w:right w:val="nil"/>
            </w:tcBorders>
            <w:shd w:val="clear" w:color="auto" w:fill="FFFFFF"/>
            <w:vAlign w:val="top"/>
          </w:tcPr>
          <w:p>
            <w:pPr>
              <w:autoSpaceDE w:val="0"/>
              <w:autoSpaceDN w:val="0"/>
              <w:spacing w:line="300" w:lineRule="exact"/>
              <w:jc w:val="both"/>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−0.089</w:t>
            </w:r>
            <w:r>
              <w:rPr>
                <w:rFonts w:hint="eastAsia" w:ascii="Times New Roman" w:hAnsi="Times New Roman" w:eastAsia="宋体" w:cs="Times New Roman"/>
                <w:kern w:val="0"/>
                <w:sz w:val="18"/>
                <w:szCs w:val="18"/>
                <w:vertAlign w:val="superscript"/>
              </w:rPr>
              <w:t>***</w:t>
            </w:r>
          </w:p>
        </w:tc>
        <w:tc>
          <w:tcPr>
            <w:tcW w:w="939" w:type="dxa"/>
            <w:tcBorders>
              <w:top w:val="single" w:color="auto" w:sz="4" w:space="0"/>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single" w:color="auto" w:sz="4" w:space="0"/>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43" w:type="dxa"/>
            <w:tcBorders>
              <w:top w:val="single" w:color="auto" w:sz="4" w:space="0"/>
              <w:left w:val="nil"/>
              <w:bottom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174" w:type="dxa"/>
            <w:vMerge w:val="continue"/>
            <w:tcBorders>
              <w:top w:val="nil"/>
              <w:bottom w:val="nil"/>
              <w:right w:val="single" w:color="auto" w:sz="4" w:space="0"/>
            </w:tcBorders>
            <w:shd w:val="clear" w:color="auto" w:fill="FFFFFF"/>
            <w:vAlign w:val="center"/>
          </w:tcPr>
          <w:p>
            <w:pPr>
              <w:autoSpaceDE w:val="0"/>
              <w:autoSpaceDN w:val="0"/>
              <w:spacing w:line="300" w:lineRule="exact"/>
              <w:rPr>
                <w:rFonts w:ascii="Times New Roman" w:hAnsi="Times New Roman" w:eastAsia="宋体" w:cs="Times New Roman"/>
                <w:kern w:val="0"/>
                <w:sz w:val="18"/>
                <w:szCs w:val="18"/>
              </w:rPr>
            </w:pPr>
          </w:p>
        </w:tc>
        <w:tc>
          <w:tcPr>
            <w:tcW w:w="939" w:type="dxa"/>
            <w:tcBorders>
              <w:top w:val="nil"/>
              <w:left w:val="single" w:color="auto" w:sz="4" w:space="0"/>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(0.031)</w:t>
            </w: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single" w:color="auto" w:sz="4" w:space="0"/>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gridSpan w:val="2"/>
            <w:tcBorders>
              <w:top w:val="nil"/>
              <w:left w:val="single" w:color="auto" w:sz="4" w:space="0"/>
              <w:bottom w:val="nil"/>
              <w:right w:val="nil"/>
            </w:tcBorders>
            <w:shd w:val="clear" w:color="auto" w:fill="FFFFFF"/>
            <w:vAlign w:val="top"/>
          </w:tcPr>
          <w:p>
            <w:pPr>
              <w:autoSpaceDE w:val="0"/>
              <w:autoSpaceDN w:val="0"/>
              <w:spacing w:line="30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(0.018)</w:t>
            </w: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43" w:type="dxa"/>
            <w:tcBorders>
              <w:top w:val="nil"/>
              <w:left w:val="nil"/>
              <w:bottom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174" w:type="dxa"/>
            <w:vMerge w:val="restart"/>
            <w:tcBorders>
              <w:top w:val="nil"/>
              <w:bottom w:val="nil"/>
              <w:right w:val="single" w:color="auto" w:sz="4" w:space="0"/>
            </w:tcBorders>
            <w:shd w:val="clear" w:color="auto" w:fill="FFFFFF"/>
            <w:vAlign w:val="top"/>
          </w:tcPr>
          <w:p>
            <w:pPr>
              <w:spacing w:line="300" w:lineRule="exact"/>
              <w:rPr>
                <w:rFonts w:hint="eastAsia" w:ascii="Times New Roman" w:hAnsi="Times New Roman" w:eastAsia="宋体" w:cs="Times New Roman"/>
                <w:kern w:val="0"/>
                <w:sz w:val="18"/>
                <w:szCs w:val="18"/>
              </w:rPr>
            </w:pPr>
            <w:r>
              <w:rPr>
                <w:rFonts w:hint="eastAsia" w:ascii="Calibri" w:hAnsi="Calibri" w:eastAsia="宋体" w:cs="Times New Roman"/>
                <w:bCs/>
                <w:sz w:val="18"/>
                <w:szCs w:val="18"/>
                <w:lang w:bidi="ar"/>
              </w:rPr>
              <w:t>覆盖广度</w:t>
            </w:r>
          </w:p>
        </w:tc>
        <w:tc>
          <w:tcPr>
            <w:tcW w:w="939" w:type="dxa"/>
            <w:tcBorders>
              <w:top w:val="nil"/>
              <w:left w:val="single" w:color="auto" w:sz="4" w:space="0"/>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vAlign w:val="top"/>
          </w:tcPr>
          <w:p>
            <w:pPr>
              <w:autoSpaceDE w:val="0"/>
              <w:autoSpaceDN w:val="0"/>
              <w:spacing w:line="30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−0.018</w:t>
            </w: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single" w:color="auto" w:sz="4" w:space="0"/>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gridSpan w:val="2"/>
            <w:tcBorders>
              <w:top w:val="nil"/>
              <w:left w:val="single" w:color="auto" w:sz="4" w:space="0"/>
              <w:bottom w:val="nil"/>
              <w:right w:val="nil"/>
            </w:tcBorders>
            <w:shd w:val="clear" w:color="auto" w:fill="FFFFFF"/>
          </w:tcPr>
          <w:p>
            <w:pPr>
              <w:autoSpaceDE w:val="0"/>
              <w:autoSpaceDN w:val="0"/>
              <w:spacing w:line="300" w:lineRule="exact"/>
              <w:jc w:val="center"/>
              <w:rPr>
                <w:rFonts w:hint="eastAsia"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vAlign w:val="top"/>
          </w:tcPr>
          <w:p>
            <w:pPr>
              <w:autoSpaceDE w:val="0"/>
              <w:autoSpaceDN w:val="0"/>
              <w:spacing w:line="300" w:lineRule="exact"/>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0.003</w:t>
            </w:r>
          </w:p>
        </w:tc>
        <w:tc>
          <w:tcPr>
            <w:tcW w:w="939" w:type="dxa"/>
            <w:tcBorders>
              <w:top w:val="nil"/>
              <w:left w:val="nil"/>
              <w:bottom w:val="nil"/>
              <w:right w:val="nil"/>
            </w:tcBorders>
            <w:shd w:val="clear" w:color="auto" w:fill="FFFFFF"/>
          </w:tcPr>
          <w:p>
            <w:pPr>
              <w:autoSpaceDE w:val="0"/>
              <w:autoSpaceDN w:val="0"/>
              <w:spacing w:line="300" w:lineRule="exact"/>
              <w:jc w:val="center"/>
              <w:rPr>
                <w:rFonts w:hint="eastAsia" w:ascii="Times New Roman" w:hAnsi="Times New Roman" w:eastAsia="宋体" w:cs="Times New Roman"/>
                <w:kern w:val="0"/>
                <w:sz w:val="18"/>
                <w:szCs w:val="18"/>
              </w:rPr>
            </w:pPr>
          </w:p>
        </w:tc>
        <w:tc>
          <w:tcPr>
            <w:tcW w:w="943" w:type="dxa"/>
            <w:tcBorders>
              <w:top w:val="nil"/>
              <w:left w:val="nil"/>
              <w:bottom w:val="nil"/>
            </w:tcBorders>
            <w:shd w:val="clear" w:color="auto" w:fill="FFFFFF"/>
          </w:tcPr>
          <w:p>
            <w:pPr>
              <w:autoSpaceDE w:val="0"/>
              <w:autoSpaceDN w:val="0"/>
              <w:spacing w:line="300" w:lineRule="exact"/>
              <w:jc w:val="center"/>
              <w:rPr>
                <w:rFonts w:hint="eastAsia" w:ascii="Times New Roman" w:hAnsi="Times New Roman" w:eastAsia="宋体" w:cs="Times New Roman"/>
                <w:kern w:val="0"/>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174" w:type="dxa"/>
            <w:vMerge w:val="continue"/>
            <w:tcBorders>
              <w:top w:val="nil"/>
              <w:bottom w:val="nil"/>
              <w:right w:val="single" w:color="auto" w:sz="4" w:space="0"/>
            </w:tcBorders>
            <w:shd w:val="clear" w:color="auto" w:fill="FFFFFF"/>
            <w:vAlign w:val="center"/>
          </w:tcPr>
          <w:p>
            <w:pPr>
              <w:autoSpaceDE w:val="0"/>
              <w:autoSpaceDN w:val="0"/>
              <w:spacing w:line="300" w:lineRule="exact"/>
              <w:rPr>
                <w:rFonts w:hint="eastAsia" w:ascii="Times New Roman" w:hAnsi="Times New Roman" w:eastAsia="宋体" w:cs="Times New Roman"/>
                <w:kern w:val="0"/>
                <w:sz w:val="18"/>
                <w:szCs w:val="18"/>
              </w:rPr>
            </w:pPr>
          </w:p>
        </w:tc>
        <w:tc>
          <w:tcPr>
            <w:tcW w:w="939" w:type="dxa"/>
            <w:tcBorders>
              <w:top w:val="nil"/>
              <w:left w:val="single" w:color="auto" w:sz="4" w:space="0"/>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vAlign w:val="top"/>
          </w:tcPr>
          <w:p>
            <w:pPr>
              <w:autoSpaceDE w:val="0"/>
              <w:autoSpaceDN w:val="0"/>
              <w:spacing w:line="30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(0.021)</w:t>
            </w: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single" w:color="auto" w:sz="4" w:space="0"/>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gridSpan w:val="2"/>
            <w:tcBorders>
              <w:top w:val="nil"/>
              <w:left w:val="single" w:color="auto" w:sz="4" w:space="0"/>
              <w:bottom w:val="nil"/>
              <w:right w:val="nil"/>
            </w:tcBorders>
            <w:shd w:val="clear" w:color="auto" w:fill="FFFFFF"/>
          </w:tcPr>
          <w:p>
            <w:pPr>
              <w:autoSpaceDE w:val="0"/>
              <w:autoSpaceDN w:val="0"/>
              <w:spacing w:line="300" w:lineRule="exact"/>
              <w:jc w:val="center"/>
              <w:rPr>
                <w:rFonts w:hint="eastAsia"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vAlign w:val="top"/>
          </w:tcPr>
          <w:p>
            <w:pPr>
              <w:autoSpaceDE w:val="0"/>
              <w:autoSpaceDN w:val="0"/>
              <w:spacing w:line="300" w:lineRule="exact"/>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(0.012)</w:t>
            </w:r>
          </w:p>
        </w:tc>
        <w:tc>
          <w:tcPr>
            <w:tcW w:w="939" w:type="dxa"/>
            <w:tcBorders>
              <w:top w:val="nil"/>
              <w:left w:val="nil"/>
              <w:bottom w:val="nil"/>
              <w:right w:val="nil"/>
            </w:tcBorders>
            <w:shd w:val="clear" w:color="auto" w:fill="FFFFFF"/>
          </w:tcPr>
          <w:p>
            <w:pPr>
              <w:autoSpaceDE w:val="0"/>
              <w:autoSpaceDN w:val="0"/>
              <w:spacing w:line="300" w:lineRule="exact"/>
              <w:jc w:val="center"/>
              <w:rPr>
                <w:rFonts w:hint="eastAsia" w:ascii="Times New Roman" w:hAnsi="Times New Roman" w:eastAsia="宋体" w:cs="Times New Roman"/>
                <w:kern w:val="0"/>
                <w:sz w:val="18"/>
                <w:szCs w:val="18"/>
              </w:rPr>
            </w:pPr>
          </w:p>
        </w:tc>
        <w:tc>
          <w:tcPr>
            <w:tcW w:w="943" w:type="dxa"/>
            <w:tcBorders>
              <w:top w:val="nil"/>
              <w:left w:val="nil"/>
              <w:bottom w:val="nil"/>
            </w:tcBorders>
            <w:shd w:val="clear" w:color="auto" w:fill="FFFFFF"/>
          </w:tcPr>
          <w:p>
            <w:pPr>
              <w:autoSpaceDE w:val="0"/>
              <w:autoSpaceDN w:val="0"/>
              <w:spacing w:line="300" w:lineRule="exact"/>
              <w:jc w:val="center"/>
              <w:rPr>
                <w:rFonts w:hint="eastAsia" w:ascii="Times New Roman" w:hAnsi="Times New Roman" w:eastAsia="宋体" w:cs="Times New Roman"/>
                <w:kern w:val="0"/>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174" w:type="dxa"/>
            <w:vMerge w:val="restart"/>
            <w:tcBorders>
              <w:top w:val="nil"/>
              <w:bottom w:val="nil"/>
              <w:right w:val="single" w:color="auto" w:sz="4" w:space="0"/>
            </w:tcBorders>
            <w:shd w:val="clear" w:color="auto" w:fill="FFFFFF"/>
            <w:vAlign w:val="top"/>
          </w:tcPr>
          <w:p>
            <w:pPr>
              <w:spacing w:line="300" w:lineRule="exact"/>
              <w:rPr>
                <w:rFonts w:hint="eastAsia" w:ascii="Times New Roman" w:hAnsi="Times New Roman" w:eastAsia="宋体" w:cs="Times New Roman"/>
                <w:kern w:val="0"/>
                <w:sz w:val="18"/>
                <w:szCs w:val="18"/>
              </w:rPr>
            </w:pPr>
            <w:r>
              <w:rPr>
                <w:rFonts w:hint="eastAsia" w:ascii="Calibri" w:hAnsi="Calibri" w:eastAsia="宋体" w:cs="Times New Roman"/>
                <w:bCs/>
                <w:sz w:val="18"/>
                <w:szCs w:val="18"/>
                <w:lang w:bidi="ar"/>
              </w:rPr>
              <w:t>使用深度</w:t>
            </w:r>
          </w:p>
        </w:tc>
        <w:tc>
          <w:tcPr>
            <w:tcW w:w="939" w:type="dxa"/>
            <w:tcBorders>
              <w:top w:val="nil"/>
              <w:left w:val="single" w:color="auto" w:sz="4" w:space="0"/>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vAlign w:val="top"/>
          </w:tcPr>
          <w:p>
            <w:pPr>
              <w:autoSpaceDE w:val="0"/>
              <w:autoSpaceDN w:val="0"/>
              <w:spacing w:line="30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0.144</w:t>
            </w:r>
            <w:r>
              <w:rPr>
                <w:rFonts w:hint="eastAsia" w:ascii="Times New Roman" w:hAnsi="Times New Roman" w:eastAsia="宋体" w:cs="Times New Roman"/>
                <w:kern w:val="0"/>
                <w:sz w:val="18"/>
                <w:szCs w:val="18"/>
                <w:vertAlign w:val="superscript"/>
              </w:rPr>
              <w:t>***</w:t>
            </w:r>
          </w:p>
        </w:tc>
        <w:tc>
          <w:tcPr>
            <w:tcW w:w="939" w:type="dxa"/>
            <w:tcBorders>
              <w:top w:val="nil"/>
              <w:left w:val="nil"/>
              <w:bottom w:val="nil"/>
              <w:right w:val="single" w:color="auto" w:sz="4" w:space="0"/>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gridSpan w:val="2"/>
            <w:tcBorders>
              <w:top w:val="nil"/>
              <w:left w:val="single" w:color="auto" w:sz="4" w:space="0"/>
              <w:bottom w:val="nil"/>
              <w:right w:val="nil"/>
            </w:tcBorders>
            <w:shd w:val="clear" w:color="auto" w:fill="FFFFFF"/>
          </w:tcPr>
          <w:p>
            <w:pPr>
              <w:autoSpaceDE w:val="0"/>
              <w:autoSpaceDN w:val="0"/>
              <w:spacing w:line="300" w:lineRule="exact"/>
              <w:jc w:val="center"/>
              <w:rPr>
                <w:rFonts w:hint="eastAsia"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tcPr>
          <w:p>
            <w:pPr>
              <w:autoSpaceDE w:val="0"/>
              <w:autoSpaceDN w:val="0"/>
              <w:spacing w:line="300" w:lineRule="exact"/>
              <w:jc w:val="center"/>
              <w:rPr>
                <w:rFonts w:hint="eastAsia"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vAlign w:val="top"/>
          </w:tcPr>
          <w:p>
            <w:pPr>
              <w:autoSpaceDE w:val="0"/>
              <w:autoSpaceDN w:val="0"/>
              <w:spacing w:line="300" w:lineRule="exact"/>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−0.122</w:t>
            </w:r>
            <w:r>
              <w:rPr>
                <w:rFonts w:hint="eastAsia" w:ascii="Times New Roman" w:hAnsi="Times New Roman" w:eastAsia="宋体" w:cs="Times New Roman"/>
                <w:kern w:val="0"/>
                <w:sz w:val="18"/>
                <w:szCs w:val="18"/>
                <w:vertAlign w:val="superscript"/>
              </w:rPr>
              <w:t>***</w:t>
            </w:r>
          </w:p>
        </w:tc>
        <w:tc>
          <w:tcPr>
            <w:tcW w:w="943" w:type="dxa"/>
            <w:tcBorders>
              <w:top w:val="nil"/>
              <w:left w:val="nil"/>
              <w:bottom w:val="nil"/>
            </w:tcBorders>
            <w:shd w:val="clear" w:color="auto" w:fill="FFFFFF"/>
          </w:tcPr>
          <w:p>
            <w:pPr>
              <w:autoSpaceDE w:val="0"/>
              <w:autoSpaceDN w:val="0"/>
              <w:spacing w:line="300" w:lineRule="exact"/>
              <w:jc w:val="center"/>
              <w:rPr>
                <w:rFonts w:hint="eastAsia" w:ascii="Times New Roman" w:hAnsi="Times New Roman" w:eastAsia="宋体" w:cs="Times New Roman"/>
                <w:kern w:val="0"/>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174" w:type="dxa"/>
            <w:vMerge w:val="continue"/>
            <w:tcBorders>
              <w:top w:val="nil"/>
              <w:bottom w:val="nil"/>
              <w:right w:val="single" w:color="auto" w:sz="4" w:space="0"/>
            </w:tcBorders>
            <w:shd w:val="clear" w:color="auto" w:fill="FFFFFF"/>
            <w:vAlign w:val="center"/>
          </w:tcPr>
          <w:p>
            <w:pPr>
              <w:autoSpaceDE w:val="0"/>
              <w:autoSpaceDN w:val="0"/>
              <w:spacing w:line="300" w:lineRule="exact"/>
              <w:rPr>
                <w:rFonts w:hint="eastAsia" w:ascii="Times New Roman" w:hAnsi="Times New Roman" w:eastAsia="宋体" w:cs="Times New Roman"/>
                <w:kern w:val="0"/>
                <w:sz w:val="18"/>
                <w:szCs w:val="18"/>
              </w:rPr>
            </w:pPr>
          </w:p>
        </w:tc>
        <w:tc>
          <w:tcPr>
            <w:tcW w:w="939" w:type="dxa"/>
            <w:tcBorders>
              <w:top w:val="nil"/>
              <w:left w:val="single" w:color="auto" w:sz="4" w:space="0"/>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vAlign w:val="top"/>
          </w:tcPr>
          <w:p>
            <w:pPr>
              <w:autoSpaceDE w:val="0"/>
              <w:autoSpaceDN w:val="0"/>
              <w:spacing w:line="30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(0.026)</w:t>
            </w:r>
          </w:p>
        </w:tc>
        <w:tc>
          <w:tcPr>
            <w:tcW w:w="939" w:type="dxa"/>
            <w:tcBorders>
              <w:top w:val="nil"/>
              <w:left w:val="nil"/>
              <w:bottom w:val="nil"/>
              <w:right w:val="single" w:color="auto" w:sz="4" w:space="0"/>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gridSpan w:val="2"/>
            <w:tcBorders>
              <w:top w:val="nil"/>
              <w:left w:val="single" w:color="auto" w:sz="4" w:space="0"/>
              <w:bottom w:val="nil"/>
              <w:right w:val="nil"/>
            </w:tcBorders>
            <w:shd w:val="clear" w:color="auto" w:fill="FFFFFF"/>
          </w:tcPr>
          <w:p>
            <w:pPr>
              <w:autoSpaceDE w:val="0"/>
              <w:autoSpaceDN w:val="0"/>
              <w:spacing w:line="300" w:lineRule="exact"/>
              <w:jc w:val="center"/>
              <w:rPr>
                <w:rFonts w:hint="eastAsia"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tcPr>
          <w:p>
            <w:pPr>
              <w:autoSpaceDE w:val="0"/>
              <w:autoSpaceDN w:val="0"/>
              <w:spacing w:line="300" w:lineRule="exact"/>
              <w:jc w:val="center"/>
              <w:rPr>
                <w:rFonts w:hint="eastAsia"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vAlign w:val="top"/>
          </w:tcPr>
          <w:p>
            <w:pPr>
              <w:autoSpaceDE w:val="0"/>
              <w:autoSpaceDN w:val="0"/>
              <w:spacing w:line="300" w:lineRule="exact"/>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(0.015)</w:t>
            </w:r>
          </w:p>
        </w:tc>
        <w:tc>
          <w:tcPr>
            <w:tcW w:w="943" w:type="dxa"/>
            <w:tcBorders>
              <w:top w:val="nil"/>
              <w:left w:val="nil"/>
              <w:bottom w:val="nil"/>
            </w:tcBorders>
            <w:shd w:val="clear" w:color="auto" w:fill="FFFFFF"/>
          </w:tcPr>
          <w:p>
            <w:pPr>
              <w:autoSpaceDE w:val="0"/>
              <w:autoSpaceDN w:val="0"/>
              <w:spacing w:line="300" w:lineRule="exact"/>
              <w:jc w:val="center"/>
              <w:rPr>
                <w:rFonts w:hint="eastAsia" w:ascii="Times New Roman" w:hAnsi="Times New Roman" w:eastAsia="宋体" w:cs="Times New Roman"/>
                <w:kern w:val="0"/>
                <w:sz w:val="18"/>
                <w:szCs w:val="18"/>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174" w:type="dxa"/>
            <w:vMerge w:val="restart"/>
            <w:tcBorders>
              <w:top w:val="nil"/>
              <w:bottom w:val="single" w:color="auto" w:sz="4" w:space="0"/>
              <w:right w:val="single" w:color="auto" w:sz="4" w:space="0"/>
            </w:tcBorders>
            <w:shd w:val="clear" w:color="auto" w:fill="FFFFFF"/>
            <w:vAlign w:val="top"/>
          </w:tcPr>
          <w:p>
            <w:pPr>
              <w:spacing w:line="300" w:lineRule="exact"/>
              <w:rPr>
                <w:rFonts w:ascii="Calibri" w:hAnsi="Calibri" w:eastAsia="宋体" w:cs="Times New Roman"/>
                <w:bCs/>
                <w:kern w:val="2"/>
                <w:sz w:val="18"/>
                <w:szCs w:val="18"/>
                <w:lang w:val="en-US" w:eastAsia="zh-CN" w:bidi="ar"/>
              </w:rPr>
            </w:pPr>
            <w:r>
              <w:rPr>
                <w:rFonts w:hint="eastAsia" w:ascii="Calibri" w:hAnsi="Calibri" w:eastAsia="宋体" w:cs="Times New Roman"/>
                <w:bCs/>
                <w:sz w:val="18"/>
                <w:szCs w:val="18"/>
                <w:lang w:bidi="ar"/>
              </w:rPr>
              <w:t>数字化程度</w:t>
            </w:r>
          </w:p>
        </w:tc>
        <w:tc>
          <w:tcPr>
            <w:tcW w:w="939" w:type="dxa"/>
            <w:tcBorders>
              <w:top w:val="nil"/>
              <w:left w:val="single" w:color="auto" w:sz="4" w:space="0"/>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single" w:color="auto" w:sz="4" w:space="0"/>
            </w:tcBorders>
            <w:shd w:val="clear" w:color="auto" w:fill="FFFFFF"/>
            <w:vAlign w:val="top"/>
          </w:tcPr>
          <w:p>
            <w:pPr>
              <w:autoSpaceDE w:val="0"/>
              <w:autoSpaceDN w:val="0"/>
              <w:spacing w:line="30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0.210</w:t>
            </w:r>
            <w:r>
              <w:rPr>
                <w:rFonts w:hint="eastAsia" w:ascii="Times New Roman" w:hAnsi="Times New Roman" w:eastAsia="宋体" w:cs="Times New Roman"/>
                <w:kern w:val="0"/>
                <w:sz w:val="18"/>
                <w:szCs w:val="18"/>
                <w:vertAlign w:val="superscript"/>
              </w:rPr>
              <w:t>***</w:t>
            </w:r>
          </w:p>
        </w:tc>
        <w:tc>
          <w:tcPr>
            <w:tcW w:w="939" w:type="dxa"/>
            <w:gridSpan w:val="2"/>
            <w:tcBorders>
              <w:top w:val="nil"/>
              <w:left w:val="single" w:color="auto" w:sz="4" w:space="0"/>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43" w:type="dxa"/>
            <w:tcBorders>
              <w:top w:val="nil"/>
              <w:left w:val="nil"/>
              <w:bottom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−0.165</w:t>
            </w:r>
            <w:r>
              <w:rPr>
                <w:rFonts w:hint="eastAsia" w:ascii="Times New Roman" w:hAnsi="Times New Roman" w:eastAsia="宋体" w:cs="Times New Roman"/>
                <w:kern w:val="0"/>
                <w:sz w:val="18"/>
                <w:szCs w:val="18"/>
                <w:vertAlign w:val="superscript"/>
              </w:rPr>
              <w:t>***</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174" w:type="dxa"/>
            <w:vMerge w:val="continue"/>
            <w:tcBorders>
              <w:top w:val="single" w:color="auto" w:sz="4" w:space="0"/>
              <w:bottom w:val="single" w:color="auto" w:sz="4" w:space="0"/>
              <w:right w:val="single" w:color="auto" w:sz="4" w:space="0"/>
            </w:tcBorders>
            <w:shd w:val="clear" w:color="auto" w:fill="FFFFFF"/>
            <w:vAlign w:val="center"/>
          </w:tcPr>
          <w:p>
            <w:pPr>
              <w:autoSpaceDE w:val="0"/>
              <w:autoSpaceDN w:val="0"/>
              <w:spacing w:line="300" w:lineRule="exact"/>
              <w:rPr>
                <w:rFonts w:ascii="Times New Roman" w:hAnsi="Times New Roman" w:eastAsia="宋体" w:cs="Times New Roman"/>
                <w:kern w:val="0"/>
                <w:sz w:val="18"/>
                <w:szCs w:val="18"/>
              </w:rPr>
            </w:pPr>
          </w:p>
        </w:tc>
        <w:tc>
          <w:tcPr>
            <w:tcW w:w="939" w:type="dxa"/>
            <w:tcBorders>
              <w:top w:val="nil"/>
              <w:left w:val="single" w:color="auto" w:sz="4" w:space="0"/>
              <w:bottom w:val="single" w:color="auto" w:sz="4" w:space="0"/>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single" w:color="auto" w:sz="4" w:space="0"/>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single" w:color="auto" w:sz="4" w:space="0"/>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single" w:color="auto" w:sz="4" w:space="0"/>
              <w:right w:val="single" w:color="auto" w:sz="4" w:space="0"/>
            </w:tcBorders>
            <w:shd w:val="clear" w:color="auto" w:fill="FFFFFF"/>
            <w:vAlign w:val="top"/>
          </w:tcPr>
          <w:p>
            <w:pPr>
              <w:autoSpaceDE w:val="0"/>
              <w:autoSpaceDN w:val="0"/>
              <w:spacing w:line="300" w:lineRule="exact"/>
              <w:jc w:val="center"/>
              <w:rPr>
                <w:rFonts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rPr>
              <w:t>(0.037)</w:t>
            </w:r>
          </w:p>
        </w:tc>
        <w:tc>
          <w:tcPr>
            <w:tcW w:w="939" w:type="dxa"/>
            <w:gridSpan w:val="2"/>
            <w:tcBorders>
              <w:top w:val="nil"/>
              <w:left w:val="single" w:color="auto" w:sz="4" w:space="0"/>
              <w:bottom w:val="single" w:color="auto" w:sz="4" w:space="0"/>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single" w:color="auto" w:sz="4" w:space="0"/>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39" w:type="dxa"/>
            <w:tcBorders>
              <w:top w:val="nil"/>
              <w:left w:val="nil"/>
              <w:bottom w:val="single" w:color="auto" w:sz="4" w:space="0"/>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p>
        </w:tc>
        <w:tc>
          <w:tcPr>
            <w:tcW w:w="943" w:type="dxa"/>
            <w:tcBorders>
              <w:top w:val="nil"/>
              <w:left w:val="nil"/>
              <w:bottom w:val="single" w:color="auto" w:sz="4" w:space="0"/>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(0.022)</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174" w:type="dxa"/>
            <w:tcBorders>
              <w:top w:val="single" w:color="auto" w:sz="4" w:space="0"/>
              <w:bottom w:val="nil"/>
              <w:right w:val="single" w:color="auto" w:sz="4" w:space="0"/>
            </w:tcBorders>
            <w:shd w:val="clear" w:color="auto" w:fill="FFFFFF"/>
          </w:tcPr>
          <w:p>
            <w:pPr>
              <w:autoSpaceDE w:val="0"/>
              <w:autoSpaceDN w:val="0"/>
              <w:spacing w:line="30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控制变量</w:t>
            </w:r>
          </w:p>
        </w:tc>
        <w:tc>
          <w:tcPr>
            <w:tcW w:w="939" w:type="dxa"/>
            <w:tcBorders>
              <w:top w:val="single" w:color="auto" w:sz="4" w:space="0"/>
              <w:left w:val="single" w:color="auto" w:sz="4" w:space="0"/>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939" w:type="dxa"/>
            <w:tcBorders>
              <w:top w:val="single" w:color="auto" w:sz="4" w:space="0"/>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939" w:type="dxa"/>
            <w:tcBorders>
              <w:top w:val="single" w:color="auto" w:sz="4" w:space="0"/>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939" w:type="dxa"/>
            <w:tcBorders>
              <w:top w:val="single" w:color="auto" w:sz="4" w:space="0"/>
              <w:left w:val="nil"/>
              <w:bottom w:val="nil"/>
              <w:right w:val="single" w:color="auto" w:sz="4" w:space="0"/>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939" w:type="dxa"/>
            <w:gridSpan w:val="2"/>
            <w:tcBorders>
              <w:top w:val="single" w:color="auto" w:sz="4" w:space="0"/>
              <w:left w:val="single" w:color="auto" w:sz="4" w:space="0"/>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939" w:type="dxa"/>
            <w:tcBorders>
              <w:top w:val="single" w:color="auto" w:sz="4" w:space="0"/>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939" w:type="dxa"/>
            <w:tcBorders>
              <w:top w:val="single" w:color="auto" w:sz="4" w:space="0"/>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943" w:type="dxa"/>
            <w:tcBorders>
              <w:top w:val="single" w:color="auto" w:sz="4" w:space="0"/>
              <w:left w:val="nil"/>
              <w:bottom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174" w:type="dxa"/>
            <w:tcBorders>
              <w:top w:val="nil"/>
              <w:bottom w:val="nil"/>
              <w:right w:val="single" w:color="auto" w:sz="4" w:space="0"/>
            </w:tcBorders>
            <w:shd w:val="clear" w:color="auto" w:fill="FFFFFF"/>
          </w:tcPr>
          <w:p>
            <w:pPr>
              <w:spacing w:line="300" w:lineRule="exact"/>
              <w:rPr>
                <w:rFonts w:ascii="Times New Roman" w:hAnsi="Times New Roman" w:eastAsia="宋体" w:cs="Times New Roman"/>
                <w:bCs/>
                <w:sz w:val="18"/>
                <w:szCs w:val="18"/>
              </w:rPr>
            </w:pPr>
            <w:r>
              <w:rPr>
                <w:rFonts w:hint="eastAsia" w:ascii="Times New Roman" w:hAnsi="Times New Roman" w:eastAsia="宋体" w:cs="Times New Roman"/>
                <w:bCs/>
                <w:sz w:val="18"/>
                <w:szCs w:val="18"/>
              </w:rPr>
              <w:t>个体固定效应</w:t>
            </w:r>
          </w:p>
        </w:tc>
        <w:tc>
          <w:tcPr>
            <w:tcW w:w="939" w:type="dxa"/>
            <w:tcBorders>
              <w:top w:val="nil"/>
              <w:left w:val="single" w:color="auto" w:sz="4" w:space="0"/>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939" w:type="dxa"/>
            <w:tcBorders>
              <w:top w:val="nil"/>
              <w:left w:val="nil"/>
              <w:bottom w:val="nil"/>
              <w:right w:val="single" w:color="auto" w:sz="4" w:space="0"/>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939" w:type="dxa"/>
            <w:gridSpan w:val="2"/>
            <w:tcBorders>
              <w:top w:val="nil"/>
              <w:left w:val="single" w:color="auto" w:sz="4" w:space="0"/>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c>
          <w:tcPr>
            <w:tcW w:w="943" w:type="dxa"/>
            <w:tcBorders>
              <w:top w:val="nil"/>
              <w:left w:val="nil"/>
              <w:bottom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已控制</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174" w:type="dxa"/>
            <w:tcBorders>
              <w:top w:val="nil"/>
              <w:bottom w:val="nil"/>
              <w:right w:val="single" w:color="auto" w:sz="4" w:space="0"/>
            </w:tcBorders>
            <w:shd w:val="clear" w:color="auto" w:fill="FFFFFF"/>
          </w:tcPr>
          <w:p>
            <w:pPr>
              <w:autoSpaceDE w:val="0"/>
              <w:autoSpaceDN w:val="0"/>
              <w:spacing w:line="300" w:lineRule="exact"/>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观测值</w:t>
            </w:r>
          </w:p>
        </w:tc>
        <w:tc>
          <w:tcPr>
            <w:tcW w:w="939" w:type="dxa"/>
            <w:tcBorders>
              <w:top w:val="nil"/>
              <w:left w:val="single" w:color="auto" w:sz="4" w:space="0"/>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1079</w:t>
            </w: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1079</w:t>
            </w: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1079</w:t>
            </w:r>
          </w:p>
        </w:tc>
        <w:tc>
          <w:tcPr>
            <w:tcW w:w="939" w:type="dxa"/>
            <w:tcBorders>
              <w:top w:val="nil"/>
              <w:left w:val="nil"/>
              <w:bottom w:val="nil"/>
              <w:right w:val="single" w:color="auto" w:sz="4" w:space="0"/>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1079</w:t>
            </w:r>
          </w:p>
        </w:tc>
        <w:tc>
          <w:tcPr>
            <w:tcW w:w="939" w:type="dxa"/>
            <w:gridSpan w:val="2"/>
            <w:tcBorders>
              <w:top w:val="nil"/>
              <w:left w:val="single" w:color="auto" w:sz="4" w:space="0"/>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1079</w:t>
            </w: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1079</w:t>
            </w:r>
          </w:p>
        </w:tc>
        <w:tc>
          <w:tcPr>
            <w:tcW w:w="939" w:type="dxa"/>
            <w:tcBorders>
              <w:top w:val="nil"/>
              <w:left w:val="nil"/>
              <w:bottom w:val="nil"/>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1079</w:t>
            </w:r>
          </w:p>
        </w:tc>
        <w:tc>
          <w:tcPr>
            <w:tcW w:w="943" w:type="dxa"/>
            <w:tcBorders>
              <w:top w:val="nil"/>
              <w:left w:val="nil"/>
              <w:bottom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1079</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Ex>
        <w:trPr>
          <w:trHeight w:val="317" w:hRule="atLeast"/>
          <w:jc w:val="center"/>
        </w:trPr>
        <w:tc>
          <w:tcPr>
            <w:tcW w:w="1174" w:type="dxa"/>
            <w:tcBorders>
              <w:top w:val="nil"/>
              <w:bottom w:val="single" w:color="000000" w:sz="12" w:space="0"/>
              <w:right w:val="single" w:color="auto" w:sz="4" w:space="0"/>
            </w:tcBorders>
            <w:shd w:val="clear" w:color="auto" w:fill="FFFFFF"/>
          </w:tcPr>
          <w:p>
            <w:pPr>
              <w:autoSpaceDE w:val="0"/>
              <w:autoSpaceDN w:val="0"/>
              <w:spacing w:line="300" w:lineRule="exact"/>
              <w:rPr>
                <w:rFonts w:ascii="Times New Roman" w:hAnsi="Times New Roman" w:eastAsia="宋体" w:cs="Times New Roman"/>
                <w:kern w:val="0"/>
                <w:sz w:val="21"/>
                <w:szCs w:val="21"/>
              </w:rPr>
            </w:pPr>
            <w:r>
              <w:rPr>
                <w:rFonts w:hint="default" w:ascii="Times New Roman" w:hAnsi="Times New Roman" w:eastAsia="宋体" w:cs="Times New Roman"/>
                <w:bCs/>
                <w:sz w:val="18"/>
                <w:szCs w:val="18"/>
              </w:rPr>
              <w:t>R</w:t>
            </w:r>
            <w:r>
              <w:rPr>
                <w:rFonts w:hint="default" w:ascii="Times New Roman" w:hAnsi="Times New Roman" w:eastAsia="宋体" w:cs="Times New Roman"/>
                <w:bCs/>
                <w:sz w:val="18"/>
                <w:szCs w:val="18"/>
                <w:vertAlign w:val="superscript"/>
              </w:rPr>
              <w:t>2</w:t>
            </w:r>
          </w:p>
        </w:tc>
        <w:tc>
          <w:tcPr>
            <w:tcW w:w="939" w:type="dxa"/>
            <w:tcBorders>
              <w:top w:val="nil"/>
              <w:left w:val="single" w:color="auto" w:sz="4" w:space="0"/>
              <w:bottom w:val="single" w:color="000000" w:sz="12" w:space="0"/>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0.983</w:t>
            </w:r>
          </w:p>
        </w:tc>
        <w:tc>
          <w:tcPr>
            <w:tcW w:w="939" w:type="dxa"/>
            <w:tcBorders>
              <w:top w:val="nil"/>
              <w:left w:val="nil"/>
              <w:bottom w:val="single" w:color="000000" w:sz="12" w:space="0"/>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0.983</w:t>
            </w:r>
          </w:p>
        </w:tc>
        <w:tc>
          <w:tcPr>
            <w:tcW w:w="939" w:type="dxa"/>
            <w:tcBorders>
              <w:top w:val="nil"/>
              <w:left w:val="nil"/>
              <w:bottom w:val="single" w:color="000000" w:sz="12" w:space="0"/>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0.984</w:t>
            </w:r>
          </w:p>
        </w:tc>
        <w:tc>
          <w:tcPr>
            <w:tcW w:w="939" w:type="dxa"/>
            <w:tcBorders>
              <w:top w:val="nil"/>
              <w:left w:val="nil"/>
              <w:bottom w:val="single" w:color="000000" w:sz="12" w:space="0"/>
              <w:right w:val="single" w:color="auto" w:sz="4" w:space="0"/>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0.984</w:t>
            </w:r>
          </w:p>
        </w:tc>
        <w:tc>
          <w:tcPr>
            <w:tcW w:w="939" w:type="dxa"/>
            <w:gridSpan w:val="2"/>
            <w:tcBorders>
              <w:top w:val="nil"/>
              <w:left w:val="single" w:color="auto" w:sz="4" w:space="0"/>
              <w:bottom w:val="single" w:color="000000" w:sz="12" w:space="0"/>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0.994</w:t>
            </w:r>
          </w:p>
        </w:tc>
        <w:tc>
          <w:tcPr>
            <w:tcW w:w="939" w:type="dxa"/>
            <w:tcBorders>
              <w:top w:val="nil"/>
              <w:left w:val="nil"/>
              <w:bottom w:val="single" w:color="000000" w:sz="12" w:space="0"/>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0.994</w:t>
            </w:r>
          </w:p>
        </w:tc>
        <w:tc>
          <w:tcPr>
            <w:tcW w:w="939" w:type="dxa"/>
            <w:tcBorders>
              <w:top w:val="nil"/>
              <w:left w:val="nil"/>
              <w:bottom w:val="single" w:color="000000" w:sz="12" w:space="0"/>
              <w:right w:val="nil"/>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0.994</w:t>
            </w:r>
          </w:p>
        </w:tc>
        <w:tc>
          <w:tcPr>
            <w:tcW w:w="943" w:type="dxa"/>
            <w:tcBorders>
              <w:top w:val="nil"/>
              <w:left w:val="nil"/>
              <w:bottom w:val="single" w:color="000000" w:sz="12" w:space="0"/>
            </w:tcBorders>
            <w:shd w:val="clear" w:color="auto" w:fill="FFFFFF"/>
          </w:tcPr>
          <w:p>
            <w:pPr>
              <w:autoSpaceDE w:val="0"/>
              <w:autoSpaceDN w:val="0"/>
              <w:spacing w:line="300" w:lineRule="exac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0.994</w:t>
            </w:r>
          </w:p>
        </w:tc>
      </w:tr>
    </w:tbl>
    <w:p>
      <w:pPr>
        <w:widowControl/>
        <w:numPr>
          <w:ilvl w:val="255"/>
          <w:numId w:val="0"/>
        </w:numPr>
        <w:ind w:firstLine="332" w:firstLineChars="200"/>
        <w:jc w:val="both"/>
        <w:rPr>
          <w:rFonts w:ascii="Times New Roman" w:hAnsi="Times New Roman" w:eastAsia="宋体" w:cs="Times New Roman"/>
          <w:color w:val="000000"/>
          <w:sz w:val="18"/>
          <w:szCs w:val="16"/>
          <w:lang w:bidi="ar"/>
        </w:rPr>
      </w:pPr>
      <w:r>
        <w:rPr>
          <w:rFonts w:ascii="Times New Roman" w:hAnsi="Times New Roman" w:eastAsia="宋体" w:cs="Times New Roman"/>
          <w:color w:val="000000"/>
          <w:sz w:val="18"/>
          <w:szCs w:val="16"/>
        </w:rPr>
        <w:t>注：①*、**和***代表显著性水平10%、5%和1%。②括号内</w:t>
      </w:r>
      <w:r>
        <w:rPr>
          <w:rFonts w:hint="eastAsia" w:ascii="Times New Roman" w:hAnsi="Times New Roman" w:eastAsia="宋体" w:cs="Times New Roman"/>
          <w:color w:val="000000"/>
          <w:sz w:val="18"/>
          <w:szCs w:val="16"/>
          <w:lang w:val="en-US" w:eastAsia="zh-CN"/>
        </w:rPr>
        <w:t>的值</w:t>
      </w:r>
      <w:r>
        <w:rPr>
          <w:rFonts w:ascii="Times New Roman" w:hAnsi="Times New Roman" w:eastAsia="宋体" w:cs="Times New Roman"/>
          <w:color w:val="000000"/>
          <w:sz w:val="18"/>
          <w:szCs w:val="16"/>
        </w:rPr>
        <w:t>为稳健标准误。③控制变量与基准回归相同。</w:t>
      </w:r>
    </w:p>
    <w:p>
      <w:pPr>
        <w:rPr>
          <w:rFonts w:hint="eastAsia" w:ascii="Times New Roman" w:hAnsi="Times New Roman" w:eastAsia="宋体" w:cs="Times New Roman"/>
          <w:color w:val="000000"/>
          <w:sz w:val="18"/>
          <w:szCs w:val="16"/>
        </w:rPr>
      </w:pPr>
    </w:p>
    <w:p>
      <w:pPr>
        <w:pStyle w:val="96"/>
        <w:ind w:firstLine="166" w:firstLineChars="100"/>
        <w:rPr>
          <w:rFonts w:hint="eastAsia" w:ascii="宋体" w:hAnsi="宋体"/>
          <w:b/>
          <w:bCs/>
          <w:color w:val="000000"/>
          <w:sz w:val="18"/>
          <w:szCs w:val="18"/>
        </w:rPr>
      </w:pPr>
    </w:p>
    <w:p>
      <w:pPr>
        <w:keepNext w:val="0"/>
        <w:keepLines w:val="0"/>
        <w:widowControl/>
        <w:suppressLineNumbers w:val="0"/>
        <w:jc w:val="left"/>
        <w:rPr>
          <w:rFonts w:ascii="Calibri" w:hAnsi="Calibri" w:eastAsia="宋体"/>
        </w:rPr>
      </w:pPr>
      <w:r>
        <w:rPr>
          <w:rFonts w:hint="eastAsia" w:ascii="宋体" w:hAnsi="宋体" w:eastAsia="宋体" w:cs="宋体"/>
          <w:b/>
          <w:bCs/>
          <w:color w:val="FF0000"/>
          <w:kern w:val="0"/>
          <w:sz w:val="21"/>
          <w:szCs w:val="21"/>
          <w:lang w:val="en-US" w:eastAsia="zh-CN"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eastAsia="宋体" w:cs="宋体"/>
          <w:color w:val="3C3C3C"/>
          <w:kern w:val="0"/>
          <w:sz w:val="21"/>
          <w:szCs w:val="21"/>
          <w:lang w:val="en-US" w:eastAsia="zh-CN" w:bidi="ar"/>
        </w:rPr>
        <w:t>。</w:t>
      </w:r>
      <w:r>
        <w:rPr>
          <w:rFonts w:hint="eastAsia" w:ascii="宋体" w:hAnsi="宋体" w:eastAsia="宋体" w:cs="宋体"/>
          <w:b/>
          <w:bCs/>
          <w:color w:val="FF0000"/>
          <w:kern w:val="0"/>
          <w:sz w:val="21"/>
          <w:szCs w:val="21"/>
          <w:lang w:val="en-US" w:eastAsia="zh-CN" w:bidi="ar"/>
        </w:rPr>
        <w:t xml:space="preserve"> </w:t>
      </w:r>
    </w:p>
    <w:p>
      <w:pPr>
        <w:keepNext w:val="0"/>
        <w:keepLines w:val="0"/>
        <w:widowControl/>
        <w:suppressLineNumbers w:val="0"/>
        <w:jc w:val="left"/>
        <w:rPr>
          <w:rFonts w:ascii="Calibri" w:hAnsi="Calibri" w:eastAsia="宋体"/>
        </w:rPr>
      </w:pPr>
      <w:r>
        <w:rPr>
          <w:rFonts w:hint="eastAsia" w:ascii="宋体" w:hAnsi="宋体" w:eastAsia="宋体" w:cs="宋体"/>
          <w:color w:val="3C3C3C"/>
          <w:kern w:val="0"/>
          <w:sz w:val="21"/>
          <w:szCs w:val="21"/>
          <w:lang w:val="en-US" w:eastAsia="zh-CN" w:bidi="ar"/>
        </w:rPr>
        <w:t xml:space="preserve">引用示例： </w:t>
      </w:r>
    </w:p>
    <w:p>
      <w:pPr>
        <w:keepNext w:val="0"/>
        <w:keepLines w:val="0"/>
        <w:widowControl/>
        <w:suppressLineNumbers w:val="0"/>
        <w:jc w:val="left"/>
        <w:rPr>
          <w:rFonts w:ascii="Calibri" w:hAnsi="Calibri" w:eastAsia="宋体"/>
        </w:rPr>
      </w:pPr>
      <w:r>
        <w:rPr>
          <w:rFonts w:ascii="黑体" w:hAnsi="宋体" w:eastAsia="黑体" w:cs="黑体"/>
          <w:color w:val="000000"/>
          <w:kern w:val="0"/>
          <w:sz w:val="21"/>
          <w:szCs w:val="21"/>
          <w:lang w:val="en-US" w:eastAsia="zh-CN" w:bidi="ar"/>
        </w:rPr>
        <w:t>参考文献引用范例</w:t>
      </w:r>
      <w:r>
        <w:rPr>
          <w:rFonts w:hint="eastAsia" w:ascii="Arial" w:hAnsi="Arial" w:eastAsia="宋体" w:cs="Arial"/>
          <w:i w:val="0"/>
          <w:iCs w:val="0"/>
          <w:caps w:val="0"/>
          <w:color w:val="333333"/>
          <w:spacing w:val="0"/>
          <w:sz w:val="21"/>
          <w:szCs w:val="21"/>
          <w:shd w:val="clear" w:fill="FFFFFF"/>
          <w:lang w:val="en-US" w:eastAsia="zh-CN"/>
        </w:rPr>
        <w:t>（具体请根据目标投稿期刊对应调整体例</w:t>
      </w:r>
      <w:r>
        <w:rPr>
          <w:rFonts w:hint="eastAsia" w:ascii="Arial" w:hAnsi="Arial" w:cs="Arial"/>
          <w:i w:val="0"/>
          <w:iCs w:val="0"/>
          <w:caps w:val="0"/>
          <w:color w:val="333333"/>
          <w:spacing w:val="0"/>
          <w:sz w:val="21"/>
          <w:szCs w:val="21"/>
          <w:shd w:val="clear" w:fill="FFFFFF"/>
          <w:lang w:val="en-US" w:eastAsia="zh-CN"/>
        </w:rPr>
        <w:t>）</w:t>
      </w:r>
      <w:r>
        <w:rPr>
          <w:rFonts w:hint="eastAsia" w:ascii="Arial" w:hAnsi="Arial" w:eastAsia="宋体" w:cs="Arial"/>
          <w:i w:val="0"/>
          <w:iCs w:val="0"/>
          <w:caps w:val="0"/>
          <w:color w:val="333333"/>
          <w:spacing w:val="0"/>
          <w:sz w:val="21"/>
          <w:szCs w:val="21"/>
          <w:shd w:val="clear" w:fill="FFFFFF"/>
          <w:lang w:val="en-US" w:eastAsia="zh-CN"/>
        </w:rPr>
        <w:t xml:space="preserve">： </w:t>
      </w:r>
    </w:p>
    <w:p>
      <w:pPr>
        <w:keepNext w:val="0"/>
        <w:keepLines w:val="0"/>
        <w:widowControl/>
        <w:suppressLineNumbers w:val="0"/>
        <w:jc w:val="left"/>
        <w:rPr>
          <w:rFonts w:hint="default" w:ascii="Times New Roman" w:hAnsi="Times New Roman" w:eastAsia="宋体" w:cs="Times New Roman"/>
          <w:color w:val="000000"/>
          <w:spacing w:val="-2"/>
          <w:kern w:val="0"/>
          <w:sz w:val="21"/>
          <w:szCs w:val="21"/>
          <w:lang w:val="en-US" w:eastAsia="zh-CN" w:bidi="ar"/>
        </w:rPr>
      </w:pPr>
      <w:r>
        <w:rPr>
          <w:rFonts w:hint="eastAsia" w:ascii="宋体" w:hAnsi="宋体" w:eastAsia="宋体" w:cs="宋体"/>
          <w:color w:val="000000"/>
          <w:spacing w:val="-2"/>
          <w:kern w:val="0"/>
          <w:sz w:val="21"/>
          <w:szCs w:val="21"/>
          <w:lang w:val="en-US" w:eastAsia="zh-CN" w:bidi="ar"/>
        </w:rPr>
        <w:t>[</w:t>
      </w:r>
      <w:r>
        <w:rPr>
          <w:rFonts w:hint="default" w:ascii="Times New Roman" w:hAnsi="Times New Roman" w:eastAsia="宋体" w:cs="Times New Roman"/>
          <w:color w:val="000000"/>
          <w:spacing w:val="-2"/>
          <w:kern w:val="0"/>
          <w:sz w:val="21"/>
          <w:szCs w:val="21"/>
          <w:lang w:val="en-US" w:eastAsia="zh-CN" w:bidi="ar"/>
        </w:rPr>
        <w:t>1</w:t>
      </w:r>
      <w:r>
        <w:rPr>
          <w:rFonts w:hint="eastAsia" w:ascii="宋体" w:hAnsi="宋体" w:eastAsia="宋体" w:cs="宋体"/>
          <w:color w:val="000000"/>
          <w:spacing w:val="-2"/>
          <w:kern w:val="0"/>
          <w:sz w:val="21"/>
          <w:szCs w:val="21"/>
          <w:lang w:val="en-US" w:eastAsia="zh-CN" w:bidi="ar"/>
        </w:rPr>
        <w:t>]</w:t>
      </w:r>
      <w:r>
        <w:rPr>
          <w:rFonts w:ascii="Arial" w:hAnsi="Arial" w:eastAsia="宋体" w:cs="Arial"/>
          <w:i w:val="0"/>
          <w:iCs w:val="0"/>
          <w:caps w:val="0"/>
          <w:color w:val="333333"/>
          <w:spacing w:val="-2"/>
          <w:sz w:val="21"/>
          <w:szCs w:val="21"/>
          <w:shd w:val="clear" w:fill="FFFFFF"/>
        </w:rPr>
        <w:t>王术坤</w:t>
      </w:r>
      <w:r>
        <w:rPr>
          <w:rFonts w:hint="eastAsia" w:ascii="Arial" w:hAnsi="Arial" w:eastAsia="宋体" w:cs="Arial"/>
          <w:i w:val="0"/>
          <w:iCs w:val="0"/>
          <w:caps w:val="0"/>
          <w:color w:val="333333"/>
          <w:spacing w:val="-2"/>
          <w:sz w:val="21"/>
          <w:szCs w:val="21"/>
          <w:shd w:val="clear" w:fill="FFFFFF"/>
          <w:lang w:eastAsia="zh-CN"/>
        </w:rPr>
        <w:t>、</w:t>
      </w:r>
      <w:r>
        <w:rPr>
          <w:rFonts w:ascii="Arial" w:hAnsi="Arial" w:eastAsia="宋体" w:cs="Arial"/>
          <w:i w:val="0"/>
          <w:iCs w:val="0"/>
          <w:caps w:val="0"/>
          <w:color w:val="333333"/>
          <w:spacing w:val="-2"/>
          <w:sz w:val="21"/>
          <w:szCs w:val="21"/>
          <w:shd w:val="clear" w:fill="FFFFFF"/>
        </w:rPr>
        <w:t>林文声</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202</w:t>
      </w:r>
      <w:r>
        <w:rPr>
          <w:rFonts w:hint="eastAsia" w:ascii="Times New Roman" w:hAnsi="Times New Roman" w:eastAsia="宋体" w:cs="Times New Roman"/>
          <w:i w:val="0"/>
          <w:iCs w:val="0"/>
          <w:caps w:val="0"/>
          <w:color w:val="333333"/>
          <w:spacing w:val="-2"/>
          <w:sz w:val="21"/>
          <w:szCs w:val="21"/>
          <w:shd w:val="clear" w:fill="FFFFFF"/>
          <w:lang w:val="en-US" w:eastAsia="zh-CN"/>
        </w:rPr>
        <w:t>3</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rPr>
        <w:t>高标准农田建设的农地流转市场转型效应</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rPr>
        <w:t>中国农村经济</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第1</w:t>
      </w:r>
      <w:r>
        <w:rPr>
          <w:rFonts w:hint="eastAsia" w:ascii="Times New Roman" w:hAnsi="Times New Roman" w:eastAsia="宋体" w:cs="Times New Roman"/>
          <w:i w:val="0"/>
          <w:iCs w:val="0"/>
          <w:caps w:val="0"/>
          <w:color w:val="333333"/>
          <w:spacing w:val="-2"/>
          <w:sz w:val="21"/>
          <w:szCs w:val="21"/>
          <w:shd w:val="clear" w:fill="FFFFFF"/>
          <w:lang w:val="en-US" w:eastAsia="zh-CN"/>
        </w:rPr>
        <w:t>2</w:t>
      </w:r>
      <w:r>
        <w:rPr>
          <w:rFonts w:hint="default" w:ascii="Times New Roman" w:hAnsi="Times New Roman" w:eastAsia="宋体" w:cs="Times New Roman"/>
          <w:i w:val="0"/>
          <w:iCs w:val="0"/>
          <w:caps w:val="0"/>
          <w:color w:val="333333"/>
          <w:spacing w:val="-2"/>
          <w:sz w:val="21"/>
          <w:szCs w:val="21"/>
          <w:shd w:val="clear" w:fill="FFFFFF"/>
          <w:lang w:val="en-US" w:eastAsia="zh-CN"/>
        </w:rPr>
        <w:t>期，第</w:t>
      </w:r>
      <w:r>
        <w:rPr>
          <w:rFonts w:hint="default" w:ascii="Times New Roman" w:hAnsi="Times New Roman" w:eastAsia="宋体" w:cs="Times New Roman"/>
          <w:i w:val="0"/>
          <w:iCs w:val="0"/>
          <w:caps w:val="0"/>
          <w:color w:val="333333"/>
          <w:spacing w:val="-2"/>
          <w:sz w:val="21"/>
          <w:szCs w:val="21"/>
          <w:shd w:val="clear" w:fill="FFFFFF"/>
        </w:rPr>
        <w:t>23-43</w:t>
      </w:r>
      <w:r>
        <w:rPr>
          <w:rFonts w:hint="default" w:ascii="Times New Roman" w:hAnsi="Times New Roman" w:eastAsia="宋体" w:cs="Times New Roman"/>
          <w:i w:val="0"/>
          <w:iCs w:val="0"/>
          <w:caps w:val="0"/>
          <w:color w:val="333333"/>
          <w:spacing w:val="-2"/>
          <w:sz w:val="21"/>
          <w:szCs w:val="21"/>
          <w:shd w:val="clear" w:fill="FFFFFF"/>
          <w:lang w:val="en-US" w:eastAsia="zh-CN"/>
        </w:rPr>
        <w:t>页</w:t>
      </w:r>
      <w:r>
        <w:rPr>
          <w:rFonts w:hint="default" w:ascii="Times New Roman" w:hAnsi="Times New Roman" w:eastAsia="宋体" w:cs="Times New Roman"/>
          <w:i w:val="0"/>
          <w:iCs w:val="0"/>
          <w:caps w:val="0"/>
          <w:color w:val="333333"/>
          <w:spacing w:val="-2"/>
          <w:sz w:val="21"/>
          <w:szCs w:val="21"/>
          <w:shd w:val="clear" w:fill="FFFFFF"/>
          <w:lang w:eastAsia="zh-CN"/>
        </w:rPr>
        <w:t>。</w:t>
      </w:r>
    </w:p>
    <w:p>
      <w:pPr>
        <w:keepNext w:val="0"/>
        <w:keepLines w:val="0"/>
        <w:widowControl/>
        <w:suppressLineNumbers w:val="0"/>
        <w:jc w:val="left"/>
        <w:rPr>
          <w:rFonts w:hint="eastAsia" w:ascii="黑体" w:hAnsi="宋体" w:eastAsia="黑体" w:cs="黑体"/>
          <w:color w:val="00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黑体" w:hAnsi="宋体" w:eastAsia="黑体" w:cs="黑体"/>
          <w:color w:val="000000"/>
          <w:kern w:val="0"/>
          <w:sz w:val="21"/>
          <w:szCs w:val="21"/>
          <w:lang w:val="en-US" w:eastAsia="zh-CN" w:bidi="ar"/>
        </w:rPr>
        <w:t>如果研究中使用了未在《中国农村经济》纸质版刊发、但在杂志网站上正式公开发表的数字内容（包括数据、程序、附录文件），请务必在研究成果正文中注明：</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ascii="Calibri" w:hAnsi="Calibri" w:eastAsia="宋体"/>
          <w:spacing w:val="-1"/>
        </w:rPr>
      </w:pPr>
      <w:r>
        <w:rPr>
          <w:rFonts w:hint="eastAsia" w:ascii="Calibri" w:hAnsi="Calibri" w:eastAsia="宋体"/>
          <w:spacing w:val="-1"/>
        </w:rPr>
        <w:t>某数据（及程序等或其他材料</w:t>
      </w:r>
      <w:r>
        <w:rPr>
          <w:rFonts w:hint="eastAsia" w:ascii="Calibri" w:hAnsi="Calibri"/>
          <w:spacing w:val="-1"/>
          <w:lang w:eastAsia="zh-CN"/>
        </w:rPr>
        <w:t>）</w:t>
      </w:r>
      <w:r>
        <w:rPr>
          <w:rFonts w:hint="eastAsia" w:ascii="Calibri" w:hAnsi="Calibri" w:eastAsia="宋体"/>
          <w:spacing w:val="-1"/>
        </w:rPr>
        <w:t>来自</w:t>
      </w:r>
      <w:r>
        <w:rPr>
          <w:rFonts w:ascii="Arial" w:hAnsi="Arial" w:eastAsia="宋体" w:cs="Arial"/>
          <w:i w:val="0"/>
          <w:iCs w:val="0"/>
          <w:caps w:val="0"/>
          <w:color w:val="333333"/>
          <w:spacing w:val="-1"/>
          <w:sz w:val="21"/>
          <w:szCs w:val="21"/>
          <w:shd w:val="clear" w:fill="FFFFFF"/>
        </w:rPr>
        <w:t>王术坤</w:t>
      </w:r>
      <w:r>
        <w:rPr>
          <w:rFonts w:hint="eastAsia" w:ascii="Arial" w:hAnsi="Arial" w:eastAsia="宋体" w:cs="Arial"/>
          <w:i w:val="0"/>
          <w:iCs w:val="0"/>
          <w:caps w:val="0"/>
          <w:color w:val="333333"/>
          <w:spacing w:val="-1"/>
          <w:sz w:val="21"/>
          <w:szCs w:val="21"/>
          <w:shd w:val="clear" w:fill="FFFFFF"/>
          <w:lang w:eastAsia="zh-CN"/>
        </w:rPr>
        <w:t>、</w:t>
      </w:r>
      <w:r>
        <w:rPr>
          <w:rFonts w:ascii="Arial" w:hAnsi="Arial" w:eastAsia="宋体" w:cs="Arial"/>
          <w:i w:val="0"/>
          <w:iCs w:val="0"/>
          <w:caps w:val="0"/>
          <w:color w:val="333333"/>
          <w:spacing w:val="-1"/>
          <w:sz w:val="21"/>
          <w:szCs w:val="21"/>
          <w:shd w:val="clear" w:fill="FFFFFF"/>
        </w:rPr>
        <w:t>林文声</w:t>
      </w:r>
      <w:r>
        <w:rPr>
          <w:rFonts w:hint="eastAsia" w:ascii="Calibri" w:hAnsi="Calibri" w:eastAsia="宋体"/>
          <w:spacing w:val="-1"/>
        </w:rPr>
        <w:t>（</w:t>
      </w:r>
      <w:r>
        <w:rPr>
          <w:rFonts w:hint="eastAsia" w:ascii="Times New Roman" w:hAnsi="Times New Roman" w:eastAsia="宋体" w:cs="Times New Roman"/>
          <w:i w:val="0"/>
          <w:iCs w:val="0"/>
          <w:caps w:val="0"/>
          <w:color w:val="333333"/>
          <w:spacing w:val="-1"/>
          <w:sz w:val="21"/>
          <w:szCs w:val="21"/>
          <w:shd w:val="clear" w:fill="FFFFFF"/>
          <w:lang w:val="en-US" w:eastAsia="zh-CN"/>
        </w:rPr>
        <w:t>2023</w:t>
      </w:r>
      <w:r>
        <w:rPr>
          <w:rFonts w:hint="eastAsia" w:cs="Times New Roman"/>
          <w:i w:val="0"/>
          <w:iCs w:val="0"/>
          <w:caps w:val="0"/>
          <w:color w:val="333333"/>
          <w:spacing w:val="-1"/>
          <w:sz w:val="21"/>
          <w:szCs w:val="21"/>
          <w:shd w:val="clear" w:fill="FFFFFF"/>
          <w:lang w:val="en-US" w:eastAsia="zh-CN"/>
        </w:rPr>
        <w:t>）</w:t>
      </w:r>
      <w:r>
        <w:rPr>
          <w:rFonts w:hint="eastAsia" w:ascii="Calibri" w:hAnsi="Calibri" w:eastAsia="宋体"/>
          <w:spacing w:val="-1"/>
        </w:rPr>
        <w:t>，详见《中国农村经济》网站（</w:t>
      </w:r>
      <w:r>
        <w:rPr>
          <w:rFonts w:hint="default" w:ascii="Times New Roman" w:hAnsi="Times New Roman" w:eastAsia="宋体" w:cs="Times New Roman"/>
          <w:spacing w:val="-1"/>
        </w:rPr>
        <w:t>zgncjj.ajcass.</w:t>
      </w:r>
      <w:r>
        <w:rPr>
          <w:rFonts w:hint="eastAsia" w:eastAsia="宋体" w:cs="Times New Roman"/>
          <w:spacing w:val="-1"/>
          <w:lang w:val="en-US" w:eastAsia="zh-CN"/>
        </w:rPr>
        <w:t>com</w:t>
      </w:r>
      <w:r>
        <w:rPr>
          <w:rFonts w:hint="eastAsia" w:ascii="Calibri" w:hAnsi="Calibri"/>
          <w:spacing w:val="-1"/>
          <w:lang w:eastAsia="zh-CN"/>
        </w:rPr>
        <w:t>）</w:t>
      </w:r>
      <w:r>
        <w:rPr>
          <w:rFonts w:hint="eastAsia" w:ascii="Calibri" w:hAnsi="Calibri" w:eastAsia="宋体"/>
          <w:spacing w:val="-1"/>
        </w:rPr>
        <w:t>该文的</w:t>
      </w:r>
      <w:r>
        <w:rPr>
          <w:rFonts w:hint="eastAsia" w:ascii="Calibri" w:hAnsi="Calibri" w:eastAsia="宋体"/>
          <w:spacing w:val="-1"/>
          <w:lang w:val="en-US" w:eastAsia="zh-CN"/>
        </w:rPr>
        <w:t>对应</w:t>
      </w:r>
      <w:r>
        <w:rPr>
          <w:rFonts w:hint="eastAsia" w:ascii="Calibri" w:hAnsi="Calibri" w:eastAsia="宋体"/>
          <w:spacing w:val="-1"/>
        </w:rPr>
        <w:t>附件。</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lang w:val="en-US" w:eastAsia="zh-CN"/>
        </w:rPr>
      </w:pP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Borders>
        <w:top w:val="none" w:sz="0" w:space="0"/>
        <w:left w:val="none" w:sz="0" w:space="0"/>
        <w:bottom w:val="none" w:sz="0" w:space="0"/>
        <w:right w:val="none" w:sz="0" w:space="0"/>
      </w:pgBorders>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2010609030101010101"/>
    <w:charset w:val="86"/>
    <w:family w:val="modern"/>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 New Roman Regular">
    <w:altName w:val="Times New Roman"/>
    <w:panose1 w:val="02020603050405020304"/>
    <w:charset w:val="00"/>
    <w:family w:val="auto"/>
    <w:pitch w:val="default"/>
    <w:sig w:usb0="00000000" w:usb1="00000000" w:usb2="00000009" w:usb3="00000000" w:csb0="400001FF" w:csb1="FFFF0000"/>
  </w:font>
  <w:font w:name="Cambria">
    <w:panose1 w:val="02040503050406030204"/>
    <w:charset w:val="00"/>
    <w:family w:val="roman"/>
    <w:pitch w:val="default"/>
    <w:sig w:usb0="E00006FF" w:usb1="420024FF" w:usb2="02000000" w:usb3="00000000" w:csb0="2000019F" w:csb1="00000000"/>
  </w:font>
  <w:font w:name="Times">
    <w:altName w:val="Times New Roman"/>
    <w:panose1 w:val="00000000000000000000"/>
    <w:charset w:val="00"/>
    <w:family w:val="roman"/>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Light">
    <w:panose1 w:val="020B0502040204020203"/>
    <w:charset w:val="86"/>
    <w:family w:val="auto"/>
    <w:pitch w:val="default"/>
    <w:sig w:usb0="80000287" w:usb1="2ACF001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auto"/>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Calibri" w:hAnsi="Calibri" w:eastAsia="宋体" w:cs="Times New Roman"/>
          <w:kern w:val="2"/>
          <w:sz w:val="18"/>
          <w:szCs w:val="24"/>
          <w:lang w:val="en-US" w:eastAsia="zh-CN" w:bidi="ar-SA"/>
        </w:rPr>
      </w:pPr>
      <w:r>
        <w:rPr>
          <w:rFonts w:ascii="Calibri" w:hAnsi="Calibri" w:eastAsia="宋体" w:cs="Times New Roman"/>
          <w:kern w:val="2"/>
          <w:sz w:val="18"/>
          <w:szCs w:val="24"/>
          <w:vertAlign w:val="superscript"/>
          <w:lang w:val="en-US" w:eastAsia="zh-CN" w:bidi="ar-SA"/>
        </w:rPr>
        <w:t>*</w:t>
      </w:r>
      <w:r>
        <w:rPr>
          <w:rFonts w:hint="eastAsia" w:ascii="Times New Roman" w:hAnsi="Times New Roman" w:eastAsia="宋体" w:cs="Times New Roman"/>
          <w:kern w:val="2"/>
          <w:sz w:val="18"/>
          <w:szCs w:val="18"/>
          <w:lang w:val="en-US" w:eastAsia="zh-CN" w:bidi="ar-SA"/>
        </w:rPr>
        <w:t>附录由</w:t>
      </w:r>
      <w:r>
        <w:rPr>
          <w:rFonts w:hint="eastAsia" w:cs="Times New Roman"/>
          <w:kern w:val="2"/>
          <w:sz w:val="18"/>
          <w:szCs w:val="18"/>
          <w:lang w:val="en-US" w:eastAsia="zh-CN" w:bidi="ar-SA"/>
        </w:rPr>
        <w:t>作</w:t>
      </w:r>
      <w:r>
        <w:rPr>
          <w:rFonts w:hint="eastAsia" w:ascii="Times New Roman" w:hAnsi="Times New Roman" w:eastAsia="宋体" w:cs="Times New Roman"/>
          <w:kern w:val="2"/>
          <w:sz w:val="18"/>
          <w:szCs w:val="18"/>
          <w:lang w:val="en-US" w:eastAsia="zh-CN" w:bidi="ar-SA"/>
        </w:rPr>
        <w:t>者提供，文责自负。</w:t>
      </w:r>
      <w:r>
        <w:rPr>
          <w:rFonts w:hint="eastAsia" w:cs="Times New Roman"/>
          <w:kern w:val="2"/>
          <w:sz w:val="18"/>
          <w:szCs w:val="18"/>
          <w:lang w:val="en-US" w:eastAsia="zh-CN" w:bidi="ar-SA"/>
        </w:rPr>
        <w:t>引用该附录中的内容请注明出处，具体要求详见文末。</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eastAsia="黑体" w:cs="Times New Roman"/>
        <w:lang w:val="en-US" w:eastAsia="zh-CN"/>
      </w:rPr>
    </w:pPr>
    <w:r>
      <w:rPr>
        <w:rFonts w:hint="eastAsia" w:eastAsia="黑体" w:cs="Times New Roman"/>
        <w:lang w:val="en-US" w:eastAsia="zh-CN"/>
      </w:rPr>
      <w:t>战明华等  数字金融如何重塑农村金融市场结构</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default" w:eastAsia="宋体"/>
        <w:lang w:val="en-US" w:eastAsia="zh-CN"/>
      </w:rPr>
    </w:pPr>
    <w:r>
      <w:rPr>
        <w:rFonts w:ascii="Times New Roman" w:hAnsi="Times New Roman" w:cs="Times New Roman"/>
      </w:rP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hint="eastAsia" w:cs="Times New Roman"/>
        <w:lang w:val="en-US" w:eastAsia="zh-CN"/>
      </w:rPr>
      <w:t xml:space="preserve">                                                       </w:t>
    </w:r>
    <w:r>
      <w:rPr>
        <w:rFonts w:ascii="Times New Roman" w:hAnsi="Times New Roman" w:eastAsia="黑体" w:cs="Times New Roman"/>
      </w:rPr>
      <w:t>202</w:t>
    </w:r>
    <w:r>
      <w:rPr>
        <w:rFonts w:hint="eastAsia" w:eastAsia="黑体" w:cs="Times New Roman"/>
        <w:lang w:val="en-US" w:eastAsia="zh-CN"/>
      </w:rPr>
      <w:t>5年第6期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hideSpellingErrors/>
  <w:hideGrammaticalErrors/>
  <w:documentProtection w:enforcement="0"/>
  <w:defaultTabStop w:val="420"/>
  <w:drawingGridHorizontalSpacing w:val="98"/>
  <w:drawingGridVerticalSpacing w:val="183"/>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8EA"/>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2D650E"/>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A4446B"/>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094ACD"/>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4B66DD"/>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0DC60C3"/>
    <w:rsid w:val="21310C65"/>
    <w:rsid w:val="213C39E5"/>
    <w:rsid w:val="21702066"/>
    <w:rsid w:val="21750BB9"/>
    <w:rsid w:val="21D35CA0"/>
    <w:rsid w:val="22280ABD"/>
    <w:rsid w:val="2268710B"/>
    <w:rsid w:val="226B2757"/>
    <w:rsid w:val="22704CCB"/>
    <w:rsid w:val="22840225"/>
    <w:rsid w:val="229A6DE3"/>
    <w:rsid w:val="22A55C69"/>
    <w:rsid w:val="22DF4807"/>
    <w:rsid w:val="22E20377"/>
    <w:rsid w:val="22FA4207"/>
    <w:rsid w:val="2317117F"/>
    <w:rsid w:val="231856DC"/>
    <w:rsid w:val="2327003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9049DA"/>
    <w:rsid w:val="28A829DF"/>
    <w:rsid w:val="28A86CAB"/>
    <w:rsid w:val="291D5D15"/>
    <w:rsid w:val="29363ABF"/>
    <w:rsid w:val="293B6832"/>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278A7"/>
    <w:rsid w:val="2A950CB9"/>
    <w:rsid w:val="2B257850"/>
    <w:rsid w:val="2B4640E1"/>
    <w:rsid w:val="2B5F053C"/>
    <w:rsid w:val="2B9117FD"/>
    <w:rsid w:val="2BA87D56"/>
    <w:rsid w:val="2BD35BDA"/>
    <w:rsid w:val="2C272238"/>
    <w:rsid w:val="2C897094"/>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1E265F"/>
    <w:rsid w:val="362A675A"/>
    <w:rsid w:val="36944ACF"/>
    <w:rsid w:val="36B349A1"/>
    <w:rsid w:val="36BB0D7A"/>
    <w:rsid w:val="36BD4313"/>
    <w:rsid w:val="36DF7544"/>
    <w:rsid w:val="36F112F2"/>
    <w:rsid w:val="36F85394"/>
    <w:rsid w:val="374133E6"/>
    <w:rsid w:val="3744384B"/>
    <w:rsid w:val="37485EF7"/>
    <w:rsid w:val="374D0724"/>
    <w:rsid w:val="376B0DD8"/>
    <w:rsid w:val="376B23ED"/>
    <w:rsid w:val="37810F86"/>
    <w:rsid w:val="3782055B"/>
    <w:rsid w:val="378C5DAA"/>
    <w:rsid w:val="378C5E3A"/>
    <w:rsid w:val="37DD1AAE"/>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960803"/>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913B83"/>
    <w:rsid w:val="4197211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593AC1"/>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A2DFE"/>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8E035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91A1D8F"/>
    <w:rsid w:val="5924744C"/>
    <w:rsid w:val="593B3F3D"/>
    <w:rsid w:val="594B0611"/>
    <w:rsid w:val="59561490"/>
    <w:rsid w:val="59707AE9"/>
    <w:rsid w:val="5986392D"/>
    <w:rsid w:val="59A018B8"/>
    <w:rsid w:val="59C168AB"/>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EE86DC8"/>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E2D67"/>
    <w:rsid w:val="62913539"/>
    <w:rsid w:val="62A36DC8"/>
    <w:rsid w:val="62DE1D19"/>
    <w:rsid w:val="62DE4F2C"/>
    <w:rsid w:val="6318039A"/>
    <w:rsid w:val="633D721D"/>
    <w:rsid w:val="6376156F"/>
    <w:rsid w:val="63D6481B"/>
    <w:rsid w:val="63DE0680"/>
    <w:rsid w:val="63E5460A"/>
    <w:rsid w:val="641469D1"/>
    <w:rsid w:val="642259B0"/>
    <w:rsid w:val="642B11B3"/>
    <w:rsid w:val="643A7299"/>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AF056D5"/>
    <w:rsid w:val="6B80414A"/>
    <w:rsid w:val="6B8D788F"/>
    <w:rsid w:val="6B9F06EA"/>
    <w:rsid w:val="6BE7209E"/>
    <w:rsid w:val="6C006B53"/>
    <w:rsid w:val="6C3F2A09"/>
    <w:rsid w:val="6C947E73"/>
    <w:rsid w:val="6CAA233D"/>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5E1653"/>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A64AC5"/>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6C179F7"/>
    <w:rsid w:val="770D61B8"/>
    <w:rsid w:val="77277361"/>
    <w:rsid w:val="77297FB4"/>
    <w:rsid w:val="77406AD3"/>
    <w:rsid w:val="774249AA"/>
    <w:rsid w:val="777D1E86"/>
    <w:rsid w:val="779F0AF3"/>
    <w:rsid w:val="77A779E2"/>
    <w:rsid w:val="77C7038B"/>
    <w:rsid w:val="77DA4BE2"/>
    <w:rsid w:val="77EC43D7"/>
    <w:rsid w:val="781637FE"/>
    <w:rsid w:val="7828155F"/>
    <w:rsid w:val="784A02E9"/>
    <w:rsid w:val="784F6291"/>
    <w:rsid w:val="786542D7"/>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9E76DA"/>
    <w:rsid w:val="7AA94A8B"/>
    <w:rsid w:val="7ABE2599"/>
    <w:rsid w:val="7AD96D46"/>
    <w:rsid w:val="7AE4796F"/>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4"/>
    <w:unhideWhenUsed/>
    <w:qFormat/>
    <w:uiPriority w:val="0"/>
    <w:pPr>
      <w:spacing w:line="360" w:lineRule="auto"/>
      <w:jc w:val="left"/>
      <w:outlineLvl w:val="1"/>
    </w:pPr>
    <w:rPr>
      <w:rFonts w:hint="eastAsia" w:ascii="宋体" w:hAnsi="宋体" w:cs="Times New Roman"/>
      <w:b/>
      <w:bCs/>
      <w:kern w:val="0"/>
      <w:sz w:val="28"/>
      <w:szCs w:val="36"/>
    </w:rPr>
  </w:style>
  <w:style w:type="paragraph" w:styleId="6">
    <w:name w:val="heading 3"/>
    <w:basedOn w:val="1"/>
    <w:next w:val="1"/>
    <w:unhideWhenUsed/>
    <w:qFormat/>
    <w:uiPriority w:val="0"/>
    <w:pPr>
      <w:jc w:val="left"/>
      <w:outlineLvl w:val="2"/>
    </w:pPr>
    <w:rPr>
      <w:rFonts w:hint="eastAsia" w:ascii="宋体" w:hAnsi="宋体" w:eastAsia="宋体" w:cs="Times New Roman"/>
      <w:b/>
      <w:bCs/>
      <w:kern w:val="0"/>
      <w:sz w:val="27"/>
      <w:szCs w:val="27"/>
    </w:rPr>
  </w:style>
  <w:style w:type="character" w:default="1" w:styleId="1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89"/>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8"/>
    <w:unhideWhenUsed/>
    <w:qFormat/>
    <w:uiPriority w:val="0"/>
    <w:pPr>
      <w:spacing w:line="240" w:lineRule="atLeast"/>
      <w:ind w:firstLine="200" w:firstLineChars="200"/>
      <w:jc w:val="left"/>
    </w:pPr>
    <w:rPr>
      <w:rFonts w:ascii="Times New Roman" w:hAnsi="Times New Roman" w:eastAsia="宋体" w:cs="Times New Roman"/>
      <w:kern w:val="0"/>
      <w:sz w:val="20"/>
      <w:szCs w:val="20"/>
    </w:rPr>
  </w:style>
  <w:style w:type="paragraph" w:styleId="9">
    <w:name w:val="caption"/>
    <w:basedOn w:val="1"/>
    <w:next w:val="1"/>
    <w:qFormat/>
    <w:uiPriority w:val="0"/>
    <w:rPr>
      <w:rFonts w:ascii="Times New Roman" w:hAnsi="Times New Roman" w:eastAsia="黑体" w:cs="Arial Narrow"/>
    </w:rPr>
  </w:style>
  <w:style w:type="paragraph" w:styleId="10">
    <w:name w:val="Body Text"/>
    <w:basedOn w:val="1"/>
    <w:link w:val="106"/>
    <w:qFormat/>
    <w:uiPriority w:val="99"/>
    <w:rPr>
      <w:sz w:val="18"/>
    </w:rPr>
  </w:style>
  <w:style w:type="paragraph" w:styleId="11">
    <w:name w:val="Body Text Indent"/>
    <w:qFormat/>
    <w:uiPriority w:val="1624"/>
    <w:pPr>
      <w:widowControl w:val="0"/>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3"/>
    <w:unhideWhenUsed/>
    <w:qFormat/>
    <w:uiPriority w:val="0"/>
    <w:rPr>
      <w:sz w:val="18"/>
      <w:szCs w:val="18"/>
    </w:rPr>
  </w:style>
  <w:style w:type="paragraph" w:styleId="14">
    <w:name w:val="footer"/>
    <w:basedOn w:val="1"/>
    <w:link w:val="86"/>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0"/>
    <w:qFormat/>
    <w:uiPriority w:val="0"/>
    <w:pPr>
      <w:snapToGrid w:val="0"/>
      <w:jc w:val="left"/>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character" w:styleId="20">
    <w:name w:val="Strong"/>
    <w:basedOn w:val="19"/>
    <w:qFormat/>
    <w:uiPriority w:val="0"/>
    <w:rPr>
      <w:b/>
    </w:rPr>
  </w:style>
  <w:style w:type="character" w:styleId="21">
    <w:name w:val="page number"/>
    <w:basedOn w:val="19"/>
    <w:qFormat/>
    <w:uiPriority w:val="0"/>
  </w:style>
  <w:style w:type="character" w:styleId="22">
    <w:name w:val="FollowedHyperlink"/>
    <w:basedOn w:val="19"/>
    <w:qFormat/>
    <w:uiPriority w:val="0"/>
    <w:rPr>
      <w:color w:val="800080"/>
      <w:u w:val="none"/>
    </w:rPr>
  </w:style>
  <w:style w:type="character" w:styleId="23">
    <w:name w:val="Emphasis"/>
    <w:basedOn w:val="19"/>
    <w:qFormat/>
    <w:uiPriority w:val="0"/>
  </w:style>
  <w:style w:type="character" w:styleId="24">
    <w:name w:val="HTML Definition"/>
    <w:basedOn w:val="19"/>
    <w:qFormat/>
    <w:uiPriority w:val="0"/>
  </w:style>
  <w:style w:type="character" w:styleId="25">
    <w:name w:val="HTML Variable"/>
    <w:basedOn w:val="19"/>
    <w:qFormat/>
    <w:uiPriority w:val="0"/>
  </w:style>
  <w:style w:type="character" w:styleId="26">
    <w:name w:val="Hyperlink"/>
    <w:basedOn w:val="19"/>
    <w:unhideWhenUsed/>
    <w:qFormat/>
    <w:uiPriority w:val="0"/>
    <w:rPr>
      <w:color w:val="000000"/>
      <w:u w:val="none"/>
    </w:rPr>
  </w:style>
  <w:style w:type="character" w:styleId="27">
    <w:name w:val="HTML Code"/>
    <w:basedOn w:val="19"/>
    <w:qFormat/>
    <w:uiPriority w:val="0"/>
    <w:rPr>
      <w:rFonts w:hint="default" w:ascii="monospace" w:hAnsi="monospace" w:eastAsia="monospace" w:cs="monospace"/>
      <w:sz w:val="21"/>
      <w:szCs w:val="21"/>
    </w:rPr>
  </w:style>
  <w:style w:type="character" w:styleId="28">
    <w:name w:val="annotation reference"/>
    <w:basedOn w:val="19"/>
    <w:qFormat/>
    <w:uiPriority w:val="0"/>
    <w:rPr>
      <w:sz w:val="21"/>
      <w:szCs w:val="21"/>
    </w:rPr>
  </w:style>
  <w:style w:type="character" w:styleId="29">
    <w:name w:val="HTML Cite"/>
    <w:basedOn w:val="19"/>
    <w:qFormat/>
    <w:uiPriority w:val="0"/>
    <w:rPr>
      <w:color w:val="008000"/>
      <w:sz w:val="14"/>
      <w:szCs w:val="14"/>
    </w:rPr>
  </w:style>
  <w:style w:type="character" w:styleId="30">
    <w:name w:val="footnote reference"/>
    <w:basedOn w:val="19"/>
    <w:qFormat/>
    <w:uiPriority w:val="0"/>
    <w:rPr>
      <w:rFonts w:ascii="Calibri" w:hAnsi="Calibri" w:eastAsia="宋体"/>
      <w:vertAlign w:val="superscript"/>
    </w:rPr>
  </w:style>
  <w:style w:type="character" w:styleId="31">
    <w:name w:val="HTML Keyboard"/>
    <w:basedOn w:val="19"/>
    <w:qFormat/>
    <w:uiPriority w:val="0"/>
    <w:rPr>
      <w:rFonts w:ascii="monospace" w:hAnsi="monospace" w:eastAsia="monospace" w:cs="monospace"/>
      <w:sz w:val="21"/>
      <w:szCs w:val="21"/>
    </w:rPr>
  </w:style>
  <w:style w:type="character" w:styleId="32">
    <w:name w:val="HTML Sample"/>
    <w:basedOn w:val="19"/>
    <w:qFormat/>
    <w:uiPriority w:val="0"/>
    <w:rPr>
      <w:rFonts w:hint="default" w:ascii="monospace" w:hAnsi="monospace" w:eastAsia="monospace" w:cs="monospace"/>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basedOn w:val="19"/>
    <w:link w:val="4"/>
    <w:qFormat/>
    <w:uiPriority w:val="0"/>
    <w:rPr>
      <w:rFonts w:ascii="黑体" w:hAnsi="黑体" w:eastAsia="黑体" w:cs="Arial Narrow"/>
      <w:b/>
      <w:bCs/>
      <w:kern w:val="44"/>
      <w:sz w:val="24"/>
      <w:szCs w:val="32"/>
    </w:rPr>
  </w:style>
  <w:style w:type="character" w:customStyle="1" w:styleId="36">
    <w:name w:val="closeeye"/>
    <w:basedOn w:val="19"/>
    <w:qFormat/>
    <w:uiPriority w:val="0"/>
  </w:style>
  <w:style w:type="character" w:customStyle="1" w:styleId="37">
    <w:name w:val="openeye"/>
    <w:basedOn w:val="19"/>
    <w:qFormat/>
    <w:uiPriority w:val="0"/>
  </w:style>
  <w:style w:type="character" w:customStyle="1" w:styleId="38">
    <w:name w:val="remaintime"/>
    <w:basedOn w:val="19"/>
    <w:qFormat/>
    <w:uiPriority w:val="0"/>
    <w:rPr>
      <w:color w:val="000000"/>
      <w:shd w:val="clear" w:color="auto" w:fill="CACACA"/>
    </w:rPr>
  </w:style>
  <w:style w:type="character" w:customStyle="1" w:styleId="39">
    <w:name w:val="seepass"/>
    <w:basedOn w:val="19"/>
    <w:qFormat/>
    <w:uiPriority w:val="0"/>
  </w:style>
  <w:style w:type="character" w:customStyle="1" w:styleId="40">
    <w:name w:val="on"/>
    <w:basedOn w:val="19"/>
    <w:qFormat/>
    <w:uiPriority w:val="0"/>
    <w:rPr>
      <w:color w:val="FFFFFF"/>
      <w:bdr w:val="single" w:color="C9100E" w:sz="4" w:space="0"/>
      <w:shd w:val="clear" w:color="auto" w:fill="C9100E"/>
    </w:rPr>
  </w:style>
  <w:style w:type="character" w:customStyle="1" w:styleId="41">
    <w:name w:val="eyespan"/>
    <w:basedOn w:val="19"/>
    <w:qFormat/>
    <w:uiPriority w:val="0"/>
  </w:style>
  <w:style w:type="character" w:customStyle="1" w:styleId="42">
    <w:name w:val="hidepass"/>
    <w:basedOn w:val="19"/>
    <w:qFormat/>
    <w:uiPriority w:val="0"/>
  </w:style>
  <w:style w:type="character" w:customStyle="1" w:styleId="43">
    <w:name w:val="hover18"/>
    <w:basedOn w:val="19"/>
    <w:qFormat/>
    <w:uiPriority w:val="0"/>
    <w:rPr>
      <w:color w:val="FFFFFF"/>
      <w:shd w:val="clear" w:color="auto" w:fill="237EC7"/>
    </w:rPr>
  </w:style>
  <w:style w:type="character" w:customStyle="1" w:styleId="44">
    <w:name w:val="hover19"/>
    <w:basedOn w:val="19"/>
    <w:qFormat/>
    <w:uiPriority w:val="0"/>
    <w:rPr>
      <w:color w:val="FFFFFF"/>
      <w:bdr w:val="single" w:color="C9100E" w:sz="4" w:space="0"/>
      <w:shd w:val="clear" w:color="auto" w:fill="C9100E"/>
    </w:rPr>
  </w:style>
  <w:style w:type="character" w:customStyle="1" w:styleId="45">
    <w:name w:val="first-child"/>
    <w:basedOn w:val="19"/>
    <w:qFormat/>
    <w:uiPriority w:val="0"/>
  </w:style>
  <w:style w:type="character" w:customStyle="1" w:styleId="46">
    <w:name w:val="hover47"/>
    <w:basedOn w:val="19"/>
    <w:qFormat/>
    <w:uiPriority w:val="0"/>
    <w:rPr>
      <w:shd w:val="clear" w:color="auto" w:fill="1D50A2"/>
    </w:rPr>
  </w:style>
  <w:style w:type="character" w:customStyle="1" w:styleId="47">
    <w:name w:val="hover48"/>
    <w:basedOn w:val="19"/>
    <w:qFormat/>
    <w:uiPriority w:val="0"/>
    <w:rPr>
      <w:color w:val="1D50A2"/>
    </w:rPr>
  </w:style>
  <w:style w:type="character" w:customStyle="1" w:styleId="48">
    <w:name w:val="mip-carousel-current-indicator"/>
    <w:basedOn w:val="19"/>
    <w:qFormat/>
    <w:uiPriority w:val="0"/>
    <w:rPr>
      <w:shd w:val="clear" w:color="auto" w:fill="FF0000"/>
    </w:rPr>
  </w:style>
  <w:style w:type="character" w:customStyle="1" w:styleId="49">
    <w:name w:val="hover24"/>
    <w:basedOn w:val="19"/>
    <w:qFormat/>
    <w:uiPriority w:val="0"/>
    <w:rPr>
      <w:color w:val="315EFB"/>
    </w:rPr>
  </w:style>
  <w:style w:type="character" w:customStyle="1" w:styleId="50">
    <w:name w:val="hover25"/>
    <w:basedOn w:val="19"/>
    <w:qFormat/>
    <w:uiPriority w:val="0"/>
  </w:style>
  <w:style w:type="character" w:customStyle="1" w:styleId="51">
    <w:name w:val="c-icon28"/>
    <w:basedOn w:val="19"/>
    <w:qFormat/>
    <w:uiPriority w:val="0"/>
  </w:style>
  <w:style w:type="character" w:customStyle="1" w:styleId="52">
    <w:name w:val="pchide"/>
    <w:basedOn w:val="19"/>
    <w:qFormat/>
    <w:uiPriority w:val="0"/>
    <w:rPr>
      <w:color w:val="999999"/>
    </w:rPr>
  </w:style>
  <w:style w:type="character" w:customStyle="1" w:styleId="53">
    <w:name w:val="cur"/>
    <w:basedOn w:val="19"/>
    <w:qFormat/>
    <w:uiPriority w:val="0"/>
    <w:rPr>
      <w:color w:val="C40001"/>
    </w:rPr>
  </w:style>
  <w:style w:type="character" w:customStyle="1" w:styleId="54">
    <w:name w:val="cur1"/>
    <w:basedOn w:val="19"/>
    <w:qFormat/>
    <w:uiPriority w:val="0"/>
    <w:rPr>
      <w:color w:val="C40001"/>
    </w:rPr>
  </w:style>
  <w:style w:type="character" w:customStyle="1" w:styleId="55">
    <w:name w:val="zhankai"/>
    <w:basedOn w:val="19"/>
    <w:qFormat/>
    <w:uiPriority w:val="0"/>
  </w:style>
  <w:style w:type="character" w:customStyle="1" w:styleId="56">
    <w:name w:val="p90"/>
    <w:basedOn w:val="19"/>
    <w:qFormat/>
    <w:uiPriority w:val="0"/>
  </w:style>
  <w:style w:type="character" w:customStyle="1" w:styleId="57">
    <w:name w:val="last-child"/>
    <w:basedOn w:val="19"/>
    <w:qFormat/>
    <w:uiPriority w:val="0"/>
  </w:style>
  <w:style w:type="character" w:customStyle="1" w:styleId="58">
    <w:name w:val="last-child1"/>
    <w:basedOn w:val="19"/>
    <w:qFormat/>
    <w:uiPriority w:val="0"/>
  </w:style>
  <w:style w:type="character" w:customStyle="1" w:styleId="59">
    <w:name w:val="hover10"/>
    <w:basedOn w:val="19"/>
    <w:qFormat/>
    <w:uiPriority w:val="0"/>
    <w:rPr>
      <w:color w:val="C40001"/>
    </w:rPr>
  </w:style>
  <w:style w:type="character" w:customStyle="1" w:styleId="60">
    <w:name w:val="index-module_accountauthentication_3bwix"/>
    <w:basedOn w:val="19"/>
    <w:qFormat/>
    <w:uiPriority w:val="0"/>
  </w:style>
  <w:style w:type="character" w:customStyle="1" w:styleId="61">
    <w:name w:val="m01"/>
    <w:basedOn w:val="19"/>
    <w:qFormat/>
    <w:uiPriority w:val="0"/>
  </w:style>
  <w:style w:type="character" w:customStyle="1" w:styleId="62">
    <w:name w:val="m011"/>
    <w:basedOn w:val="19"/>
    <w:qFormat/>
    <w:uiPriority w:val="0"/>
  </w:style>
  <w:style w:type="character" w:customStyle="1" w:styleId="63">
    <w:name w:val="name"/>
    <w:basedOn w:val="19"/>
    <w:qFormat/>
    <w:uiPriority w:val="0"/>
    <w:rPr>
      <w:color w:val="6A6A6A"/>
      <w:u w:val="single"/>
    </w:rPr>
  </w:style>
  <w:style w:type="character" w:customStyle="1" w:styleId="64">
    <w:name w:val="more4"/>
    <w:basedOn w:val="19"/>
    <w:qFormat/>
    <w:uiPriority w:val="0"/>
    <w:rPr>
      <w:color w:val="666666"/>
      <w:sz w:val="14"/>
      <w:szCs w:val="14"/>
    </w:rPr>
  </w:style>
  <w:style w:type="character" w:customStyle="1" w:styleId="65">
    <w:name w:val="dates"/>
    <w:basedOn w:val="19"/>
    <w:qFormat/>
    <w:uiPriority w:val="0"/>
  </w:style>
  <w:style w:type="character" w:customStyle="1" w:styleId="66">
    <w:name w:val="bg02"/>
    <w:basedOn w:val="19"/>
    <w:qFormat/>
    <w:uiPriority w:val="0"/>
  </w:style>
  <w:style w:type="character" w:customStyle="1" w:styleId="67">
    <w:name w:val="tabg"/>
    <w:basedOn w:val="19"/>
    <w:qFormat/>
    <w:uiPriority w:val="0"/>
    <w:rPr>
      <w:color w:val="FFFFFF"/>
      <w:sz w:val="21"/>
      <w:szCs w:val="21"/>
    </w:rPr>
  </w:style>
  <w:style w:type="character" w:customStyle="1" w:styleId="68">
    <w:name w:val="bg01"/>
    <w:basedOn w:val="19"/>
    <w:qFormat/>
    <w:uiPriority w:val="0"/>
  </w:style>
  <w:style w:type="character" w:customStyle="1" w:styleId="69">
    <w:name w:val="font2"/>
    <w:basedOn w:val="19"/>
    <w:qFormat/>
    <w:uiPriority w:val="0"/>
  </w:style>
  <w:style w:type="character" w:customStyle="1" w:styleId="70">
    <w:name w:val="font3"/>
    <w:basedOn w:val="19"/>
    <w:qFormat/>
    <w:uiPriority w:val="0"/>
  </w:style>
  <w:style w:type="character" w:customStyle="1" w:styleId="71">
    <w:name w:val="laypage_curr"/>
    <w:basedOn w:val="19"/>
    <w:qFormat/>
    <w:uiPriority w:val="0"/>
    <w:rPr>
      <w:color w:val="FFFDF4"/>
      <w:shd w:val="clear" w:color="auto" w:fill="0B67A6"/>
    </w:rPr>
  </w:style>
  <w:style w:type="character" w:customStyle="1" w:styleId="72">
    <w:name w:val="place"/>
    <w:basedOn w:val="19"/>
    <w:qFormat/>
    <w:uiPriority w:val="0"/>
  </w:style>
  <w:style w:type="character" w:customStyle="1" w:styleId="73">
    <w:name w:val="place1"/>
    <w:basedOn w:val="19"/>
    <w:qFormat/>
    <w:uiPriority w:val="0"/>
  </w:style>
  <w:style w:type="character" w:customStyle="1" w:styleId="74">
    <w:name w:val="place2"/>
    <w:basedOn w:val="19"/>
    <w:qFormat/>
    <w:uiPriority w:val="0"/>
  </w:style>
  <w:style w:type="character" w:customStyle="1" w:styleId="75">
    <w:name w:val="place3"/>
    <w:basedOn w:val="19"/>
    <w:qFormat/>
    <w:uiPriority w:val="0"/>
    <w:rPr>
      <w:rFonts w:ascii="微软雅黑" w:hAnsi="微软雅黑" w:eastAsia="微软雅黑" w:cs="微软雅黑"/>
      <w:color w:val="888888"/>
      <w:sz w:val="20"/>
      <w:szCs w:val="20"/>
    </w:rPr>
  </w:style>
  <w:style w:type="character" w:customStyle="1" w:styleId="76">
    <w:name w:val="noline"/>
    <w:basedOn w:val="19"/>
    <w:qFormat/>
    <w:uiPriority w:val="0"/>
  </w:style>
  <w:style w:type="character" w:customStyle="1" w:styleId="77">
    <w:name w:val="font"/>
    <w:basedOn w:val="19"/>
    <w:qFormat/>
    <w:uiPriority w:val="0"/>
  </w:style>
  <w:style w:type="character" w:customStyle="1" w:styleId="78">
    <w:name w:val="font1"/>
    <w:basedOn w:val="19"/>
    <w:qFormat/>
    <w:uiPriority w:val="0"/>
  </w:style>
  <w:style w:type="character" w:customStyle="1" w:styleId="79">
    <w:name w:val="gwds_nopic"/>
    <w:basedOn w:val="19"/>
    <w:qFormat/>
    <w:uiPriority w:val="0"/>
  </w:style>
  <w:style w:type="character" w:customStyle="1" w:styleId="80">
    <w:name w:val="gwds_nopic1"/>
    <w:basedOn w:val="19"/>
    <w:qFormat/>
    <w:uiPriority w:val="0"/>
  </w:style>
  <w:style w:type="character" w:customStyle="1" w:styleId="81">
    <w:name w:val="gwds_nopic2"/>
    <w:basedOn w:val="19"/>
    <w:qFormat/>
    <w:uiPriority w:val="0"/>
  </w:style>
  <w:style w:type="character" w:customStyle="1" w:styleId="82">
    <w:name w:val="hover20"/>
    <w:basedOn w:val="19"/>
    <w:qFormat/>
    <w:uiPriority w:val="0"/>
    <w:rPr>
      <w:color w:val="015293"/>
    </w:rPr>
  </w:style>
  <w:style w:type="paragraph" w:customStyle="1" w:styleId="83">
    <w:name w:val="图标题头"/>
    <w:qFormat/>
    <w:uiPriority w:val="0"/>
    <w:pPr>
      <w:spacing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4">
    <w:name w:val="引文"/>
    <w:basedOn w:val="1"/>
    <w:qFormat/>
    <w:uiPriority w:val="0"/>
    <w:pPr>
      <w:spacing w:line="288" w:lineRule="auto"/>
      <w:ind w:left="200" w:hanging="200" w:hangingChars="200"/>
    </w:pPr>
  </w:style>
  <w:style w:type="character" w:customStyle="1" w:styleId="85">
    <w:name w:val="页眉 字符"/>
    <w:basedOn w:val="19"/>
    <w:link w:val="16"/>
    <w:qFormat/>
    <w:uiPriority w:val="0"/>
    <w:rPr>
      <w:rFonts w:asciiTheme="minorHAnsi" w:hAnsiTheme="minorHAnsi" w:eastAsiaTheme="minorEastAsia" w:cstheme="minorBidi"/>
      <w:kern w:val="2"/>
      <w:sz w:val="18"/>
      <w:szCs w:val="18"/>
    </w:rPr>
  </w:style>
  <w:style w:type="character" w:customStyle="1" w:styleId="86">
    <w:name w:val="页脚 字符"/>
    <w:basedOn w:val="19"/>
    <w:link w:val="14"/>
    <w:qFormat/>
    <w:uiPriority w:val="99"/>
    <w:rPr>
      <w:rFonts w:asciiTheme="minorHAnsi" w:hAnsiTheme="minorHAnsi" w:eastAsiaTheme="minorEastAsia" w:cstheme="minorBidi"/>
      <w:kern w:val="2"/>
      <w:sz w:val="18"/>
      <w:szCs w:val="18"/>
    </w:rPr>
  </w:style>
  <w:style w:type="paragraph" w:customStyle="1" w:styleId="87">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88">
    <w:name w:val="批注文字 字符"/>
    <w:basedOn w:val="19"/>
    <w:link w:val="8"/>
    <w:qFormat/>
    <w:uiPriority w:val="0"/>
  </w:style>
  <w:style w:type="character" w:customStyle="1" w:styleId="89">
    <w:name w:val="批注主题 字符"/>
    <w:basedOn w:val="88"/>
    <w:link w:val="7"/>
    <w:qFormat/>
    <w:uiPriority w:val="0"/>
    <w:rPr>
      <w:rFonts w:asciiTheme="minorHAnsi" w:hAnsiTheme="minorHAnsi" w:eastAsiaTheme="minorEastAsia" w:cstheme="minorBidi"/>
      <w:b/>
      <w:bCs/>
      <w:kern w:val="2"/>
      <w:sz w:val="21"/>
      <w:szCs w:val="24"/>
    </w:rPr>
  </w:style>
  <w:style w:type="character" w:customStyle="1" w:styleId="90">
    <w:name w:val="脚注文本 字符"/>
    <w:basedOn w:val="19"/>
    <w:link w:val="17"/>
    <w:qFormat/>
    <w:uiPriority w:val="0"/>
    <w:rPr>
      <w:rFonts w:asciiTheme="minorHAnsi" w:hAnsiTheme="minorHAnsi" w:eastAsiaTheme="minorEastAsia" w:cstheme="minorBidi"/>
      <w:kern w:val="2"/>
      <w:sz w:val="18"/>
      <w:szCs w:val="24"/>
    </w:rPr>
  </w:style>
  <w:style w:type="paragraph" w:customStyle="1" w:styleId="91">
    <w:name w:val="列表段落1"/>
    <w:basedOn w:val="1"/>
    <w:qFormat/>
    <w:uiPriority w:val="99"/>
    <w:pPr>
      <w:ind w:firstLine="420" w:firstLineChars="200"/>
    </w:pPr>
  </w:style>
  <w:style w:type="character" w:customStyle="1" w:styleId="92">
    <w:name w:val="font21"/>
    <w:basedOn w:val="19"/>
    <w:qFormat/>
    <w:uiPriority w:val="0"/>
    <w:rPr>
      <w:rFonts w:hint="eastAsia" w:ascii="宋体" w:hAnsi="宋体" w:eastAsia="宋体" w:cs="宋体"/>
      <w:color w:val="000000"/>
      <w:sz w:val="18"/>
      <w:szCs w:val="18"/>
      <w:u w:val="none"/>
    </w:rPr>
  </w:style>
  <w:style w:type="character" w:customStyle="1" w:styleId="93">
    <w:name w:val="MTEquationSection"/>
    <w:basedOn w:val="19"/>
    <w:qFormat/>
    <w:uiPriority w:val="0"/>
    <w:rPr>
      <w:rFonts w:ascii="黑体" w:hAnsi="黑体" w:eastAsia="黑体"/>
      <w:vanish/>
      <w:color w:val="FF0000"/>
    </w:rPr>
  </w:style>
  <w:style w:type="character" w:customStyle="1" w:styleId="94">
    <w:name w:val="dt-editor__word"/>
    <w:qFormat/>
    <w:uiPriority w:val="0"/>
  </w:style>
  <w:style w:type="table" w:customStyle="1" w:styleId="95">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6">
    <w:name w:val="List Paragraph"/>
    <w:basedOn w:val="1"/>
    <w:qFormat/>
    <w:uiPriority w:val="99"/>
    <w:pPr>
      <w:ind w:firstLine="420" w:firstLineChars="200"/>
    </w:pPr>
  </w:style>
  <w:style w:type="paragraph" w:customStyle="1" w:styleId="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98">
    <w:name w:val="MTDisplayEquation"/>
    <w:basedOn w:val="99"/>
    <w:next w:val="1"/>
    <w:link w:val="100"/>
    <w:qFormat/>
    <w:uiPriority w:val="0"/>
    <w:pPr>
      <w:tabs>
        <w:tab w:val="center" w:pos="4320"/>
        <w:tab w:val="right" w:pos="8620"/>
        <w:tab w:val="right" w:pos="10103"/>
      </w:tabs>
      <w:spacing w:line="380" w:lineRule="exact"/>
      <w:ind w:firstLine="392" w:firstLineChars="200"/>
    </w:pPr>
    <w:rPr>
      <w:rFonts w:ascii="Times New Roman" w:hAnsi="Times New Roman" w:eastAsia="宋体" w:cs="Times New Roman"/>
      <w:i/>
      <w:iCs/>
      <w:szCs w:val="22"/>
    </w:rPr>
  </w:style>
  <w:style w:type="paragraph" w:customStyle="1" w:styleId="99">
    <w:name w:val="公式"/>
    <w:basedOn w:val="1"/>
    <w:unhideWhenUsed/>
    <w:qFormat/>
    <w:uiPriority w:val="0"/>
    <w:pPr>
      <w:tabs>
        <w:tab w:val="right" w:pos="10103"/>
      </w:tabs>
      <w:spacing w:line="360" w:lineRule="auto"/>
      <w:jc w:val="center"/>
    </w:pPr>
  </w:style>
  <w:style w:type="character" w:customStyle="1" w:styleId="100">
    <w:name w:val="MTDisplayEquation 字符"/>
    <w:basedOn w:val="19"/>
    <w:link w:val="98"/>
    <w:qFormat/>
    <w:uiPriority w:val="0"/>
    <w:rPr>
      <w:rFonts w:ascii="Times New Roman" w:hAnsi="Times New Roman" w:eastAsia="宋体" w:cs="Times New Roman"/>
      <w:i/>
      <w:iCs/>
      <w:kern w:val="2"/>
      <w:sz w:val="21"/>
      <w:szCs w:val="22"/>
    </w:rPr>
  </w:style>
  <w:style w:type="character" w:customStyle="1" w:styleId="101">
    <w:name w:val="未处理的提及1"/>
    <w:basedOn w:val="19"/>
    <w:semiHidden/>
    <w:unhideWhenUsed/>
    <w:qFormat/>
    <w:uiPriority w:val="99"/>
    <w:rPr>
      <w:color w:val="605E5C"/>
      <w:shd w:val="clear" w:color="auto" w:fill="E1DFDD"/>
    </w:rPr>
  </w:style>
  <w:style w:type="paragraph" w:customStyle="1" w:styleId="102">
    <w:name w:val="修订3"/>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3">
    <w:name w:val="批注框文本 字符"/>
    <w:basedOn w:val="19"/>
    <w:link w:val="13"/>
    <w:qFormat/>
    <w:uiPriority w:val="0"/>
    <w:rPr>
      <w:rFonts w:asciiTheme="minorHAnsi" w:hAnsiTheme="minorHAnsi" w:eastAsiaTheme="minorEastAsia" w:cstheme="minorBidi"/>
      <w:kern w:val="2"/>
      <w:sz w:val="18"/>
      <w:szCs w:val="18"/>
    </w:rPr>
  </w:style>
  <w:style w:type="character" w:customStyle="1" w:styleId="104">
    <w:name w:val="标题 2 字符"/>
    <w:basedOn w:val="19"/>
    <w:link w:val="5"/>
    <w:qFormat/>
    <w:uiPriority w:val="0"/>
    <w:rPr>
      <w:rFonts w:ascii="宋体" w:hAnsi="宋体" w:eastAsiaTheme="minorEastAsia"/>
      <w:b/>
      <w:bCs/>
      <w:sz w:val="28"/>
      <w:szCs w:val="36"/>
    </w:rPr>
  </w:style>
  <w:style w:type="character" w:customStyle="1" w:styleId="105">
    <w:name w:val="未处理的提及2"/>
    <w:basedOn w:val="19"/>
    <w:semiHidden/>
    <w:unhideWhenUsed/>
    <w:qFormat/>
    <w:uiPriority w:val="99"/>
    <w:rPr>
      <w:color w:val="605E5C"/>
      <w:shd w:val="clear" w:color="auto" w:fill="E1DFDD"/>
    </w:rPr>
  </w:style>
  <w:style w:type="character" w:customStyle="1" w:styleId="106">
    <w:name w:val="正文文本 字符"/>
    <w:basedOn w:val="19"/>
    <w:link w:val="10"/>
    <w:qFormat/>
    <w:uiPriority w:val="99"/>
    <w:rPr>
      <w:rFonts w:asciiTheme="minorHAnsi" w:hAnsiTheme="minorHAnsi" w:eastAsiaTheme="minorEastAsia" w:cstheme="minorBidi"/>
      <w:kern w:val="2"/>
      <w:sz w:val="18"/>
      <w:szCs w:val="24"/>
    </w:rPr>
  </w:style>
  <w:style w:type="paragraph" w:customStyle="1" w:styleId="107">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08">
    <w:name w:val="Unresolved Mention"/>
    <w:basedOn w:val="19"/>
    <w:semiHidden/>
    <w:unhideWhenUsed/>
    <w:qFormat/>
    <w:uiPriority w:val="99"/>
    <w:rPr>
      <w:color w:val="605E5C"/>
      <w:shd w:val="clear" w:color="auto" w:fill="E1DFDD"/>
    </w:rPr>
  </w:style>
  <w:style w:type="paragraph" w:customStyle="1" w:styleId="109">
    <w:name w:val="3"/>
    <w:basedOn w:val="1"/>
    <w:next w:val="91"/>
    <w:qFormat/>
    <w:uiPriority w:val="34"/>
    <w:pPr>
      <w:ind w:firstLine="420" w:firstLineChars="200"/>
    </w:pPr>
    <w:rPr>
      <w:rFonts w:ascii="等线" w:hAnsi="等线" w:eastAsia="等线"/>
    </w:rPr>
  </w:style>
  <w:style w:type="paragraph" w:customStyle="1" w:styleId="110">
    <w:name w:val="4正文"/>
    <w:basedOn w:val="1"/>
    <w:qFormat/>
    <w:uiPriority w:val="0"/>
    <w:pPr>
      <w:spacing w:line="400" w:lineRule="exact"/>
    </w:pPr>
    <w:rPr>
      <w:rFonts w:ascii="Times New Roman" w:hAnsi="Times New Roman" w:cs="Times New Roman"/>
      <w:szCs w:val="24"/>
    </w:rPr>
  </w:style>
  <w:style w:type="table" w:customStyle="1" w:styleId="111">
    <w:name w:val="网格型3"/>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2">
    <w:name w:val="网格型4"/>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3">
    <w:name w:val="正文jj"/>
    <w:basedOn w:val="1"/>
    <w:qFormat/>
    <w:uiPriority w:val="0"/>
    <w:pPr>
      <w:spacing w:line="240" w:lineRule="atLeast"/>
      <w:ind w:firstLine="392" w:firstLineChars="200"/>
    </w:pPr>
    <w:rPr>
      <w:rFonts w:hint="eastAsia" w:ascii="Times New Roman" w:hAnsi="Times New Roman" w:eastAsia="宋体" w:cs="Times New Roman"/>
      <w:szCs w:val="22"/>
    </w:rPr>
  </w:style>
  <w:style w:type="paragraph" w:customStyle="1" w:styleId="114">
    <w:name w:val="表标题jj"/>
    <w:basedOn w:val="1"/>
    <w:qFormat/>
    <w:uiPriority w:val="0"/>
    <w:pPr>
      <w:keepNext/>
      <w:spacing w:line="240" w:lineRule="atLeast"/>
      <w:ind w:firstLine="332" w:firstLineChars="200"/>
    </w:pPr>
    <w:rPr>
      <w:rFonts w:ascii="Times New Roman" w:hAnsi="Times New Roman" w:eastAsia="黑体" w:cs="Times New Roman"/>
      <w:sz w:val="18"/>
      <w:szCs w:val="20"/>
    </w:rPr>
  </w:style>
  <w:style w:type="paragraph" w:customStyle="1" w:styleId="115">
    <w:name w:val="表下注jj"/>
    <w:basedOn w:val="1"/>
    <w:qFormat/>
    <w:uiPriority w:val="0"/>
    <w:pPr>
      <w:keepNext/>
      <w:keepLines/>
      <w:tabs>
        <w:tab w:val="left" w:pos="432"/>
      </w:tabs>
      <w:spacing w:line="240" w:lineRule="atLeast"/>
      <w:ind w:firstLine="332" w:firstLineChars="200"/>
      <w:outlineLvl w:val="0"/>
    </w:pPr>
    <w:rPr>
      <w:rFonts w:hint="eastAsia" w:ascii="Times New Roman" w:hAnsi="Times New Roman" w:eastAsia="宋体" w:cs="Times New Roman"/>
      <w:sz w:val="18"/>
      <w:szCs w:val="18"/>
    </w:rPr>
  </w:style>
  <w:style w:type="paragraph" w:customStyle="1" w:styleId="116">
    <w:name w:val="正文-公1"/>
    <w:basedOn w:val="1"/>
    <w:qFormat/>
    <w:uiPriority w:val="0"/>
    <w:pPr>
      <w:framePr w:hSpace="181" w:wrap="notBeside" w:vAnchor="text" w:hAnchor="margin" w:xAlign="center" w:y="63"/>
      <w:spacing w:line="300" w:lineRule="exact"/>
      <w:ind w:firstLine="0" w:firstLineChars="0"/>
      <w:jc w:val="center"/>
    </w:pPr>
    <w:rPr>
      <w:rFonts w:ascii="宋体" w:hAnsi="宋体" w:cs="Times New Roman"/>
      <w:b/>
      <w:bCs/>
      <w:sz w:val="18"/>
      <w:szCs w:val="18"/>
    </w:rPr>
  </w:style>
  <w:style w:type="table" w:customStyle="1" w:styleId="117">
    <w:name w:val="无格式表格 21"/>
    <w:basedOn w:val="33"/>
    <w:qFormat/>
    <w:uiPriority w:val="0"/>
    <w:tblPr>
      <w:tblBorders>
        <w:top w:val="single" w:color="7E7E7E" w:sz="4" w:space="0"/>
        <w:bottom w:val="single" w:color="7E7E7E" w:sz="4" w:space="0"/>
      </w:tblBorders>
      <w:tblLayout w:type="fixed"/>
    </w:tblPr>
    <w:tblStylePr w:type="firstRow">
      <w:rPr>
        <w:b/>
        <w:bCs/>
      </w:rPr>
      <w:tcPr>
        <w:tcBorders>
          <w:top w:val="nil"/>
          <w:left w:val="nil"/>
          <w:bottom w:val="single" w:color="7E7E7E" w:sz="4" w:space="0"/>
          <w:right w:val="nil"/>
          <w:insideH w:val="nil"/>
          <w:insideV w:val="nil"/>
          <w:tl2br w:val="nil"/>
          <w:tr2bl w:val="nil"/>
        </w:tcBorders>
      </w:tcPr>
    </w:tblStylePr>
    <w:tblStylePr w:type="lastRow">
      <w:rPr>
        <w:b/>
        <w:bCs/>
      </w:rPr>
      <w:tcPr>
        <w:tcBorders>
          <w:top w:val="single" w:color="7E7E7E"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single" w:color="7E7E7E" w:sz="4" w:space="0"/>
          <w:bottom w:val="nil"/>
          <w:right w:val="single" w:color="7E7E7E" w:sz="4" w:space="0"/>
          <w:insideH w:val="nil"/>
          <w:insideV w:val="nil"/>
          <w:tl2br w:val="nil"/>
          <w:tr2bl w:val="nil"/>
        </w:tcBorders>
      </w:tcPr>
    </w:tblStylePr>
    <w:tblStylePr w:type="band2Vert">
      <w:tcPr>
        <w:tcBorders>
          <w:top w:val="nil"/>
          <w:left w:val="single" w:color="7E7E7E" w:sz="4" w:space="0"/>
          <w:bottom w:val="nil"/>
          <w:right w:val="single" w:color="7E7E7E" w:sz="4" w:space="0"/>
          <w:insideH w:val="nil"/>
          <w:insideV w:val="nil"/>
          <w:tl2br w:val="nil"/>
          <w:tr2bl w:val="nil"/>
        </w:tcBorders>
      </w:tcPr>
    </w:tblStylePr>
    <w:tblStylePr w:type="band1Horz">
      <w:tcPr>
        <w:tcBorders>
          <w:top w:val="single" w:color="7E7E7E" w:sz="4" w:space="0"/>
          <w:left w:val="nil"/>
          <w:bottom w:val="single" w:color="7E7E7E" w:sz="4" w:space="0"/>
          <w:right w:val="nil"/>
          <w:insideH w:val="nil"/>
          <w:insideV w:val="nil"/>
          <w:tl2br w:val="nil"/>
          <w:tr2bl w:val="nil"/>
        </w:tcBorders>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1182</Words>
  <Characters>1512</Characters>
  <Lines>263</Lines>
  <Paragraphs>74</Paragraphs>
  <TotalTime>2</TotalTime>
  <ScaleCrop>false</ScaleCrop>
  <LinksUpToDate>false</LinksUpToDate>
  <CharactersWithSpaces>1637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deng</cp:lastModifiedBy>
  <cp:lastPrinted>2023-06-28T09:19:00Z</cp:lastPrinted>
  <dcterms:modified xsi:type="dcterms:W3CDTF">2025-06-12T06:11:13Z</dcterms:modified>
  <cp:revision>5116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ies>
</file>