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eastAsia" w:ascii="黑体" w:hAnsi="黑体" w:eastAsia="黑体" w:cs="黑体"/>
          <w:sz w:val="28"/>
          <w:szCs w:val="28"/>
          <w14:ligatures w14:val="none"/>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adjustRightInd w:val="0"/>
        <w:ind w:firstLine="335"/>
      </w:pPr>
      <w:r>
        <w:rPr>
          <w:rFonts w:hint="eastAsia" w:eastAsia="黑体" w:cs="黑体"/>
          <w:sz w:val="18"/>
          <w:szCs w:val="18"/>
        </w:rPr>
        <w:t xml:space="preserve">附表1    </w:t>
      </w:r>
      <w:r>
        <w:rPr>
          <w:rFonts w:eastAsia="黑体" w:cs="黑体"/>
          <w:sz w:val="18"/>
          <w:szCs w:val="18"/>
        </w:rPr>
        <w:t xml:space="preserve"> </w:t>
      </w:r>
      <w:r>
        <w:rPr>
          <w:rFonts w:hint="eastAsia" w:eastAsia="黑体" w:cs="黑体"/>
          <w:sz w:val="18"/>
          <w:szCs w:val="18"/>
        </w:rPr>
        <w:t xml:space="preserve"> 2021年各省农村居民人均可支配收入、龙头企业数量及第一产业增加值占地区总产值比例</w:t>
      </w:r>
    </w:p>
    <w:tbl>
      <w:tblPr>
        <w:tblStyle w:val="120"/>
        <w:tblW w:w="8676" w:type="dxa"/>
        <w:jc w:val="center"/>
        <w:tblInd w:w="0" w:type="dxa"/>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
      <w:tblGrid>
        <w:gridCol w:w="1476"/>
        <w:gridCol w:w="1050"/>
        <w:gridCol w:w="969"/>
        <w:gridCol w:w="923"/>
        <w:gridCol w:w="716"/>
        <w:gridCol w:w="1556"/>
        <w:gridCol w:w="1144"/>
        <w:gridCol w:w="842"/>
      </w:tblGrid>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vMerge w:val="restart"/>
            <w:tcBorders>
              <w:top w:val="single" w:color="auto" w:sz="12" w:space="0"/>
              <w:bottom w:val="single" w:color="000000" w:sz="4" w:space="0"/>
              <w:right w:val="single" w:color="auto" w:sz="4" w:space="0"/>
              <w:insideV w:val="nil"/>
            </w:tcBorders>
            <w:shd w:val="clear" w:color="auto" w:fill="FFFFFF"/>
            <w:noWrap/>
            <w:vAlign w:val="center"/>
          </w:tcPr>
          <w:p>
            <w:pPr>
              <w:keepLines w:val="0"/>
              <w:pageBreakBefore w:val="0"/>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省份</w:t>
            </w:r>
          </w:p>
        </w:tc>
        <w:tc>
          <w:tcPr>
            <w:tcW w:w="2019" w:type="dxa"/>
            <w:gridSpan w:val="2"/>
            <w:tcBorders>
              <w:top w:val="single" w:color="auto" w:sz="12" w:space="0"/>
              <w:left w:val="single" w:color="auto" w:sz="4" w:space="0"/>
              <w:bottom w:val="single" w:color="000000" w:sz="4" w:space="0"/>
              <w:right w:val="single" w:color="auto" w:sz="4" w:space="0"/>
              <w:insideV w:val="nil"/>
            </w:tcBorders>
            <w:shd w:val="clear" w:color="auto" w:fill="FFFFFF"/>
            <w:noWrap/>
            <w:vAlign w:val="center"/>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农村居民人均可支配收入</w:t>
            </w:r>
          </w:p>
        </w:tc>
        <w:tc>
          <w:tcPr>
            <w:tcW w:w="1639" w:type="dxa"/>
            <w:gridSpan w:val="2"/>
            <w:tcBorders>
              <w:top w:val="single" w:color="auto" w:sz="12" w:space="0"/>
              <w:left w:val="single" w:color="auto" w:sz="4" w:space="0"/>
              <w:bottom w:val="single" w:color="000000" w:sz="4" w:space="0"/>
              <w:right w:val="single" w:color="auto" w:sz="4" w:space="0"/>
              <w:insideV w:val="nil"/>
            </w:tcBorders>
            <w:shd w:val="clear" w:color="auto" w:fill="FFFFFF"/>
            <w:noWrap/>
            <w:vAlign w:val="center"/>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龙头企业数量</w:t>
            </w:r>
          </w:p>
        </w:tc>
        <w:tc>
          <w:tcPr>
            <w:tcW w:w="2700" w:type="dxa"/>
            <w:gridSpan w:val="2"/>
            <w:tcBorders>
              <w:top w:val="single" w:color="auto" w:sz="12" w:space="0"/>
              <w:left w:val="single" w:color="auto" w:sz="4" w:space="0"/>
              <w:bottom w:val="single" w:color="000000" w:sz="4" w:space="0"/>
              <w:right w:val="single" w:color="auto" w:sz="4" w:space="0"/>
              <w:insideV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第一产业增加值占地区总产值比例</w:t>
            </w:r>
          </w:p>
        </w:tc>
        <w:tc>
          <w:tcPr>
            <w:tcW w:w="842" w:type="dxa"/>
            <w:vMerge w:val="restart"/>
            <w:tcBorders>
              <w:top w:val="single" w:color="auto" w:sz="12" w:space="0"/>
              <w:left w:val="single" w:color="auto" w:sz="4" w:space="0"/>
              <w:bottom w:val="single" w:color="auto" w:sz="4" w:space="0"/>
              <w:right w:val="nil"/>
              <w:insideV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中西部及东北地区</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vMerge w:val="continue"/>
            <w:tcBorders>
              <w:top w:val="single" w:color="000000" w:sz="4" w:space="0"/>
              <w:bottom w:val="single" w:color="auto" w:sz="4" w:space="0"/>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p>
        </w:tc>
        <w:tc>
          <w:tcPr>
            <w:tcW w:w="1050" w:type="dxa"/>
            <w:tcBorders>
              <w:top w:val="single" w:color="000000" w:sz="4" w:space="0"/>
              <w:left w:val="single" w:color="auto" w:sz="4" w:space="0"/>
              <w:bottom w:val="single" w:color="000000" w:sz="4" w:space="0"/>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s="宋体"/>
                <w:color w:val="000000"/>
                <w:kern w:val="0"/>
                <w:sz w:val="18"/>
                <w:szCs w:val="18"/>
              </w:rPr>
              <w:t>收入（元）</w:t>
            </w:r>
          </w:p>
        </w:tc>
        <w:tc>
          <w:tcPr>
            <w:tcW w:w="969" w:type="dxa"/>
            <w:tcBorders>
              <w:top w:val="single" w:color="000000" w:sz="4" w:space="0"/>
              <w:left w:val="nil"/>
              <w:bottom w:val="single" w:color="000000" w:sz="4" w:space="0"/>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s="宋体"/>
                <w:color w:val="000000"/>
                <w:kern w:val="0"/>
                <w:sz w:val="18"/>
                <w:szCs w:val="18"/>
              </w:rPr>
              <w:t>排名</w:t>
            </w:r>
          </w:p>
        </w:tc>
        <w:tc>
          <w:tcPr>
            <w:tcW w:w="923" w:type="dxa"/>
            <w:tcBorders>
              <w:top w:val="single" w:color="000000" w:sz="4" w:space="0"/>
              <w:left w:val="single" w:color="auto" w:sz="4" w:space="0"/>
              <w:bottom w:val="single" w:color="000000" w:sz="4" w:space="0"/>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s="宋体"/>
                <w:color w:val="000000"/>
                <w:kern w:val="0"/>
                <w:sz w:val="18"/>
                <w:szCs w:val="18"/>
              </w:rPr>
              <w:t>数量（家）</w:t>
            </w:r>
          </w:p>
        </w:tc>
        <w:tc>
          <w:tcPr>
            <w:tcW w:w="716" w:type="dxa"/>
            <w:tcBorders>
              <w:top w:val="single" w:color="000000" w:sz="4" w:space="0"/>
              <w:left w:val="nil"/>
              <w:bottom w:val="single" w:color="000000" w:sz="4" w:space="0"/>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s="宋体"/>
                <w:color w:val="000000"/>
                <w:kern w:val="0"/>
                <w:sz w:val="18"/>
                <w:szCs w:val="18"/>
              </w:rPr>
              <w:t>排名</w:t>
            </w:r>
          </w:p>
        </w:tc>
        <w:tc>
          <w:tcPr>
            <w:tcW w:w="1556" w:type="dxa"/>
            <w:tcBorders>
              <w:top w:val="single" w:color="000000" w:sz="4" w:space="0"/>
              <w:left w:val="single" w:color="auto" w:sz="4" w:space="0"/>
              <w:bottom w:val="single" w:color="000000" w:sz="4" w:space="0"/>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s="宋体"/>
                <w:color w:val="000000"/>
                <w:kern w:val="0"/>
                <w:sz w:val="18"/>
                <w:szCs w:val="18"/>
              </w:rPr>
              <w:t>占比</w:t>
            </w:r>
          </w:p>
        </w:tc>
        <w:tc>
          <w:tcPr>
            <w:tcW w:w="1144" w:type="dxa"/>
            <w:tcBorders>
              <w:top w:val="single" w:color="000000" w:sz="4" w:space="0"/>
              <w:left w:val="nil"/>
              <w:bottom w:val="single" w:color="000000" w:sz="4" w:space="0"/>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s="宋体"/>
                <w:color w:val="000000"/>
                <w:kern w:val="0"/>
                <w:sz w:val="18"/>
                <w:szCs w:val="18"/>
              </w:rPr>
              <w:t>排名</w:t>
            </w:r>
          </w:p>
        </w:tc>
        <w:tc>
          <w:tcPr>
            <w:tcW w:w="842" w:type="dxa"/>
            <w:vMerge w:val="continue"/>
            <w:tcBorders>
              <w:top w:val="single" w:color="auto" w:sz="4" w:space="0"/>
              <w:left w:val="single" w:color="auto" w:sz="4" w:space="0"/>
              <w:bottom w:val="single" w:color="000000" w:sz="4" w:space="0"/>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single" w:color="auto" w:sz="4" w:space="0"/>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北京市</w:t>
            </w:r>
          </w:p>
        </w:tc>
        <w:tc>
          <w:tcPr>
            <w:tcW w:w="1050" w:type="dxa"/>
            <w:tcBorders>
              <w:top w:val="single" w:color="000000" w:sz="4" w:space="0"/>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33303</w:t>
            </w:r>
          </w:p>
        </w:tc>
        <w:tc>
          <w:tcPr>
            <w:tcW w:w="969" w:type="dxa"/>
            <w:tcBorders>
              <w:top w:val="single" w:color="000000" w:sz="4" w:space="0"/>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3</w:t>
            </w:r>
          </w:p>
        </w:tc>
        <w:tc>
          <w:tcPr>
            <w:tcW w:w="923" w:type="dxa"/>
            <w:tcBorders>
              <w:top w:val="single" w:color="000000" w:sz="4" w:space="0"/>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190</w:t>
            </w:r>
          </w:p>
        </w:tc>
        <w:tc>
          <w:tcPr>
            <w:tcW w:w="716" w:type="dxa"/>
            <w:tcBorders>
              <w:top w:val="single" w:color="000000" w:sz="4" w:space="0"/>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17</w:t>
            </w:r>
          </w:p>
        </w:tc>
        <w:tc>
          <w:tcPr>
            <w:tcW w:w="1556" w:type="dxa"/>
            <w:tcBorders>
              <w:top w:val="single" w:color="000000" w:sz="4" w:space="0"/>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0.271%</w:t>
            </w:r>
          </w:p>
        </w:tc>
        <w:tc>
          <w:tcPr>
            <w:tcW w:w="1144" w:type="dxa"/>
            <w:tcBorders>
              <w:top w:val="single" w:color="000000" w:sz="4" w:space="0"/>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30</w:t>
            </w:r>
          </w:p>
        </w:tc>
        <w:tc>
          <w:tcPr>
            <w:tcW w:w="842" w:type="dxa"/>
            <w:tcBorders>
              <w:top w:val="single" w:color="000000" w:sz="4" w:space="0"/>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天津市</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27955</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4</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38</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28</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1.695%</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29</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河北省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18179</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15</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834</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8</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9.977%</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12</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山西省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15308</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26</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1700</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5.627%</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25</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内蒙古自治区</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18337</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12</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88</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27</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11.121%</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9</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辽宁省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19217</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9</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119</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23</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8.930%</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16</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吉林省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17642</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19</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1282</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4</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11.804%</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8</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黑龙江省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17889</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18</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130</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19</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23.310%</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上海市</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38521</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37</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29</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0.220%</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31</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江苏省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26791</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5</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1315</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3</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4.022%</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26</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浙江省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35247</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111</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25</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2.987%</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28</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安徽省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18372</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11</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114</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24</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7.903%</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19</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福建省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23229</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6</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759</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10</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5.851%</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24</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江西省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18684</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10</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871</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7</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7.825%</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21</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山东省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20794</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8</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179</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18</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7.275%</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22</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河南省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17533</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21</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999</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5</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9.690%</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13</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湖北省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18259</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14</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120</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22</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9.254%</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15</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湖南省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18295</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13</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1510</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9.457%</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14</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广东省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22306</w:t>
            </w:r>
          </w:p>
        </w:tc>
        <w:tc>
          <w:tcPr>
            <w:tcW w:w="969"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7</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122</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21</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3.997%</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27</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广西壮族自治区</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16363</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23</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254</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15</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16.071%</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3</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海南省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18076</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17</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416</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13</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19.286%</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重庆市</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18100</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16</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593</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12</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6.845%</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23</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四川省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17575</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20</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125</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20</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10.468%</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10</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贵州省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12856</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30</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731</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11</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14.034%</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6</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云南省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14197</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28</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218</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16</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14.106%</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5</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西藏自治区</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16932</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22</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20</w:t>
            </w:r>
          </w:p>
        </w:tc>
        <w:tc>
          <w:tcPr>
            <w:tcW w:w="716"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31</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7.889%</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20</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陕西省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14745</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27</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769</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9</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8.001%</w:t>
            </w:r>
          </w:p>
        </w:tc>
        <w:tc>
          <w:tcPr>
            <w:tcW w:w="1144" w:type="dxa"/>
            <w:tcBorders>
              <w:top w:val="nil"/>
              <w:left w:val="nil"/>
              <w:bottom w:val="nil"/>
              <w:right w:val="single" w:color="auto" w:sz="4" w:space="0"/>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17</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nil"/>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甘肃省</w:t>
            </w:r>
          </w:p>
        </w:tc>
        <w:tc>
          <w:tcPr>
            <w:tcW w:w="1050"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11433</w:t>
            </w:r>
          </w:p>
        </w:tc>
        <w:tc>
          <w:tcPr>
            <w:tcW w:w="969" w:type="dxa"/>
            <w:tcBorders>
              <w:top w:val="nil"/>
              <w:left w:val="nil"/>
              <w:bottom w:val="nil"/>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31</w:t>
            </w:r>
          </w:p>
        </w:tc>
        <w:tc>
          <w:tcPr>
            <w:tcW w:w="923" w:type="dxa"/>
            <w:tcBorders>
              <w:top w:val="nil"/>
              <w:left w:val="single" w:color="auto" w:sz="4" w:space="0"/>
              <w:bottom w:val="nil"/>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874</w:t>
            </w:r>
          </w:p>
        </w:tc>
        <w:tc>
          <w:tcPr>
            <w:tcW w:w="716" w:type="dxa"/>
            <w:tcBorders>
              <w:top w:val="nil"/>
              <w:left w:val="nil"/>
              <w:bottom w:val="nil"/>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6</w:t>
            </w:r>
          </w:p>
        </w:tc>
        <w:tc>
          <w:tcPr>
            <w:tcW w:w="1556" w:type="dxa"/>
            <w:tcBorders>
              <w:top w:val="nil"/>
              <w:left w:val="single" w:color="auto" w:sz="4" w:space="0"/>
              <w:bottom w:val="nil"/>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13.347%</w:t>
            </w:r>
          </w:p>
        </w:tc>
        <w:tc>
          <w:tcPr>
            <w:tcW w:w="1144" w:type="dxa"/>
            <w:tcBorders>
              <w:top w:val="nil"/>
              <w:left w:val="nil"/>
              <w:bottom w:val="nil"/>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7</w:t>
            </w:r>
          </w:p>
        </w:tc>
        <w:tc>
          <w:tcPr>
            <w:tcW w:w="842" w:type="dxa"/>
            <w:tcBorders>
              <w:top w:val="nil"/>
              <w:left w:val="single" w:color="auto" w:sz="4" w:space="0"/>
              <w:bottom w:val="nil"/>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single" w:color="auto" w:sz="4" w:space="0"/>
              <w:right w:val="single" w:color="auto" w:sz="4" w:space="0"/>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b/>
                <w:bCs w:val="0"/>
                <w:color w:val="000000"/>
                <w:kern w:val="0"/>
                <w:sz w:val="18"/>
                <w:szCs w:val="18"/>
              </w:rPr>
            </w:pPr>
            <w:r>
              <w:rPr>
                <w:rFonts w:hint="eastAsia" w:cs="宋体"/>
                <w:b w:val="0"/>
                <w:bCs/>
                <w:color w:val="000000"/>
                <w:kern w:val="0"/>
                <w:sz w:val="18"/>
                <w:szCs w:val="18"/>
              </w:rPr>
              <w:t>青海省</w:t>
            </w:r>
          </w:p>
        </w:tc>
        <w:tc>
          <w:tcPr>
            <w:tcW w:w="1050" w:type="dxa"/>
            <w:tcBorders>
              <w:top w:val="nil"/>
              <w:left w:val="single" w:color="auto" w:sz="4" w:space="0"/>
              <w:bottom w:val="single" w:color="auto" w:sz="4" w:space="0"/>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color w:val="000000"/>
                <w:sz w:val="18"/>
                <w:szCs w:val="18"/>
              </w:rPr>
              <w:t>13604</w:t>
            </w:r>
          </w:p>
        </w:tc>
        <w:tc>
          <w:tcPr>
            <w:tcW w:w="969" w:type="dxa"/>
            <w:tcBorders>
              <w:top w:val="nil"/>
              <w:left w:val="nil"/>
              <w:bottom w:val="single" w:color="auto" w:sz="4" w:space="0"/>
              <w:right w:val="single" w:color="auto" w:sz="4" w:space="0"/>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29</w:t>
            </w:r>
          </w:p>
        </w:tc>
        <w:tc>
          <w:tcPr>
            <w:tcW w:w="923" w:type="dxa"/>
            <w:tcBorders>
              <w:top w:val="nil"/>
              <w:left w:val="single" w:color="auto" w:sz="4" w:space="0"/>
              <w:bottom w:val="single" w:color="auto" w:sz="4" w:space="0"/>
              <w:right w:val="nil"/>
            </w:tcBorders>
            <w:shd w:val="clear" w:color="auto" w:fill="FFFFFF"/>
            <w:noWrap/>
          </w:tcPr>
          <w:p>
            <w:pPr>
              <w:keepLines w:val="0"/>
              <w:pageBreakBefore w:val="0"/>
              <w:widowControl/>
              <w:kinsoku/>
              <w:wordWrap/>
              <w:overflowPunct/>
              <w:topLinePunct w:val="0"/>
              <w:autoSpaceDE/>
              <w:autoSpaceDN/>
              <w:bidi w:val="0"/>
              <w:adjustRightInd/>
              <w:snapToGrid/>
              <w:spacing w:line="300" w:lineRule="exact"/>
              <w:jc w:val="center"/>
              <w:rPr>
                <w:rFonts w:cs="宋体"/>
                <w:color w:val="000000"/>
                <w:kern w:val="0"/>
                <w:sz w:val="18"/>
                <w:szCs w:val="18"/>
              </w:rPr>
            </w:pPr>
            <w:r>
              <w:rPr>
                <w:rFonts w:hint="eastAsia"/>
                <w:color w:val="000000"/>
                <w:sz w:val="18"/>
                <w:szCs w:val="18"/>
              </w:rPr>
              <w:t>392</w:t>
            </w:r>
          </w:p>
        </w:tc>
        <w:tc>
          <w:tcPr>
            <w:tcW w:w="716" w:type="dxa"/>
            <w:tcBorders>
              <w:top w:val="nil"/>
              <w:left w:val="nil"/>
              <w:bottom w:val="single" w:color="auto" w:sz="4" w:space="0"/>
              <w:right w:val="single" w:color="auto" w:sz="4" w:space="0"/>
            </w:tcBorders>
            <w:shd w:val="clear" w:color="auto" w:fill="BEBEBE" w:themeFill="background1" w:themeFillShade="B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14</w:t>
            </w:r>
          </w:p>
        </w:tc>
        <w:tc>
          <w:tcPr>
            <w:tcW w:w="1556" w:type="dxa"/>
            <w:tcBorders>
              <w:top w:val="nil"/>
              <w:left w:val="single" w:color="auto" w:sz="4" w:space="0"/>
              <w:bottom w:val="single" w:color="auto" w:sz="4" w:space="0"/>
              <w:right w:val="nil"/>
            </w:tcBorders>
            <w:shd w:val="clear" w:color="auto" w:fill="FFFFF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10.446%</w:t>
            </w:r>
          </w:p>
        </w:tc>
        <w:tc>
          <w:tcPr>
            <w:tcW w:w="1144" w:type="dxa"/>
            <w:tcBorders>
              <w:top w:val="nil"/>
              <w:left w:val="nil"/>
              <w:bottom w:val="single" w:color="auto" w:sz="4" w:space="0"/>
              <w:right w:val="single" w:color="auto" w:sz="4" w:space="0"/>
            </w:tcBorders>
            <w:shd w:val="clear" w:color="auto" w:fill="BEBEBE" w:themeFill="background1" w:themeFillShade="BF"/>
            <w:vAlign w:val="center"/>
          </w:tcPr>
          <w:p>
            <w:pPr>
              <w:keepLines w:val="0"/>
              <w:pageBreakBefore w:val="0"/>
              <w:widowControl/>
              <w:kinsoku/>
              <w:wordWrap/>
              <w:overflowPunct/>
              <w:topLinePunct w:val="0"/>
              <w:autoSpaceDE/>
              <w:autoSpaceDN/>
              <w:bidi w:val="0"/>
              <w:adjustRightInd/>
              <w:snapToGrid/>
              <w:spacing w:line="300" w:lineRule="exact"/>
              <w:jc w:val="center"/>
              <w:textAlignment w:val="center"/>
              <w:rPr>
                <w:color w:val="000000"/>
                <w:sz w:val="18"/>
                <w:szCs w:val="18"/>
              </w:rPr>
            </w:pPr>
            <w:r>
              <w:rPr>
                <w:rFonts w:hint="eastAsia" w:cs="宋体"/>
                <w:color w:val="000000"/>
                <w:kern w:val="0"/>
                <w:sz w:val="18"/>
                <w:szCs w:val="18"/>
                <w:lang w:bidi="ar"/>
              </w:rPr>
              <w:t>11</w:t>
            </w:r>
          </w:p>
        </w:tc>
        <w:tc>
          <w:tcPr>
            <w:tcW w:w="842" w:type="dxa"/>
            <w:tcBorders>
              <w:top w:val="nil"/>
              <w:left w:val="single" w:color="auto" w:sz="4" w:space="0"/>
              <w:bottom w:val="single" w:color="auto" w:sz="4" w:space="0"/>
              <w:right w:val="nil"/>
            </w:tcBorders>
            <w:shd w:val="clear" w:color="auto" w:fill="FFFFFF"/>
          </w:tcPr>
          <w:p>
            <w:pPr>
              <w:keepLines w:val="0"/>
              <w:pageBreakBefore w:val="0"/>
              <w:widowControl/>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lang w:val="en-US" w:eastAsia="zh-CN"/>
        </w:rPr>
      </w:pPr>
      <w:r>
        <w:rPr>
          <w:rFonts w:hint="eastAsia" w:eastAsia="黑体" w:cs="黑体"/>
          <w:sz w:val="18"/>
          <w:szCs w:val="18"/>
        </w:rPr>
        <w:t>附表1</w:t>
      </w:r>
      <w:r>
        <w:rPr>
          <w:rFonts w:hint="eastAsia" w:eastAsia="黑体" w:cs="黑体"/>
          <w:sz w:val="18"/>
          <w:szCs w:val="18"/>
          <w:lang w:eastAsia="zh-CN"/>
        </w:rPr>
        <w:t>（</w:t>
      </w:r>
      <w:r>
        <w:rPr>
          <w:rFonts w:hint="eastAsia" w:eastAsia="黑体" w:cs="黑体"/>
          <w:sz w:val="18"/>
          <w:szCs w:val="18"/>
          <w:lang w:val="en-US" w:eastAsia="zh-CN"/>
        </w:rPr>
        <w:t>续</w:t>
      </w:r>
      <w:r>
        <w:rPr>
          <w:rFonts w:hint="eastAsia" w:eastAsia="黑体" w:cs="黑体"/>
          <w:sz w:val="18"/>
          <w:szCs w:val="18"/>
          <w:lang w:eastAsia="zh-CN"/>
        </w:rPr>
        <w:t>）</w:t>
      </w:r>
    </w:p>
    <w:tbl>
      <w:tblPr>
        <w:tblStyle w:val="120"/>
        <w:tblW w:w="8676" w:type="dxa"/>
        <w:jc w:val="center"/>
        <w:tblInd w:w="0" w:type="dxa"/>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
      <w:tblGrid>
        <w:gridCol w:w="1476"/>
        <w:gridCol w:w="1050"/>
        <w:gridCol w:w="969"/>
        <w:gridCol w:w="923"/>
        <w:gridCol w:w="716"/>
        <w:gridCol w:w="1556"/>
        <w:gridCol w:w="1144"/>
        <w:gridCol w:w="842"/>
      </w:tblGrid>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single" w:color="auto" w:sz="4" w:space="0"/>
              <w:bottom w:val="nil"/>
              <w:right w:val="single" w:color="auto" w:sz="4" w:space="0"/>
            </w:tcBorders>
            <w:shd w:val="clear" w:color="auto" w:fill="FFFFFF"/>
            <w:noWrap/>
            <w:vAlign w:val="center"/>
          </w:tcPr>
          <w:p>
            <w:pPr>
              <w:keepNext/>
              <w:keepLines w:val="0"/>
              <w:pageBreakBefore w:val="0"/>
              <w:kinsoku/>
              <w:wordWrap/>
              <w:overflowPunct/>
              <w:topLinePunct w:val="0"/>
              <w:autoSpaceDE/>
              <w:autoSpaceDN/>
              <w:bidi w:val="0"/>
              <w:adjustRightInd/>
              <w:snapToGrid/>
              <w:spacing w:line="300" w:lineRule="exact"/>
              <w:jc w:val="center"/>
              <w:rPr>
                <w:rFonts w:cs="宋体"/>
                <w:b w:val="0"/>
                <w:bCs w:val="0"/>
                <w:color w:val="000000"/>
                <w:kern w:val="0"/>
                <w:sz w:val="18"/>
                <w:szCs w:val="18"/>
              </w:rPr>
            </w:pPr>
            <w:r>
              <w:rPr>
                <w:rFonts w:hint="eastAsia" w:cs="宋体"/>
                <w:b w:val="0"/>
                <w:bCs w:val="0"/>
                <w:color w:val="000000"/>
                <w:kern w:val="0"/>
                <w:sz w:val="18"/>
                <w:szCs w:val="18"/>
              </w:rPr>
              <w:t>宁夏回族自治区</w:t>
            </w:r>
          </w:p>
        </w:tc>
        <w:tc>
          <w:tcPr>
            <w:tcW w:w="1050" w:type="dxa"/>
            <w:tcBorders>
              <w:top w:val="single" w:color="auto" w:sz="4" w:space="0"/>
              <w:left w:val="single" w:color="auto" w:sz="4" w:space="0"/>
              <w:bottom w:val="nil"/>
              <w:right w:val="nil"/>
            </w:tcBorders>
            <w:shd w:val="clear" w:color="auto" w:fill="FFFFFF"/>
            <w:noWrap/>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15337</w:t>
            </w:r>
          </w:p>
        </w:tc>
        <w:tc>
          <w:tcPr>
            <w:tcW w:w="969" w:type="dxa"/>
            <w:tcBorders>
              <w:top w:val="single" w:color="auto" w:sz="4" w:space="0"/>
              <w:left w:val="nil"/>
              <w:bottom w:val="nil"/>
              <w:right w:val="single" w:color="auto" w:sz="4" w:space="0"/>
            </w:tcBorders>
            <w:shd w:val="clear" w:color="auto" w:fill="FFFFFF"/>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25</w:t>
            </w:r>
          </w:p>
        </w:tc>
        <w:tc>
          <w:tcPr>
            <w:tcW w:w="923" w:type="dxa"/>
            <w:tcBorders>
              <w:top w:val="single" w:color="auto" w:sz="4" w:space="0"/>
              <w:left w:val="single" w:color="auto" w:sz="4" w:space="0"/>
              <w:bottom w:val="nil"/>
              <w:right w:val="nil"/>
            </w:tcBorders>
            <w:shd w:val="clear" w:color="auto" w:fill="FFFFFF"/>
            <w:noWrap/>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34</w:t>
            </w:r>
          </w:p>
        </w:tc>
        <w:tc>
          <w:tcPr>
            <w:tcW w:w="716" w:type="dxa"/>
            <w:tcBorders>
              <w:top w:val="single" w:color="auto" w:sz="4" w:space="0"/>
              <w:left w:val="nil"/>
              <w:bottom w:val="nil"/>
              <w:right w:val="single" w:color="auto" w:sz="4" w:space="0"/>
            </w:tcBorders>
            <w:shd w:val="clear" w:color="auto" w:fill="auto"/>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30</w:t>
            </w:r>
          </w:p>
        </w:tc>
        <w:tc>
          <w:tcPr>
            <w:tcW w:w="1556" w:type="dxa"/>
            <w:tcBorders>
              <w:top w:val="single" w:color="auto" w:sz="4" w:space="0"/>
              <w:left w:val="single" w:color="auto" w:sz="4" w:space="0"/>
              <w:bottom w:val="nil"/>
              <w:right w:val="nil"/>
            </w:tcBorders>
            <w:shd w:val="clear" w:color="auto" w:fill="FFFFFF"/>
            <w:vAlign w:val="center"/>
          </w:tcPr>
          <w:p>
            <w:pPr>
              <w:keepNext/>
              <w:keepLines w:val="0"/>
              <w:pageBreakBefore w:val="0"/>
              <w:kinsoku/>
              <w:wordWrap/>
              <w:overflowPunct/>
              <w:topLinePunct w:val="0"/>
              <w:autoSpaceDE/>
              <w:autoSpaceDN/>
              <w:bidi w:val="0"/>
              <w:adjustRightInd/>
              <w:snapToGrid/>
              <w:spacing w:line="300" w:lineRule="exact"/>
              <w:jc w:val="center"/>
              <w:rPr>
                <w:rFonts w:cs="宋体"/>
                <w:color w:val="000000"/>
                <w:kern w:val="0"/>
                <w:sz w:val="18"/>
                <w:szCs w:val="18"/>
                <w:lang w:bidi="ar"/>
              </w:rPr>
            </w:pPr>
            <w:r>
              <w:rPr>
                <w:rFonts w:hint="eastAsia" w:cs="宋体"/>
                <w:color w:val="000000"/>
                <w:kern w:val="0"/>
                <w:sz w:val="18"/>
                <w:szCs w:val="18"/>
                <w:lang w:bidi="ar"/>
              </w:rPr>
              <w:t>7.946%</w:t>
            </w:r>
          </w:p>
        </w:tc>
        <w:tc>
          <w:tcPr>
            <w:tcW w:w="1144" w:type="dxa"/>
            <w:tcBorders>
              <w:top w:val="single" w:color="auto" w:sz="4" w:space="0"/>
              <w:left w:val="nil"/>
              <w:bottom w:val="nil"/>
              <w:right w:val="single" w:color="auto" w:sz="4" w:space="0"/>
            </w:tcBorders>
            <w:shd w:val="clear" w:color="auto" w:fill="auto"/>
            <w:vAlign w:val="center"/>
          </w:tcPr>
          <w:p>
            <w:pPr>
              <w:keepNext/>
              <w:keepLines w:val="0"/>
              <w:pageBreakBefore w:val="0"/>
              <w:kinsoku/>
              <w:wordWrap/>
              <w:overflowPunct/>
              <w:topLinePunct w:val="0"/>
              <w:autoSpaceDE/>
              <w:autoSpaceDN/>
              <w:bidi w:val="0"/>
              <w:adjustRightInd/>
              <w:snapToGrid/>
              <w:spacing w:line="300" w:lineRule="exact"/>
              <w:jc w:val="center"/>
              <w:rPr>
                <w:rFonts w:cs="宋体"/>
                <w:color w:val="000000"/>
                <w:kern w:val="0"/>
                <w:sz w:val="18"/>
                <w:szCs w:val="18"/>
                <w:lang w:bidi="ar"/>
              </w:rPr>
            </w:pPr>
            <w:r>
              <w:rPr>
                <w:rFonts w:hint="eastAsia" w:cs="宋体"/>
                <w:color w:val="000000"/>
                <w:kern w:val="0"/>
                <w:sz w:val="18"/>
                <w:szCs w:val="18"/>
                <w:lang w:bidi="ar"/>
              </w:rPr>
              <w:t>18</w:t>
            </w:r>
          </w:p>
        </w:tc>
        <w:tc>
          <w:tcPr>
            <w:tcW w:w="842" w:type="dxa"/>
            <w:tcBorders>
              <w:top w:val="single" w:color="auto" w:sz="4" w:space="0"/>
              <w:left w:val="single" w:color="auto" w:sz="4" w:space="0"/>
              <w:bottom w:val="nil"/>
              <w:right w:val="nil"/>
            </w:tcBorders>
            <w:shd w:val="clear" w:color="auto" w:fill="FFFFFF"/>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57" w:type="dxa"/>
            <w:bottom w:w="0" w:type="dxa"/>
            <w:right w:w="57" w:type="dxa"/>
          </w:tblCellMar>
        </w:tblPrEx>
        <w:trPr>
          <w:trHeight w:val="317" w:hRule="atLeast"/>
          <w:jc w:val="center"/>
        </w:trPr>
        <w:tc>
          <w:tcPr>
            <w:tcW w:w="1476" w:type="dxa"/>
            <w:tcBorders>
              <w:top w:val="nil"/>
              <w:bottom w:val="single" w:color="auto" w:sz="12" w:space="0"/>
              <w:right w:val="single" w:color="auto" w:sz="4" w:space="0"/>
            </w:tcBorders>
            <w:shd w:val="clear" w:color="auto" w:fill="FFFFFF"/>
            <w:noWrap/>
            <w:vAlign w:val="center"/>
          </w:tcPr>
          <w:p>
            <w:pPr>
              <w:keepNext/>
              <w:keepLines w:val="0"/>
              <w:pageBreakBefore w:val="0"/>
              <w:kinsoku/>
              <w:wordWrap/>
              <w:overflowPunct/>
              <w:topLinePunct w:val="0"/>
              <w:autoSpaceDE/>
              <w:autoSpaceDN/>
              <w:bidi w:val="0"/>
              <w:adjustRightInd/>
              <w:snapToGrid/>
              <w:spacing w:line="300" w:lineRule="exact"/>
              <w:jc w:val="center"/>
              <w:rPr>
                <w:rFonts w:cs="宋体"/>
                <w:b w:val="0"/>
                <w:bCs w:val="0"/>
                <w:color w:val="000000"/>
                <w:kern w:val="0"/>
                <w:sz w:val="18"/>
                <w:szCs w:val="18"/>
              </w:rPr>
            </w:pPr>
            <w:r>
              <w:rPr>
                <w:rFonts w:hint="eastAsia" w:cs="宋体"/>
                <w:b w:val="0"/>
                <w:bCs w:val="0"/>
                <w:color w:val="000000"/>
                <w:kern w:val="0"/>
                <w:sz w:val="18"/>
                <w:szCs w:val="18"/>
              </w:rPr>
              <w:t>新疆维吾尔自治区</w:t>
            </w:r>
          </w:p>
        </w:tc>
        <w:tc>
          <w:tcPr>
            <w:tcW w:w="1050" w:type="dxa"/>
            <w:tcBorders>
              <w:top w:val="nil"/>
              <w:left w:val="single" w:color="auto" w:sz="4" w:space="0"/>
              <w:bottom w:val="single" w:color="auto" w:sz="12" w:space="0"/>
              <w:right w:val="nil"/>
            </w:tcBorders>
            <w:shd w:val="clear" w:color="auto" w:fill="FFFFFF"/>
            <w:noWrap/>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15575</w:t>
            </w:r>
          </w:p>
        </w:tc>
        <w:tc>
          <w:tcPr>
            <w:tcW w:w="969" w:type="dxa"/>
            <w:tcBorders>
              <w:top w:val="nil"/>
              <w:left w:val="nil"/>
              <w:bottom w:val="single" w:color="auto" w:sz="12" w:space="0"/>
              <w:right w:val="single" w:color="auto" w:sz="4" w:space="0"/>
            </w:tcBorders>
            <w:shd w:val="clear" w:color="auto" w:fill="FFFFFF"/>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color w:val="000000"/>
                <w:sz w:val="18"/>
                <w:szCs w:val="18"/>
              </w:rPr>
              <w:t>24</w:t>
            </w:r>
          </w:p>
        </w:tc>
        <w:tc>
          <w:tcPr>
            <w:tcW w:w="923" w:type="dxa"/>
            <w:tcBorders>
              <w:top w:val="nil"/>
              <w:left w:val="single" w:color="auto" w:sz="4" w:space="0"/>
              <w:bottom w:val="single" w:color="auto" w:sz="12" w:space="0"/>
              <w:right w:val="nil"/>
            </w:tcBorders>
            <w:shd w:val="clear" w:color="auto" w:fill="FFFFFF"/>
            <w:noWrap/>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107</w:t>
            </w:r>
          </w:p>
        </w:tc>
        <w:tc>
          <w:tcPr>
            <w:tcW w:w="716" w:type="dxa"/>
            <w:tcBorders>
              <w:top w:val="nil"/>
              <w:left w:val="nil"/>
              <w:bottom w:val="single" w:color="auto" w:sz="12" w:space="0"/>
              <w:right w:val="single" w:color="auto" w:sz="4" w:space="0"/>
            </w:tcBorders>
            <w:shd w:val="clear" w:color="auto" w:fill="auto"/>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rFonts w:hint="eastAsia" w:cs="宋体"/>
                <w:color w:val="000000"/>
                <w:kern w:val="0"/>
                <w:sz w:val="18"/>
                <w:szCs w:val="18"/>
              </w:rPr>
              <w:t>2</w:t>
            </w:r>
            <w:r>
              <w:rPr>
                <w:rFonts w:cs="宋体"/>
                <w:color w:val="000000"/>
                <w:kern w:val="0"/>
                <w:sz w:val="18"/>
                <w:szCs w:val="18"/>
              </w:rPr>
              <w:t>6</w:t>
            </w:r>
          </w:p>
        </w:tc>
        <w:tc>
          <w:tcPr>
            <w:tcW w:w="1556" w:type="dxa"/>
            <w:tcBorders>
              <w:top w:val="nil"/>
              <w:left w:val="single" w:color="auto" w:sz="4" w:space="0"/>
              <w:bottom w:val="single" w:color="auto" w:sz="12" w:space="0"/>
              <w:right w:val="nil"/>
            </w:tcBorders>
            <w:shd w:val="clear" w:color="auto" w:fill="FFFFFF"/>
            <w:vAlign w:val="center"/>
          </w:tcPr>
          <w:p>
            <w:pPr>
              <w:keepNext/>
              <w:keepLines w:val="0"/>
              <w:pageBreakBefore w:val="0"/>
              <w:kinsoku/>
              <w:wordWrap/>
              <w:overflowPunct/>
              <w:topLinePunct w:val="0"/>
              <w:autoSpaceDE/>
              <w:autoSpaceDN/>
              <w:bidi w:val="0"/>
              <w:adjustRightInd/>
              <w:snapToGrid/>
              <w:spacing w:line="300" w:lineRule="exact"/>
              <w:jc w:val="center"/>
              <w:rPr>
                <w:rFonts w:cs="宋体"/>
                <w:color w:val="000000"/>
                <w:kern w:val="0"/>
                <w:sz w:val="18"/>
                <w:szCs w:val="18"/>
                <w:lang w:bidi="ar"/>
              </w:rPr>
            </w:pPr>
            <w:r>
              <w:rPr>
                <w:rFonts w:hint="eastAsia" w:cs="宋体"/>
                <w:color w:val="000000"/>
                <w:kern w:val="0"/>
                <w:sz w:val="18"/>
                <w:szCs w:val="18"/>
                <w:lang w:bidi="ar"/>
              </w:rPr>
              <w:t>14.463%</w:t>
            </w:r>
          </w:p>
        </w:tc>
        <w:tc>
          <w:tcPr>
            <w:tcW w:w="1144" w:type="dxa"/>
            <w:tcBorders>
              <w:top w:val="nil"/>
              <w:left w:val="nil"/>
              <w:bottom w:val="single" w:color="auto" w:sz="12" w:space="0"/>
              <w:right w:val="single" w:color="auto" w:sz="4" w:space="0"/>
            </w:tcBorders>
            <w:shd w:val="clear" w:color="auto" w:fill="auto"/>
            <w:vAlign w:val="center"/>
          </w:tcPr>
          <w:p>
            <w:pPr>
              <w:keepNext/>
              <w:keepLines w:val="0"/>
              <w:pageBreakBefore w:val="0"/>
              <w:kinsoku/>
              <w:wordWrap/>
              <w:overflowPunct/>
              <w:topLinePunct w:val="0"/>
              <w:autoSpaceDE/>
              <w:autoSpaceDN/>
              <w:bidi w:val="0"/>
              <w:adjustRightInd/>
              <w:snapToGrid/>
              <w:spacing w:line="300" w:lineRule="exact"/>
              <w:jc w:val="center"/>
              <w:rPr>
                <w:rFonts w:cs="宋体"/>
                <w:color w:val="000000"/>
                <w:kern w:val="0"/>
                <w:sz w:val="18"/>
                <w:szCs w:val="18"/>
                <w:lang w:bidi="ar"/>
              </w:rPr>
            </w:pPr>
            <w:r>
              <w:rPr>
                <w:rFonts w:hint="eastAsia" w:cs="宋体"/>
                <w:color w:val="000000"/>
                <w:kern w:val="0"/>
                <w:sz w:val="18"/>
                <w:szCs w:val="18"/>
                <w:lang w:bidi="ar"/>
              </w:rPr>
              <w:t>4</w:t>
            </w:r>
          </w:p>
        </w:tc>
        <w:tc>
          <w:tcPr>
            <w:tcW w:w="842" w:type="dxa"/>
            <w:tcBorders>
              <w:top w:val="nil"/>
              <w:left w:val="single" w:color="auto" w:sz="4" w:space="0"/>
              <w:bottom w:val="single" w:color="auto" w:sz="12" w:space="0"/>
              <w:right w:val="nil"/>
            </w:tcBorders>
            <w:shd w:val="clear" w:color="auto" w:fill="FFFFFF"/>
            <w:vAlign w:val="center"/>
          </w:tcPr>
          <w:p>
            <w:pPr>
              <w:keepNext/>
              <w:keepLines w:val="0"/>
              <w:pageBreakBefore w:val="0"/>
              <w:kinsoku/>
              <w:wordWrap/>
              <w:overflowPunct/>
              <w:topLinePunct w:val="0"/>
              <w:autoSpaceDE/>
              <w:autoSpaceDN/>
              <w:bidi w:val="0"/>
              <w:adjustRightInd/>
              <w:snapToGrid/>
              <w:spacing w:line="300" w:lineRule="exact"/>
              <w:jc w:val="center"/>
              <w:rPr>
                <w:color w:val="000000"/>
                <w:sz w:val="18"/>
                <w:szCs w:val="18"/>
              </w:rPr>
            </w:pPr>
            <w:r>
              <w:rPr>
                <w:rFonts w:hint="eastAsia"/>
                <w:color w:val="000000"/>
                <w:sz w:val="18"/>
                <w:szCs w:val="18"/>
              </w:rPr>
              <w:t>√</w:t>
            </w:r>
          </w:p>
        </w:tc>
      </w:tr>
    </w:tbl>
    <w:p>
      <w:pPr>
        <w:keepNext/>
        <w:wordWrap w:val="0"/>
        <w:ind w:firstLine="332" w:firstLineChars="200"/>
        <w:rPr>
          <w:rFonts w:cs="Courier New"/>
          <w:color w:val="000000"/>
          <w:sz w:val="18"/>
          <w:szCs w:val="18"/>
          <w:shd w:val="clear" w:color="auto" w:fill="FFFFFF"/>
        </w:rPr>
      </w:pPr>
      <w:r>
        <w:rPr>
          <w:rFonts w:hint="eastAsia" w:cs="Courier New"/>
          <w:color w:val="000000"/>
          <w:sz w:val="18"/>
          <w:szCs w:val="18"/>
          <w:shd w:val="clear" w:color="auto" w:fill="FFFFFF"/>
        </w:rPr>
        <w:t>注：龙头企业数量数据来自于浙大卡特−企研中国涉农研究数据库（C</w:t>
      </w:r>
      <w:r>
        <w:rPr>
          <w:rFonts w:cs="Courier New"/>
          <w:color w:val="000000"/>
          <w:sz w:val="18"/>
          <w:szCs w:val="18"/>
          <w:shd w:val="clear" w:color="auto" w:fill="FFFFFF"/>
        </w:rPr>
        <w:t>CAD</w:t>
      </w:r>
      <w:r>
        <w:rPr>
          <w:rFonts w:hint="eastAsia" w:cs="Courier New"/>
          <w:color w:val="000000"/>
          <w:sz w:val="18"/>
          <w:szCs w:val="18"/>
          <w:shd w:val="clear" w:color="auto" w:fill="FFFFFF"/>
        </w:rPr>
        <w:t>，</w:t>
      </w:r>
      <w:r>
        <w:rPr>
          <w:rFonts w:cs="Courier New"/>
          <w:color w:val="000000"/>
          <w:sz w:val="18"/>
          <w:szCs w:val="18"/>
          <w:shd w:val="clear" w:color="auto" w:fill="FFFFFF"/>
        </w:rPr>
        <w:t>https://r.qiyandata.com/home</w:t>
      </w:r>
      <w:r>
        <w:rPr>
          <w:rFonts w:hint="eastAsia" w:cs="Courier New"/>
          <w:color w:val="000000"/>
          <w:sz w:val="18"/>
          <w:szCs w:val="18"/>
          <w:shd w:val="clear" w:color="auto" w:fill="FFFFFF"/>
        </w:rPr>
        <w:t>）。东部、中部、西部和东北地区的具体划分标准来自于国家统计局（</w:t>
      </w:r>
      <w:r>
        <w:rPr>
          <w:rFonts w:cs="Courier New"/>
          <w:color w:val="000000"/>
          <w:sz w:val="18"/>
          <w:szCs w:val="18"/>
          <w:shd w:val="clear" w:color="auto" w:fill="FFFFFF"/>
        </w:rPr>
        <w:t>https://www.stats.gov.cn/zt_18555/zthd/sjtjr/d12kfr/tjzsqzs/202302/t20230216_1908940.html</w:t>
      </w:r>
      <w:r>
        <w:rPr>
          <w:rFonts w:hint="eastAsia" w:cs="Courier New"/>
          <w:color w:val="000000"/>
          <w:sz w:val="18"/>
          <w:szCs w:val="18"/>
          <w:shd w:val="clear" w:color="auto" w:fill="FFFFFF"/>
        </w:rPr>
        <w:t>）。根据笔者统计</w:t>
      </w:r>
      <w:r>
        <w:rPr>
          <w:rFonts w:hint="eastAsia" w:cs="Courier New"/>
          <w:color w:val="000000"/>
          <w:sz w:val="18"/>
          <w:szCs w:val="18"/>
          <w:shd w:val="clear" w:color="auto" w:fill="FFFFFF"/>
          <w:lang w:eastAsia="zh-CN"/>
        </w:rPr>
        <w:t>，</w:t>
      </w:r>
      <w:r>
        <w:rPr>
          <w:rFonts w:hint="eastAsia" w:cs="Courier New"/>
          <w:color w:val="000000"/>
          <w:sz w:val="18"/>
          <w:szCs w:val="18"/>
          <w:shd w:val="clear" w:color="auto" w:fill="FFFFFF"/>
        </w:rPr>
        <w:t>农村人均可支配收入方面，东部地区10个省份中，除海南以外排名均在全国前15；龙头企业数量方面，东部地区10个省份中有4个省份排名位于全国前15；第一产业增加值占比方面，东部地区10个省份中有2个省份排名位于全国前15。据此，粗略判断出在中西部和东北地区存在以下特征</w:t>
      </w:r>
      <w:r>
        <w:rPr>
          <w:rFonts w:hint="eastAsia" w:cs="Courier New"/>
          <w:color w:val="000000"/>
          <w:sz w:val="18"/>
          <w:szCs w:val="18"/>
          <w:shd w:val="clear" w:color="auto" w:fill="FFFFFF"/>
          <w:lang w:eastAsia="zh-CN"/>
        </w:rPr>
        <w:t>，</w:t>
      </w:r>
      <w:r>
        <w:rPr>
          <w:rFonts w:hint="eastAsia" w:cs="Courier New"/>
          <w:color w:val="000000"/>
          <w:sz w:val="18"/>
          <w:szCs w:val="18"/>
          <w:shd w:val="clear" w:color="auto" w:fill="FFFFFF"/>
        </w:rPr>
        <w:t>第一产业增加值占地区生产总值比例较高，龙头企业数量较多，但是农村居民人均可支配收入较低。</w:t>
      </w:r>
    </w:p>
    <w:p>
      <w:pPr>
        <w:ind w:firstLine="332"/>
        <w:jc w:val="left"/>
        <w:rPr>
          <w:rFonts w:ascii="黑体" w:hAnsi="黑体" w:eastAsia="黑体"/>
          <w:sz w:val="18"/>
          <w:szCs w:val="18"/>
        </w:rPr>
      </w:pPr>
      <w:r>
        <w:rPr>
          <w:rFonts w:hint="eastAsia" w:eastAsia="黑体"/>
          <w:sz w:val="18"/>
          <w:szCs w:val="18"/>
        </w:rPr>
        <w:t>附表2</w:t>
      </w:r>
      <w:r>
        <w:rPr>
          <w:rFonts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样本龙头企业时间、区域和行业分布统计性描述</w:t>
      </w:r>
    </w:p>
    <w:tbl>
      <w:tblPr>
        <w:tblStyle w:val="35"/>
        <w:tblW w:w="858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0"/>
        <w:gridCol w:w="565"/>
        <w:gridCol w:w="785"/>
        <w:gridCol w:w="727"/>
        <w:gridCol w:w="623"/>
        <w:gridCol w:w="796"/>
        <w:gridCol w:w="3075"/>
        <w:gridCol w:w="691"/>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0" w:type="dxa"/>
            <w:gridSpan w:val="3"/>
            <w:tcBorders>
              <w:top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时间</w:t>
            </w:r>
          </w:p>
        </w:tc>
        <w:tc>
          <w:tcPr>
            <w:tcW w:w="2146" w:type="dxa"/>
            <w:gridSpan w:val="3"/>
            <w:tcBorders>
              <w:top w:val="single" w:color="auto" w:sz="12"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区域</w:t>
            </w:r>
          </w:p>
        </w:tc>
        <w:tc>
          <w:tcPr>
            <w:tcW w:w="4516" w:type="dxa"/>
            <w:gridSpan w:val="3"/>
            <w:tcBorders>
              <w:top w:val="single" w:color="auto" w:sz="12" w:space="0"/>
              <w:left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年份</w:t>
            </w:r>
          </w:p>
        </w:tc>
        <w:tc>
          <w:tcPr>
            <w:tcW w:w="565"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频次</w:t>
            </w:r>
          </w:p>
        </w:tc>
        <w:tc>
          <w:tcPr>
            <w:tcW w:w="785" w:type="dxa"/>
            <w:tcBorders>
              <w:top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占比</w:t>
            </w:r>
          </w:p>
        </w:tc>
        <w:tc>
          <w:tcPr>
            <w:tcW w:w="727"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省份</w:t>
            </w:r>
          </w:p>
        </w:tc>
        <w:tc>
          <w:tcPr>
            <w:tcW w:w="623"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频次</w:t>
            </w:r>
          </w:p>
        </w:tc>
        <w:tc>
          <w:tcPr>
            <w:tcW w:w="796" w:type="dxa"/>
            <w:tcBorders>
              <w:top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占比</w:t>
            </w:r>
          </w:p>
        </w:tc>
        <w:tc>
          <w:tcPr>
            <w:tcW w:w="3075"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证监会行业大类</w:t>
            </w:r>
          </w:p>
        </w:tc>
        <w:tc>
          <w:tcPr>
            <w:tcW w:w="691"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频次</w:t>
            </w:r>
          </w:p>
        </w:tc>
        <w:tc>
          <w:tcPr>
            <w:tcW w:w="750"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hint="eastAsia" w:cs="Times New Roman"/>
                <w:color w:val="000000"/>
                <w:sz w:val="18"/>
                <w:szCs w:val="18"/>
              </w:rPr>
              <w:t>占比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tcBorders>
              <w:top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2010</w:t>
            </w:r>
          </w:p>
        </w:tc>
        <w:tc>
          <w:tcPr>
            <w:tcW w:w="565" w:type="dxa"/>
            <w:tcBorders>
              <w:top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43</w:t>
            </w:r>
          </w:p>
        </w:tc>
        <w:tc>
          <w:tcPr>
            <w:tcW w:w="785" w:type="dxa"/>
            <w:tcBorders>
              <w:top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4.25%</w:t>
            </w:r>
          </w:p>
        </w:tc>
        <w:tc>
          <w:tcPr>
            <w:tcW w:w="727" w:type="dxa"/>
            <w:tcBorders>
              <w:top w:val="single" w:color="auto" w:sz="4" w:space="0"/>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湖南</w:t>
            </w:r>
          </w:p>
        </w:tc>
        <w:tc>
          <w:tcPr>
            <w:tcW w:w="623" w:type="dxa"/>
            <w:tcBorders>
              <w:top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117</w:t>
            </w:r>
          </w:p>
        </w:tc>
        <w:tc>
          <w:tcPr>
            <w:tcW w:w="796" w:type="dxa"/>
            <w:tcBorders>
              <w:top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11.29%</w:t>
            </w:r>
          </w:p>
        </w:tc>
        <w:tc>
          <w:tcPr>
            <w:tcW w:w="3075" w:type="dxa"/>
            <w:tcBorders>
              <w:top w:val="single" w:color="auto" w:sz="4" w:space="0"/>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农业</w:t>
            </w:r>
          </w:p>
        </w:tc>
        <w:tc>
          <w:tcPr>
            <w:tcW w:w="691" w:type="dxa"/>
            <w:tcBorders>
              <w:top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85</w:t>
            </w:r>
          </w:p>
        </w:tc>
        <w:tc>
          <w:tcPr>
            <w:tcW w:w="750" w:type="dxa"/>
            <w:tcBorders>
              <w:top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2011</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46</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4.44%</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山东</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110</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10.62%</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林业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2</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2012</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59</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5.69%</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河南</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88</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8.49%</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畜牧业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96</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9.27%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2013</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59</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5.69%</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广东</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86</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8.30%</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渔业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38</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2014</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65</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6.27%</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北京</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67</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6.47%</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农、林、牧、渔服务业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14</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2015</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66</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6.37%</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河北</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64</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6.18%</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农副食品加工业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237</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22.88%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2016</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84</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8.11%</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四川</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57</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5.50%</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食品制造业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182</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17.57%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2017</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96</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9.27%</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广西</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51</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4.92%</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酒、饮料和精制茶制造业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66</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6.37%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2018</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115</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11.10%</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安徽</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4</w:t>
            </w:r>
            <w:r>
              <w:rPr>
                <w:rFonts w:hint="eastAsia" w:cs="Times New Roman"/>
                <w:color w:val="000000"/>
                <w:sz w:val="18"/>
                <w:szCs w:val="18"/>
              </w:rPr>
              <w:t>8</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4.73%</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纺织业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11</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2019</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121</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11.68%</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浙江</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43</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4.15%</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家具制造业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4</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2020</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139</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13.42%</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江苏</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36</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3.47%</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造纸及纸制品业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5</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2021</w:t>
            </w: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142</w:t>
            </w: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sz w:val="18"/>
                <w:szCs w:val="18"/>
              </w:rPr>
              <w:t>13.71%</w:t>
            </w: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内蒙古</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35</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3.38%</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化学原料及化学制品制造业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9</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福建</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32</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3.09%</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医药制造业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180</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17.37%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tcBorders>
              <w:bottom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tcBorders>
              <w:bottom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bottom w:val="nil"/>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bottom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上海</w:t>
            </w:r>
          </w:p>
        </w:tc>
        <w:tc>
          <w:tcPr>
            <w:tcW w:w="623" w:type="dxa"/>
            <w:tcBorders>
              <w:bottom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27</w:t>
            </w:r>
          </w:p>
        </w:tc>
        <w:tc>
          <w:tcPr>
            <w:tcW w:w="796" w:type="dxa"/>
            <w:tcBorders>
              <w:bottom w:val="nil"/>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2.61%</w:t>
            </w:r>
          </w:p>
        </w:tc>
        <w:tc>
          <w:tcPr>
            <w:tcW w:w="3075" w:type="dxa"/>
            <w:tcBorders>
              <w:left w:val="single" w:color="auto" w:sz="4" w:space="0"/>
              <w:bottom w:val="nil"/>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橡胶和塑料制品业</w:t>
            </w:r>
          </w:p>
        </w:tc>
        <w:tc>
          <w:tcPr>
            <w:tcW w:w="691" w:type="dxa"/>
            <w:tcBorders>
              <w:bottom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3</w:t>
            </w:r>
          </w:p>
        </w:tc>
        <w:tc>
          <w:tcPr>
            <w:tcW w:w="750" w:type="dxa"/>
            <w:tcBorders>
              <w:bottom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tcBorders>
              <w:top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tcBorders>
              <w:top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top w:val="nil"/>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top w:val="nil"/>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贵州</w:t>
            </w:r>
          </w:p>
        </w:tc>
        <w:tc>
          <w:tcPr>
            <w:tcW w:w="623" w:type="dxa"/>
            <w:tcBorders>
              <w:top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27</w:t>
            </w:r>
          </w:p>
        </w:tc>
        <w:tc>
          <w:tcPr>
            <w:tcW w:w="796" w:type="dxa"/>
            <w:tcBorders>
              <w:top w:val="nil"/>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2.61%</w:t>
            </w:r>
          </w:p>
        </w:tc>
        <w:tc>
          <w:tcPr>
            <w:tcW w:w="3075" w:type="dxa"/>
            <w:tcBorders>
              <w:top w:val="nil"/>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专用设备制造业</w:t>
            </w:r>
          </w:p>
        </w:tc>
        <w:tc>
          <w:tcPr>
            <w:tcW w:w="691" w:type="dxa"/>
            <w:tcBorders>
              <w:top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6</w:t>
            </w:r>
          </w:p>
        </w:tc>
        <w:tc>
          <w:tcPr>
            <w:tcW w:w="750" w:type="dxa"/>
            <w:tcBorders>
              <w:top w:val="nil"/>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吉林</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26</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2.51%</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电气机械及器材制造业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1</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新疆</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26</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2.51%</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其他制造业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2</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海南</w:t>
            </w:r>
          </w:p>
        </w:tc>
        <w:tc>
          <w:tcPr>
            <w:tcW w:w="623"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26</w:t>
            </w:r>
          </w:p>
        </w:tc>
        <w:tc>
          <w:tcPr>
            <w:tcW w:w="796"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cs="Times New Roman"/>
                <w:color w:val="000000"/>
                <w:sz w:val="18"/>
                <w:szCs w:val="18"/>
              </w:rPr>
              <w:t>2.51%</w:t>
            </w:r>
          </w:p>
        </w:tc>
        <w:tc>
          <w:tcPr>
            <w:tcW w:w="3075" w:type="dxa"/>
            <w:tcBorders>
              <w:left w:val="single" w:color="auto" w:sz="4" w:space="0"/>
            </w:tcBorders>
            <w:vAlign w:val="top"/>
          </w:tcPr>
          <w:p>
            <w:pPr>
              <w:keepNext w:val="0"/>
              <w:keepLines w:val="0"/>
              <w:pageBreakBefore w:val="0"/>
              <w:widowControl/>
              <w:kinsoku/>
              <w:wordWrap/>
              <w:overflowPunct/>
              <w:topLinePunct w:val="0"/>
              <w:autoSpaceDE w:val="0"/>
              <w:autoSpaceDN w:val="0"/>
              <w:bidi w:val="0"/>
              <w:adjustRightInd/>
              <w:snapToGrid/>
              <w:spacing w:line="300" w:lineRule="exact"/>
              <w:jc w:val="both"/>
              <w:textAlignment w:val="auto"/>
              <w:rPr>
                <w:rFonts w:cs="Times New Roman"/>
                <w:sz w:val="18"/>
                <w:szCs w:val="18"/>
              </w:rPr>
            </w:pPr>
            <w:r>
              <w:rPr>
                <w:rFonts w:hint="eastAsia" w:cs="Times New Roman"/>
                <w:color w:val="000000"/>
                <w:sz w:val="18"/>
                <w:szCs w:val="18"/>
              </w:rPr>
              <w:t>土木工程建筑业</w:t>
            </w:r>
          </w:p>
        </w:tc>
        <w:tc>
          <w:tcPr>
            <w:tcW w:w="691"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r>
              <w:rPr>
                <w:rFonts w:hint="eastAsia" w:cs="Times New Roman"/>
                <w:color w:val="000000"/>
                <w:sz w:val="18"/>
                <w:szCs w:val="18"/>
              </w:rPr>
              <w:t>8</w:t>
            </w:r>
          </w:p>
        </w:tc>
        <w:tc>
          <w:tcPr>
            <w:tcW w:w="75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textAlignment w:val="auto"/>
              <w:rPr>
                <w:rFonts w:cs="Times New Roman"/>
                <w:sz w:val="18"/>
                <w:szCs w:val="18"/>
              </w:rPr>
            </w:pPr>
            <w:r>
              <w:rPr>
                <w:rFonts w:cs="Times New Roman"/>
                <w:color w:val="000000"/>
                <w:sz w:val="18"/>
                <w:szCs w:val="18"/>
              </w:rPr>
              <w:t>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甘肃</w:t>
            </w:r>
          </w:p>
        </w:tc>
        <w:tc>
          <w:tcPr>
            <w:tcW w:w="623"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22</w:t>
            </w:r>
          </w:p>
        </w:tc>
        <w:tc>
          <w:tcPr>
            <w:tcW w:w="796" w:type="dxa"/>
            <w:tcBorders>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2.12%</w:t>
            </w:r>
          </w:p>
        </w:tc>
        <w:tc>
          <w:tcPr>
            <w:tcW w:w="3075" w:type="dxa"/>
            <w:tcBorders>
              <w:left w:val="single" w:color="auto" w:sz="4"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批发业</w:t>
            </w:r>
          </w:p>
        </w:tc>
        <w:tc>
          <w:tcPr>
            <w:tcW w:w="691"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6</w:t>
            </w:r>
          </w:p>
        </w:tc>
        <w:tc>
          <w:tcPr>
            <w:tcW w:w="750"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重庆</w:t>
            </w:r>
          </w:p>
        </w:tc>
        <w:tc>
          <w:tcPr>
            <w:tcW w:w="623"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14</w:t>
            </w:r>
          </w:p>
        </w:tc>
        <w:tc>
          <w:tcPr>
            <w:tcW w:w="796" w:type="dxa"/>
            <w:tcBorders>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1.35%</w:t>
            </w:r>
          </w:p>
        </w:tc>
        <w:tc>
          <w:tcPr>
            <w:tcW w:w="3075" w:type="dxa"/>
            <w:tcBorders>
              <w:left w:val="single" w:color="auto" w:sz="4"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零售业</w:t>
            </w:r>
          </w:p>
        </w:tc>
        <w:tc>
          <w:tcPr>
            <w:tcW w:w="691"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38</w:t>
            </w:r>
          </w:p>
        </w:tc>
        <w:tc>
          <w:tcPr>
            <w:tcW w:w="750"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辽宁</w:t>
            </w:r>
          </w:p>
        </w:tc>
        <w:tc>
          <w:tcPr>
            <w:tcW w:w="623"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10</w:t>
            </w:r>
          </w:p>
        </w:tc>
        <w:tc>
          <w:tcPr>
            <w:tcW w:w="796" w:type="dxa"/>
            <w:tcBorders>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0.97%</w:t>
            </w:r>
          </w:p>
        </w:tc>
        <w:tc>
          <w:tcPr>
            <w:tcW w:w="3075" w:type="dxa"/>
            <w:tcBorders>
              <w:left w:val="single" w:color="auto" w:sz="4"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软件和信息技术服务业</w:t>
            </w:r>
          </w:p>
        </w:tc>
        <w:tc>
          <w:tcPr>
            <w:tcW w:w="691"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2</w:t>
            </w:r>
          </w:p>
        </w:tc>
        <w:tc>
          <w:tcPr>
            <w:tcW w:w="750"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云南</w:t>
            </w:r>
          </w:p>
        </w:tc>
        <w:tc>
          <w:tcPr>
            <w:tcW w:w="623"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7</w:t>
            </w:r>
          </w:p>
        </w:tc>
        <w:tc>
          <w:tcPr>
            <w:tcW w:w="796" w:type="dxa"/>
            <w:tcBorders>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0.68%</w:t>
            </w:r>
          </w:p>
        </w:tc>
        <w:tc>
          <w:tcPr>
            <w:tcW w:w="3075" w:type="dxa"/>
            <w:tcBorders>
              <w:left w:val="single" w:color="auto" w:sz="4"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商务服务业</w:t>
            </w:r>
          </w:p>
        </w:tc>
        <w:tc>
          <w:tcPr>
            <w:tcW w:w="691"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4</w:t>
            </w:r>
          </w:p>
        </w:tc>
        <w:tc>
          <w:tcPr>
            <w:tcW w:w="750"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山西</w:t>
            </w:r>
          </w:p>
        </w:tc>
        <w:tc>
          <w:tcPr>
            <w:tcW w:w="623"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7</w:t>
            </w:r>
          </w:p>
        </w:tc>
        <w:tc>
          <w:tcPr>
            <w:tcW w:w="796" w:type="dxa"/>
            <w:tcBorders>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0.68%</w:t>
            </w:r>
          </w:p>
        </w:tc>
        <w:tc>
          <w:tcPr>
            <w:tcW w:w="3075" w:type="dxa"/>
            <w:tcBorders>
              <w:left w:val="single" w:color="auto" w:sz="4"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生态保护和环境治理业</w:t>
            </w:r>
          </w:p>
        </w:tc>
        <w:tc>
          <w:tcPr>
            <w:tcW w:w="691"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2</w:t>
            </w:r>
          </w:p>
        </w:tc>
        <w:tc>
          <w:tcPr>
            <w:tcW w:w="750"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青海</w:t>
            </w:r>
          </w:p>
        </w:tc>
        <w:tc>
          <w:tcPr>
            <w:tcW w:w="623"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7</w:t>
            </w:r>
          </w:p>
        </w:tc>
        <w:tc>
          <w:tcPr>
            <w:tcW w:w="796" w:type="dxa"/>
            <w:tcBorders>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0.68%</w:t>
            </w:r>
          </w:p>
        </w:tc>
        <w:tc>
          <w:tcPr>
            <w:tcW w:w="3075" w:type="dxa"/>
            <w:tcBorders>
              <w:left w:val="single" w:color="auto" w:sz="4"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综合</w:t>
            </w:r>
          </w:p>
        </w:tc>
        <w:tc>
          <w:tcPr>
            <w:tcW w:w="691"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3</w:t>
            </w:r>
          </w:p>
        </w:tc>
        <w:tc>
          <w:tcPr>
            <w:tcW w:w="750" w:type="dxa"/>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left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宁夏</w:t>
            </w:r>
          </w:p>
        </w:tc>
        <w:tc>
          <w:tcPr>
            <w:tcW w:w="623" w:type="dxa"/>
            <w:tcBorders>
              <w:bottom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2</w:t>
            </w:r>
          </w:p>
        </w:tc>
        <w:tc>
          <w:tcPr>
            <w:tcW w:w="796" w:type="dxa"/>
            <w:tcBorders>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0.19%</w:t>
            </w:r>
          </w:p>
        </w:tc>
        <w:tc>
          <w:tcPr>
            <w:tcW w:w="3075" w:type="dxa"/>
            <w:tcBorders>
              <w:left w:val="single" w:color="auto" w:sz="4" w:space="0"/>
              <w:bottom w:val="single" w:color="auto" w:sz="4"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皮革、毛皮、羽毛及其制品和制鞋业</w:t>
            </w:r>
          </w:p>
        </w:tc>
        <w:tc>
          <w:tcPr>
            <w:tcW w:w="691" w:type="dxa"/>
            <w:tcBorders>
              <w:bottom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5</w:t>
            </w:r>
          </w:p>
        </w:tc>
        <w:tc>
          <w:tcPr>
            <w:tcW w:w="750" w:type="dxa"/>
            <w:tcBorders>
              <w:bottom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0.48%</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lang w:eastAsia="zh-CN"/>
        </w:rPr>
      </w:pPr>
      <w:r>
        <w:rPr>
          <w:rFonts w:hint="eastAsia" w:eastAsia="黑体"/>
          <w:sz w:val="18"/>
          <w:szCs w:val="18"/>
        </w:rPr>
        <w:t>附表2</w:t>
      </w:r>
      <w:r>
        <w:rPr>
          <w:rFonts w:hint="eastAsia" w:eastAsia="黑体"/>
          <w:sz w:val="18"/>
          <w:szCs w:val="18"/>
          <w:lang w:eastAsia="zh-CN"/>
        </w:rPr>
        <w:t>（</w:t>
      </w:r>
      <w:r>
        <w:rPr>
          <w:rFonts w:hint="eastAsia" w:eastAsia="黑体"/>
          <w:sz w:val="18"/>
          <w:szCs w:val="18"/>
          <w:lang w:val="en-US" w:eastAsia="zh-CN"/>
        </w:rPr>
        <w:t>续</w:t>
      </w:r>
      <w:r>
        <w:rPr>
          <w:rFonts w:hint="eastAsia" w:eastAsia="黑体"/>
          <w:sz w:val="18"/>
          <w:szCs w:val="18"/>
          <w:lang w:eastAsia="zh-CN"/>
        </w:rPr>
        <w:t>）</w:t>
      </w:r>
    </w:p>
    <w:tbl>
      <w:tblPr>
        <w:tblStyle w:val="35"/>
        <w:tblW w:w="858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0"/>
        <w:gridCol w:w="565"/>
        <w:gridCol w:w="785"/>
        <w:gridCol w:w="727"/>
        <w:gridCol w:w="623"/>
        <w:gridCol w:w="796"/>
        <w:gridCol w:w="3075"/>
        <w:gridCol w:w="691"/>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570" w:type="dxa"/>
            <w:tcBorders>
              <w:top w:val="single" w:color="auto" w:sz="4" w:space="0"/>
              <w:bottom w:val="single" w:color="auto" w:sz="12"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565" w:type="dxa"/>
            <w:tcBorders>
              <w:top w:val="single" w:color="auto" w:sz="4" w:space="0"/>
              <w:bottom w:val="single" w:color="auto" w:sz="12"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85" w:type="dxa"/>
            <w:tcBorders>
              <w:top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300" w:lineRule="exact"/>
              <w:jc w:val="center"/>
              <w:textAlignment w:val="auto"/>
              <w:rPr>
                <w:rFonts w:cs="Times New Roman"/>
                <w:sz w:val="18"/>
                <w:szCs w:val="18"/>
              </w:rPr>
            </w:pPr>
          </w:p>
        </w:tc>
        <w:tc>
          <w:tcPr>
            <w:tcW w:w="727" w:type="dxa"/>
            <w:tcBorders>
              <w:top w:val="single" w:color="auto" w:sz="4" w:space="0"/>
              <w:left w:val="single" w:color="auto" w:sz="4" w:space="0"/>
              <w:bottom w:val="single" w:color="auto" w:sz="12"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p>
        </w:tc>
        <w:tc>
          <w:tcPr>
            <w:tcW w:w="623" w:type="dxa"/>
            <w:tcBorders>
              <w:top w:val="single" w:color="auto" w:sz="4" w:space="0"/>
              <w:bottom w:val="single" w:color="auto" w:sz="12"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p>
        </w:tc>
        <w:tc>
          <w:tcPr>
            <w:tcW w:w="796" w:type="dxa"/>
            <w:tcBorders>
              <w:top w:val="single" w:color="auto" w:sz="4" w:space="0"/>
              <w:bottom w:val="single" w:color="auto" w:sz="12" w:space="0"/>
              <w:right w:val="single" w:color="auto" w:sz="4"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p>
        </w:tc>
        <w:tc>
          <w:tcPr>
            <w:tcW w:w="3075" w:type="dxa"/>
            <w:tcBorders>
              <w:top w:val="single" w:color="auto" w:sz="4" w:space="0"/>
              <w:left w:val="single" w:color="auto" w:sz="4" w:space="0"/>
              <w:bottom w:val="single" w:color="auto" w:sz="12" w:space="0"/>
            </w:tcBorders>
            <w:vAlign w:val="top"/>
          </w:tcPr>
          <w:p>
            <w:pPr>
              <w:keepNext w:val="0"/>
              <w:keepLines w:val="0"/>
              <w:pageBreakBefore w:val="0"/>
              <w:kinsoku/>
              <w:wordWrap/>
              <w:overflowPunct/>
              <w:topLinePunct w:val="0"/>
              <w:bidi w:val="0"/>
              <w:adjustRightInd/>
              <w:snapToGrid/>
              <w:spacing w:line="300" w:lineRule="exact"/>
              <w:jc w:val="both"/>
              <w:textAlignment w:val="auto"/>
              <w:rPr>
                <w:rFonts w:cs="Times New Roman"/>
                <w:color w:val="000000"/>
                <w:sz w:val="18"/>
                <w:szCs w:val="18"/>
              </w:rPr>
            </w:pPr>
            <w:r>
              <w:rPr>
                <w:rFonts w:hint="eastAsia" w:cs="Times New Roman"/>
                <w:color w:val="000000"/>
                <w:sz w:val="18"/>
                <w:szCs w:val="18"/>
              </w:rPr>
              <w:t>木材加工及木、竹、藤、棕、草制品业</w:t>
            </w:r>
          </w:p>
        </w:tc>
        <w:tc>
          <w:tcPr>
            <w:tcW w:w="691" w:type="dxa"/>
            <w:tcBorders>
              <w:top w:val="single" w:color="auto" w:sz="4" w:space="0"/>
              <w:bottom w:val="single" w:color="auto" w:sz="12"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hint="eastAsia" w:cs="Times New Roman"/>
                <w:color w:val="000000"/>
                <w:sz w:val="18"/>
                <w:szCs w:val="18"/>
              </w:rPr>
              <w:t>26</w:t>
            </w:r>
          </w:p>
        </w:tc>
        <w:tc>
          <w:tcPr>
            <w:tcW w:w="750" w:type="dxa"/>
            <w:tcBorders>
              <w:top w:val="single" w:color="auto" w:sz="4" w:space="0"/>
              <w:bottom w:val="single" w:color="auto" w:sz="12" w:space="0"/>
            </w:tcBorders>
            <w:vAlign w:val="center"/>
          </w:tcPr>
          <w:p>
            <w:pPr>
              <w:keepNext w:val="0"/>
              <w:keepLines w:val="0"/>
              <w:pageBreakBefore w:val="0"/>
              <w:kinsoku/>
              <w:wordWrap/>
              <w:overflowPunct/>
              <w:topLinePunct w:val="0"/>
              <w:bidi w:val="0"/>
              <w:adjustRightInd/>
              <w:snapToGrid/>
              <w:spacing w:line="300" w:lineRule="exact"/>
              <w:jc w:val="center"/>
              <w:textAlignment w:val="auto"/>
              <w:rPr>
                <w:rFonts w:cs="Times New Roman"/>
                <w:color w:val="000000"/>
                <w:sz w:val="18"/>
                <w:szCs w:val="18"/>
              </w:rPr>
            </w:pPr>
            <w:r>
              <w:rPr>
                <w:rFonts w:cs="Times New Roman"/>
                <w:color w:val="000000"/>
                <w:sz w:val="18"/>
                <w:szCs w:val="18"/>
              </w:rPr>
              <w:t>2.51%</w:t>
            </w:r>
          </w:p>
        </w:tc>
      </w:tr>
    </w:tbl>
    <w:p>
      <w:pPr>
        <w:ind w:firstLine="332" w:firstLineChars="200"/>
        <w:rPr>
          <w:rFonts w:eastAsia="黑体"/>
          <w:sz w:val="18"/>
          <w:szCs w:val="18"/>
        </w:rPr>
      </w:pPr>
      <w:r>
        <w:rPr>
          <w:rFonts w:hint="eastAsia" w:eastAsia="黑体"/>
          <w:sz w:val="18"/>
          <w:szCs w:val="18"/>
        </w:rPr>
        <w:t>附表3</w:t>
      </w:r>
      <w:r>
        <w:rPr>
          <w:rFonts w:eastAsia="黑体"/>
          <w:sz w:val="18"/>
          <w:szCs w:val="18"/>
        </w:rPr>
        <w:t xml:space="preserve">                                  </w:t>
      </w:r>
      <w:r>
        <w:rPr>
          <w:rFonts w:hint="eastAsia" w:eastAsia="黑体"/>
          <w:sz w:val="18"/>
          <w:szCs w:val="18"/>
        </w:rPr>
        <w:t>企业数字化关键词</w:t>
      </w:r>
    </w:p>
    <w:tbl>
      <w:tblPr>
        <w:tblStyle w:val="35"/>
        <w:tblW w:w="8619" w:type="dxa"/>
        <w:tblInd w:w="108" w:type="dxa"/>
        <w:tblBorders>
          <w:top w:val="single" w:color="auto" w:sz="1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19"/>
      </w:tblGrid>
      <w:tr>
        <w:tblPrEx>
          <w:tblBorders>
            <w:top w:val="single" w:color="auto" w:sz="1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619" w:type="dxa"/>
            <w:tcBorders>
              <w:top w:val="single" w:color="auto" w:sz="12" w:space="0"/>
              <w:bottom w:val="single" w:color="auto" w:sz="12" w:space="0"/>
            </w:tcBorders>
          </w:tcPr>
          <w:p>
            <w:pPr>
              <w:jc w:val="both"/>
              <w:rPr>
                <w:sz w:val="18"/>
                <w:szCs w:val="18"/>
              </w:rPr>
            </w:pPr>
            <w:r>
              <w:rPr>
                <w:rFonts w:hint="eastAsia"/>
                <w:sz w:val="18"/>
                <w:szCs w:val="18"/>
              </w:rPr>
              <w:t>互联网，信息化，人工智能，数字化，网络安全，智能化，智能感知，智能计算，智能监测，智能分析，信息技术，网络化，宽带，机器人，互联互通，网络空间，电子政务，供应链，资源共享，产学研，商业模式，数据库，传感器，移动通信，数据共享，网点，数据中心，技术标准，信息网络，信息产业，控制系统，软硬件，系统集成，应用服务，开放平台，网络覆盖，操作系统，数据分析，电子商务，虚拟现实，资源库，信息库，元器件，自动化，程序，开放式，管理系统，可视化，应用软件，数控机床，联通，网络设施，数据挖掘，数据处理，宽带接入，带宽，数据管理，仿真，内网，技术手段，计算技术，信息管理，语音，信用信息，信息惠民，信息化领域，信息化水平，关键信息基础设施，推进信息化，农业信息，等信息技术，信息系统，视觉，通信技术，系统性，网络设备，服务器，处理器，组网，网间，卫星通信，无线网络，互联网协议，导航系统，电子信息，网络体系，控制技术，数据服务，电子器件，数字电视，网络服务，终端产品，数据保护，网络平台，人机交互，半导体，农业遥感，信息流，虚拟化，支持系统，管理信息系统，一网通，域名，云端，智能网，云计算，能源互联网，数字化转型，智能制造，信息服务，信息化发展，大数据应用，人工智能发展，信息基础设施，宽带网络，云计算服务，物联网，大数据平台，大数据分析，互联网平台，</w:t>
            </w:r>
            <w:r>
              <w:rPr>
                <w:rFonts w:hint="eastAsia"/>
                <w:sz w:val="18"/>
                <w:szCs w:val="18"/>
                <w:lang w:val="en-US" w:eastAsia="zh-CN"/>
              </w:rPr>
              <w:t>A</w:t>
            </w:r>
            <w:r>
              <w:rPr>
                <w:rFonts w:hint="eastAsia"/>
                <w:sz w:val="18"/>
                <w:szCs w:val="18"/>
              </w:rPr>
              <w:t>pp，信息平台，信息化建设，云服务，智慧化，大数据产业，互联网领域，互联网技术，云平台，信息通信，大数据技术，人工智能技术，移动互联网，分布式能源，信息采集，智能化水平，大数据，网络信息，电子商务创新，信息化应用，基础数据，数据开放，数据采集，信息技术应用，物联网发展，网络技术，信息化工作，智能产品，网信，未来网络，数字经济，数字农业农村，发展数字，数字乡村发展，数字农业，数字技能，工业互联网技术，物联网技术，信息技术创新，信息服务体系，数据资源共享，虚拟现实应用，电子商务，平台，基础软件，智能机器人，三网融合，数字技术，网络基础，信息技术服务，智能系统，移动智能，网络互联，数据集成，电商平台，智能传感器，领域信息化，门户网站，射频识别，工业互联网，信息服务平台，计算数据中心，服务数字化，互联网融合，数字化车间，数字化平台，工业互联网领域，共享平台，信息互通，大数据工程，生产智能化，数字产业化，工业机器人，供应链管理，信息数据库，信息共享平台，感知交互，工业软件</w:t>
            </w:r>
          </w:p>
        </w:tc>
      </w:tr>
    </w:tbl>
    <w:p>
      <w:pPr>
        <w:ind w:firstLine="332" w:firstLineChars="200"/>
        <w:rPr>
          <w:rFonts w:ascii="黑体" w:hAnsi="黑体" w:eastAsia="黑体"/>
          <w:sz w:val="18"/>
          <w:szCs w:val="18"/>
        </w:rPr>
      </w:pPr>
      <w:r>
        <w:rPr>
          <w:rFonts w:hint="eastAsia" w:eastAsia="黑体"/>
          <w:sz w:val="18"/>
          <w:szCs w:val="18"/>
        </w:rPr>
        <w:t xml:space="preserve">附表4 </w:t>
      </w:r>
      <w:r>
        <w:rPr>
          <w:rFonts w:hint="eastAsia" w:ascii="黑体" w:hAnsi="黑体"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豪斯曼检验结果</w:t>
      </w:r>
    </w:p>
    <w:tbl>
      <w:tblPr>
        <w:tblStyle w:val="35"/>
        <w:tblW w:w="8585" w:type="dxa"/>
        <w:tblInd w:w="1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02"/>
        <w:gridCol w:w="1745"/>
        <w:gridCol w:w="1745"/>
        <w:gridCol w:w="1745"/>
        <w:gridCol w:w="1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top w:val="single" w:color="auto" w:sz="12"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6983" w:type="dxa"/>
            <w:gridSpan w:val="4"/>
            <w:tcBorders>
              <w:top w:val="single" w:color="auto" w:sz="12" w:space="0"/>
              <w:left w:val="single" w:color="auto" w:sz="4" w:space="0"/>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联农带农效益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745" w:type="dxa"/>
            <w:tcBorders>
              <w:top w:val="single" w:color="auto" w:sz="4" w:space="0"/>
              <w:left w:val="single" w:color="auto" w:sz="4" w:space="0"/>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固定效应</w:t>
            </w:r>
          </w:p>
        </w:tc>
        <w:tc>
          <w:tcPr>
            <w:tcW w:w="1745" w:type="dxa"/>
            <w:tcBorders>
              <w:top w:val="single" w:color="auto" w:sz="4" w:space="0"/>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随机效应</w:t>
            </w:r>
          </w:p>
        </w:tc>
        <w:tc>
          <w:tcPr>
            <w:tcW w:w="1745" w:type="dxa"/>
            <w:tcBorders>
              <w:top w:val="single" w:color="auto" w:sz="4" w:space="0"/>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固定效应</w:t>
            </w:r>
            <w:r>
              <w:rPr>
                <w:rFonts w:hint="eastAsia"/>
                <w:sz w:val="18"/>
                <w:szCs w:val="18"/>
                <w:lang w:eastAsia="zh-CN"/>
              </w:rPr>
              <w:t>－</w:t>
            </w:r>
            <w:r>
              <w:rPr>
                <w:rFonts w:hint="eastAsia"/>
                <w:sz w:val="18"/>
                <w:szCs w:val="18"/>
              </w:rPr>
              <w:t>随机效应</w:t>
            </w:r>
          </w:p>
        </w:tc>
        <w:tc>
          <w:tcPr>
            <w:tcW w:w="1748" w:type="dxa"/>
            <w:tcBorders>
              <w:top w:val="single" w:color="auto" w:sz="4" w:space="0"/>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标准误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top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w:t>
            </w:r>
          </w:p>
        </w:tc>
        <w:tc>
          <w:tcPr>
            <w:tcW w:w="1745" w:type="dxa"/>
            <w:tcBorders>
              <w:top w:val="single" w:color="auto" w:sz="4" w:space="0"/>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0.027</w:t>
            </w:r>
          </w:p>
        </w:tc>
        <w:tc>
          <w:tcPr>
            <w:tcW w:w="1745" w:type="dxa"/>
            <w:tcBorders>
              <w:top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0.013</w:t>
            </w:r>
          </w:p>
        </w:tc>
        <w:tc>
          <w:tcPr>
            <w:tcW w:w="1745" w:type="dxa"/>
            <w:tcBorders>
              <w:top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0.014</w:t>
            </w:r>
          </w:p>
        </w:tc>
        <w:tc>
          <w:tcPr>
            <w:tcW w:w="1748" w:type="dxa"/>
            <w:tcBorders>
              <w:top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企业规模</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0.257</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0.149</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0.108</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营业收入</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1.367</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sz w:val="18"/>
                <w:szCs w:val="18"/>
                <w:lang w:val="en-US" w:eastAsia="zh-CN"/>
              </w:rPr>
            </w:pPr>
            <w:r>
              <w:rPr>
                <w:rFonts w:hint="eastAsia"/>
                <w:sz w:val="18"/>
                <w:szCs w:val="18"/>
              </w:rPr>
              <w:t>1.078</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0.288</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技术创新水平</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0.029</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0.024</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0.004</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劳动投入</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0.175</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0.111</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0.065</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中间品投入</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1.201</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1.027</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0.174</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管理费用</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0.210</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0.163</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0.047</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无形资产占比</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0.174</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0.040</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0.135</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总资产周转率</w:t>
            </w:r>
          </w:p>
        </w:tc>
        <w:tc>
          <w:tcPr>
            <w:tcW w:w="1745" w:type="dxa"/>
            <w:tcBorders>
              <w:left w:val="single" w:color="auto" w:sz="4" w:space="0"/>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0.135</w:t>
            </w:r>
          </w:p>
        </w:tc>
        <w:tc>
          <w:tcPr>
            <w:tcW w:w="1745" w:type="dxa"/>
            <w:tcBorders>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0.106</w:t>
            </w:r>
          </w:p>
        </w:tc>
        <w:tc>
          <w:tcPr>
            <w:tcW w:w="1745" w:type="dxa"/>
            <w:tcBorders>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0.028</w:t>
            </w:r>
          </w:p>
        </w:tc>
        <w:tc>
          <w:tcPr>
            <w:tcW w:w="1748" w:type="dxa"/>
            <w:tcBorders>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0.014</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lang w:val="en-US" w:eastAsia="zh-CN"/>
        </w:rPr>
      </w:pPr>
      <w:r>
        <w:rPr>
          <w:rFonts w:hint="eastAsia" w:eastAsia="黑体"/>
          <w:sz w:val="18"/>
          <w:szCs w:val="18"/>
        </w:rPr>
        <w:t>附表4</w:t>
      </w:r>
      <w:r>
        <w:rPr>
          <w:rFonts w:hint="eastAsia" w:eastAsia="黑体"/>
          <w:sz w:val="18"/>
          <w:szCs w:val="18"/>
          <w:lang w:eastAsia="zh-CN"/>
        </w:rPr>
        <w:t>（</w:t>
      </w:r>
      <w:r>
        <w:rPr>
          <w:rFonts w:hint="eastAsia" w:eastAsia="黑体"/>
          <w:sz w:val="18"/>
          <w:szCs w:val="18"/>
          <w:lang w:val="en-US" w:eastAsia="zh-CN"/>
        </w:rPr>
        <w:t>续</w:t>
      </w:r>
      <w:r>
        <w:rPr>
          <w:rFonts w:hint="eastAsia" w:eastAsia="黑体"/>
          <w:sz w:val="18"/>
          <w:szCs w:val="18"/>
          <w:lang w:eastAsia="zh-CN"/>
        </w:rPr>
        <w:t>）</w:t>
      </w:r>
    </w:p>
    <w:tbl>
      <w:tblPr>
        <w:tblStyle w:val="35"/>
        <w:tblW w:w="8585" w:type="dxa"/>
        <w:tblInd w:w="1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02"/>
        <w:gridCol w:w="1745"/>
        <w:gridCol w:w="1745"/>
        <w:gridCol w:w="1745"/>
        <w:gridCol w:w="1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独立董事人数</w:t>
            </w:r>
          </w:p>
        </w:tc>
        <w:tc>
          <w:tcPr>
            <w:tcW w:w="1745" w:type="dxa"/>
            <w:tcBorders>
              <w:top w:val="single" w:color="auto" w:sz="4" w:space="0"/>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0.003</w:t>
            </w:r>
          </w:p>
        </w:tc>
        <w:tc>
          <w:tcPr>
            <w:tcW w:w="1745" w:type="dxa"/>
            <w:tcBorders>
              <w:top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0.015</w:t>
            </w:r>
          </w:p>
        </w:tc>
        <w:tc>
          <w:tcPr>
            <w:tcW w:w="1745" w:type="dxa"/>
            <w:tcBorders>
              <w:top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0.011</w:t>
            </w:r>
          </w:p>
        </w:tc>
        <w:tc>
          <w:tcPr>
            <w:tcW w:w="1748" w:type="dxa"/>
            <w:tcBorders>
              <w:top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存货周转率</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0.001</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0.004</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0.003</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ascii="宋体" w:hAnsi="宋体"/>
                <w:sz w:val="18"/>
                <w:szCs w:val="18"/>
              </w:rPr>
              <w:t>现金流量</w:t>
            </w:r>
          </w:p>
        </w:tc>
        <w:tc>
          <w:tcPr>
            <w:tcW w:w="1745" w:type="dxa"/>
            <w:tcBorders>
              <w:left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0.625</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0.771</w:t>
            </w:r>
          </w:p>
        </w:tc>
        <w:tc>
          <w:tcPr>
            <w:tcW w:w="1745"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0.146</w:t>
            </w:r>
          </w:p>
        </w:tc>
        <w:tc>
          <w:tcPr>
            <w:tcW w:w="1748" w:type="dxa"/>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18"/>
                <w:szCs w:val="18"/>
              </w:rPr>
            </w:pPr>
            <w:r>
              <w:rPr>
                <w:rFonts w:hint="eastAsia" w:ascii="宋体" w:hAnsi="宋体"/>
                <w:sz w:val="18"/>
                <w:szCs w:val="18"/>
              </w:rPr>
              <w:t>数字化转型程度</w:t>
            </w:r>
          </w:p>
        </w:tc>
        <w:tc>
          <w:tcPr>
            <w:tcW w:w="1745" w:type="dxa"/>
            <w:tcBorders>
              <w:left w:val="single" w:color="auto" w:sz="4" w:space="0"/>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0.030</w:t>
            </w:r>
          </w:p>
        </w:tc>
        <w:tc>
          <w:tcPr>
            <w:tcW w:w="1745" w:type="dxa"/>
            <w:tcBorders>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0.021</w:t>
            </w:r>
          </w:p>
        </w:tc>
        <w:tc>
          <w:tcPr>
            <w:tcW w:w="1745" w:type="dxa"/>
            <w:tcBorders>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cs="Times New Roman"/>
                <w:sz w:val="18"/>
                <w:szCs w:val="18"/>
                <w:lang w:bidi="ar"/>
              </w:rPr>
            </w:pPr>
            <w:r>
              <w:rPr>
                <w:rFonts w:cs="Times New Roman"/>
                <w:sz w:val="18"/>
                <w:szCs w:val="18"/>
                <w:lang w:bidi="ar"/>
              </w:rPr>
              <w:t>−</w:t>
            </w:r>
            <w:r>
              <w:rPr>
                <w:rFonts w:hint="eastAsia"/>
                <w:sz w:val="18"/>
                <w:szCs w:val="18"/>
              </w:rPr>
              <w:t>0.009</w:t>
            </w:r>
          </w:p>
        </w:tc>
        <w:tc>
          <w:tcPr>
            <w:tcW w:w="1748" w:type="dxa"/>
            <w:tcBorders>
              <w:bottom w:val="single" w:color="auto" w:sz="4"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trPr>
        <w:tc>
          <w:tcPr>
            <w:tcW w:w="1602" w:type="dxa"/>
            <w:tcBorders>
              <w:top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18"/>
                <w:szCs w:val="18"/>
              </w:rPr>
            </w:pPr>
            <w:r>
              <w:rPr>
                <w:rFonts w:hint="eastAsia" w:ascii="宋体" w:hAnsi="宋体"/>
                <w:sz w:val="18"/>
                <w:szCs w:val="18"/>
              </w:rPr>
              <w:t>豪斯曼检验</w:t>
            </w:r>
          </w:p>
        </w:tc>
        <w:tc>
          <w:tcPr>
            <w:tcW w:w="6983" w:type="dxa"/>
            <w:gridSpan w:val="4"/>
            <w:tcBorders>
              <w:top w:val="single" w:color="auto" w:sz="4" w:space="0"/>
              <w:left w:val="single" w:color="auto" w:sz="4" w:space="0"/>
              <w:bottom w:val="single" w:color="auto" w:sz="12" w:space="0"/>
            </w:tcBorders>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63.64</w:t>
            </w:r>
            <w:r>
              <w:rPr>
                <w:rFonts w:hint="eastAsia"/>
                <w:sz w:val="18"/>
                <w:szCs w:val="18"/>
                <w:vertAlign w:val="superscript"/>
              </w:rPr>
              <w:t>***</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sz w:val="18"/>
          <w:szCs w:val="20"/>
        </w:rPr>
      </w:pPr>
      <w:bookmarkStart w:id="1" w:name="_Ref190265695"/>
      <w:r>
        <w:rPr>
          <w:rFonts w:hint="eastAsia"/>
          <w:sz w:val="18"/>
          <w:szCs w:val="20"/>
        </w:rPr>
        <w:t>注：***、**和*分别表示在1%、5%和10%的水平上显著。</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eastAsia="黑体"/>
          <w:sz w:val="18"/>
          <w:szCs w:val="18"/>
        </w:rPr>
      </w:pPr>
      <w:r>
        <w:rPr>
          <w:rFonts w:hint="eastAsia" w:eastAsia="黑体"/>
          <w:sz w:val="18"/>
          <w:szCs w:val="18"/>
        </w:rPr>
        <w:t>附表5</w:t>
      </w:r>
      <w:r>
        <w:rPr>
          <w:rFonts w:eastAsia="黑体"/>
          <w:sz w:val="18"/>
          <w:szCs w:val="18"/>
        </w:rPr>
        <w:t xml:space="preserve">                               </w:t>
      </w:r>
      <w:r>
        <w:rPr>
          <w:rFonts w:eastAsia="黑体"/>
          <w:sz w:val="18"/>
          <w:szCs w:val="18"/>
        </w:rPr>
        <w:tab/>
      </w:r>
      <w:r>
        <w:rPr>
          <w:rFonts w:eastAsia="黑体"/>
          <w:sz w:val="18"/>
          <w:szCs w:val="18"/>
        </w:rPr>
        <w:tab/>
      </w:r>
      <w:r>
        <w:rPr>
          <w:rFonts w:eastAsia="黑体"/>
          <w:sz w:val="18"/>
          <w:szCs w:val="18"/>
        </w:rPr>
        <w:tab/>
      </w:r>
      <w:r>
        <w:rPr>
          <w:rFonts w:eastAsia="黑体"/>
          <w:sz w:val="18"/>
          <w:szCs w:val="18"/>
        </w:rPr>
        <w:tab/>
      </w:r>
      <w:r>
        <w:rPr>
          <w:rFonts w:eastAsia="黑体"/>
          <w:sz w:val="18"/>
          <w:szCs w:val="18"/>
        </w:rPr>
        <w:tab/>
      </w:r>
      <w:r>
        <w:rPr>
          <w:rFonts w:eastAsia="黑体"/>
          <w:sz w:val="18"/>
          <w:szCs w:val="18"/>
        </w:rPr>
        <w:tab/>
      </w:r>
      <w:r>
        <w:rPr>
          <w:rFonts w:eastAsia="黑体"/>
          <w:sz w:val="18"/>
          <w:szCs w:val="18"/>
        </w:rPr>
        <w:tab/>
      </w:r>
      <w:r>
        <w:rPr>
          <w:rFonts w:hint="eastAsia" w:eastAsia="黑体"/>
          <w:sz w:val="18"/>
          <w:szCs w:val="18"/>
        </w:rPr>
        <w:t>内生性问题与稳健性检验结果</w:t>
      </w:r>
    </w:p>
    <w:tbl>
      <w:tblPr>
        <w:tblStyle w:val="35"/>
        <w:tblW w:w="8636" w:type="dxa"/>
        <w:jc w:val="center"/>
        <w:tblInd w:w="6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3"/>
        <w:gridCol w:w="1293"/>
        <w:gridCol w:w="858"/>
        <w:gridCol w:w="1088"/>
        <w:gridCol w:w="1071"/>
        <w:gridCol w:w="1020"/>
        <w:gridCol w:w="1020"/>
        <w:gridCol w:w="10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vMerge w:val="restart"/>
            <w:tcBorders>
              <w:top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7393" w:type="dxa"/>
            <w:gridSpan w:val="7"/>
            <w:tcBorders>
              <w:top w:val="single" w:color="auto" w:sz="12"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联农带农效益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29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sz w:val="18"/>
                <w:szCs w:val="18"/>
                <w:lang w:val="en-US" w:eastAsia="zh-CN"/>
              </w:rPr>
            </w:pPr>
            <w:r>
              <w:rPr>
                <w:rFonts w:hint="eastAsia"/>
                <w:sz w:val="18"/>
                <w:szCs w:val="18"/>
              </w:rPr>
              <w:t>排除其他政策</w:t>
            </w:r>
            <w:r>
              <w:rPr>
                <w:rFonts w:hint="eastAsia"/>
                <w:sz w:val="18"/>
                <w:szCs w:val="18"/>
                <w:vertAlign w:val="superscript"/>
                <w:lang w:val="en-US" w:eastAsia="zh-CN"/>
              </w:rPr>
              <w:t>a</w:t>
            </w:r>
          </w:p>
        </w:tc>
        <w:tc>
          <w:tcPr>
            <w:tcW w:w="858"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（2）</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PSM</w:t>
            </w:r>
          </w:p>
        </w:tc>
        <w:tc>
          <w:tcPr>
            <w:tcW w:w="215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（3）</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安慰剂</w:t>
            </w:r>
          </w:p>
        </w:tc>
        <w:tc>
          <w:tcPr>
            <w:tcW w:w="20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（4）</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变量替换</w:t>
            </w:r>
          </w:p>
        </w:tc>
        <w:tc>
          <w:tcPr>
            <w:tcW w:w="1043" w:type="dxa"/>
            <w:vMerge w:val="restar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（5）</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原始数据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29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858"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提前1年</w:t>
            </w:r>
          </w:p>
        </w:tc>
        <w:tc>
          <w:tcPr>
            <w:tcW w:w="10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提前2年</w:t>
            </w:r>
          </w:p>
        </w:tc>
        <w:tc>
          <w:tcPr>
            <w:tcW w:w="1020"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替换核心解释变量</w:t>
            </w:r>
          </w:p>
        </w:tc>
        <w:tc>
          <w:tcPr>
            <w:tcW w:w="1020" w:type="dxa"/>
            <w:tcBorders>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替换被解释变量</w:t>
            </w:r>
          </w:p>
        </w:tc>
        <w:tc>
          <w:tcPr>
            <w:tcW w:w="1043" w:type="dxa"/>
            <w:vMerge w:val="continue"/>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w:t>
            </w:r>
          </w:p>
        </w:tc>
        <w:tc>
          <w:tcPr>
            <w:tcW w:w="129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0.046</w:t>
            </w:r>
            <w:r>
              <w:rPr>
                <w:rFonts w:hint="eastAsia"/>
                <w:sz w:val="18"/>
                <w:szCs w:val="18"/>
                <w:vertAlign w:val="superscript"/>
              </w:rPr>
              <w:t>**</w:t>
            </w:r>
          </w:p>
        </w:tc>
        <w:tc>
          <w:tcPr>
            <w:tcW w:w="85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0.039</w:t>
            </w:r>
            <w:r>
              <w:rPr>
                <w:rFonts w:hint="eastAsia"/>
                <w:sz w:val="18"/>
                <w:szCs w:val="18"/>
                <w:vertAlign w:val="superscript"/>
              </w:rPr>
              <w:t>**</w:t>
            </w:r>
          </w:p>
        </w:tc>
        <w:tc>
          <w:tcPr>
            <w:tcW w:w="10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20"/>
              </w:rPr>
              <w:t>−</w:t>
            </w:r>
            <w:r>
              <w:rPr>
                <w:rFonts w:hint="eastAsia"/>
                <w:sz w:val="18"/>
                <w:szCs w:val="18"/>
              </w:rPr>
              <w:t>0.000</w:t>
            </w:r>
          </w:p>
        </w:tc>
        <w:tc>
          <w:tcPr>
            <w:tcW w:w="10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0.005</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.043</w:t>
            </w:r>
            <w:r>
              <w:rPr>
                <w:rFonts w:hint="eastAsia"/>
                <w:sz w:val="18"/>
                <w:szCs w:val="18"/>
                <w:vertAlign w:val="superscript"/>
              </w:rPr>
              <w:t>**</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76.777</w:t>
            </w:r>
            <w:r>
              <w:rPr>
                <w:rFonts w:hint="eastAsia"/>
                <w:sz w:val="18"/>
                <w:szCs w:val="18"/>
                <w:vertAlign w:val="superscript"/>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29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（0.021）</w:t>
            </w:r>
          </w:p>
        </w:tc>
        <w:tc>
          <w:tcPr>
            <w:tcW w:w="85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（0.023）</w:t>
            </w:r>
          </w:p>
        </w:tc>
        <w:tc>
          <w:tcPr>
            <w:tcW w:w="10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r>
              <w:rPr>
                <w:rFonts w:hint="eastAsia"/>
                <w:sz w:val="18"/>
                <w:szCs w:val="18"/>
              </w:rPr>
              <w:t>（0.023）</w:t>
            </w:r>
          </w:p>
        </w:tc>
        <w:tc>
          <w:tcPr>
            <w:tcW w:w="10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（0.026）</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（0.021）</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（35.82</w:t>
            </w:r>
            <w:r>
              <w:rPr>
                <w:sz w:val="18"/>
                <w:szCs w:val="18"/>
              </w:rPr>
              <w:t>3</w:t>
            </w:r>
            <w:r>
              <w:rPr>
                <w:rFonts w:hint="eastAsia"/>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区域数字经济</w:t>
            </w:r>
          </w:p>
        </w:tc>
        <w:tc>
          <w:tcPr>
            <w:tcW w:w="12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858"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1088"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7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1020"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r>
              <w:rPr>
                <w:rFonts w:hint="eastAsia"/>
                <w:sz w:val="18"/>
                <w:szCs w:val="18"/>
              </w:rPr>
              <w:t>0.290</w:t>
            </w:r>
            <w:r>
              <w:rPr>
                <w:rFonts w:hint="eastAsia"/>
                <w:sz w:val="18"/>
                <w:szCs w:val="18"/>
                <w:vertAlign w:val="superscript"/>
              </w:rPr>
              <w:t>**</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2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858"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1088"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7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1020"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r>
              <w:rPr>
                <w:rFonts w:hint="eastAsia"/>
                <w:sz w:val="18"/>
                <w:szCs w:val="18"/>
              </w:rPr>
              <w:t>（0.132）</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数字化转型</w:t>
            </w:r>
          </w:p>
        </w:tc>
        <w:tc>
          <w:tcPr>
            <w:tcW w:w="12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20"/>
              </w:rPr>
              <w:t>−</w:t>
            </w:r>
            <w:r>
              <w:rPr>
                <w:rFonts w:hint="eastAsia"/>
                <w:sz w:val="18"/>
                <w:szCs w:val="18"/>
              </w:rPr>
              <w:t>0.007</w:t>
            </w:r>
          </w:p>
        </w:tc>
        <w:tc>
          <w:tcPr>
            <w:tcW w:w="858"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20"/>
              </w:rPr>
              <w:t>−</w:t>
            </w:r>
            <w:r>
              <w:rPr>
                <w:rFonts w:hint="eastAsia"/>
                <w:sz w:val="18"/>
                <w:szCs w:val="18"/>
              </w:rPr>
              <w:t>0.011</w:t>
            </w:r>
          </w:p>
        </w:tc>
        <w:tc>
          <w:tcPr>
            <w:tcW w:w="1088"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lang w:bidi="ar"/>
              </w:rPr>
              <w:t>−</w:t>
            </w:r>
            <w:r>
              <w:rPr>
                <w:sz w:val="18"/>
                <w:szCs w:val="18"/>
              </w:rPr>
              <w:t>0.007</w:t>
            </w:r>
          </w:p>
        </w:tc>
        <w:tc>
          <w:tcPr>
            <w:tcW w:w="107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20"/>
              </w:rPr>
              <w:t>−</w:t>
            </w:r>
            <w:r>
              <w:rPr>
                <w:rFonts w:hint="eastAsia"/>
                <w:sz w:val="18"/>
                <w:szCs w:val="18"/>
              </w:rPr>
              <w:t>0.007</w:t>
            </w:r>
          </w:p>
        </w:tc>
        <w:tc>
          <w:tcPr>
            <w:tcW w:w="1020"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20"/>
              </w:rPr>
              <w:t>−</w:t>
            </w:r>
            <w:r>
              <w:rPr>
                <w:rFonts w:hint="eastAsia"/>
                <w:sz w:val="18"/>
                <w:szCs w:val="18"/>
              </w:rPr>
              <w:t>0.008</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r>
              <w:rPr>
                <w:rFonts w:hint="eastAsia"/>
                <w:sz w:val="18"/>
                <w:szCs w:val="20"/>
              </w:rPr>
              <w:t>-0.014</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20"/>
              </w:rPr>
              <w:t>−</w:t>
            </w:r>
            <w:r>
              <w:rPr>
                <w:rFonts w:hint="eastAsia"/>
                <w:sz w:val="18"/>
                <w:szCs w:val="20"/>
              </w:rPr>
              <w:t>9</w:t>
            </w:r>
            <w:r>
              <w:rPr>
                <w:rFonts w:hint="eastAsia"/>
                <w:sz w:val="18"/>
                <w:szCs w:val="18"/>
              </w:rPr>
              <w:t>.437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29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（0.014）</w:t>
            </w:r>
          </w:p>
        </w:tc>
        <w:tc>
          <w:tcPr>
            <w:tcW w:w="85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（0.015）</w:t>
            </w:r>
          </w:p>
        </w:tc>
        <w:tc>
          <w:tcPr>
            <w:tcW w:w="10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w:t>
            </w:r>
            <w:r>
              <w:rPr>
                <w:sz w:val="18"/>
                <w:szCs w:val="18"/>
              </w:rPr>
              <w:t>1</w:t>
            </w:r>
            <w:r>
              <w:rPr>
                <w:rFonts w:hint="eastAsia"/>
                <w:sz w:val="18"/>
                <w:szCs w:val="18"/>
              </w:rPr>
              <w:t>5）</w:t>
            </w:r>
          </w:p>
        </w:tc>
        <w:tc>
          <w:tcPr>
            <w:tcW w:w="10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w:t>
            </w:r>
            <w:r>
              <w:rPr>
                <w:sz w:val="18"/>
                <w:szCs w:val="18"/>
              </w:rPr>
              <w:t>5</w:t>
            </w:r>
            <w:r>
              <w:rPr>
                <w:rFonts w:hint="eastAsia"/>
                <w:sz w:val="18"/>
                <w:szCs w:val="18"/>
              </w:rPr>
              <w:t>）</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（0.015）</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（0.018）</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r>
              <w:rPr>
                <w:rFonts w:hint="eastAsia"/>
                <w:sz w:val="18"/>
                <w:szCs w:val="18"/>
              </w:rPr>
              <w:t>（20.796）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常数项</w:t>
            </w:r>
          </w:p>
        </w:tc>
        <w:tc>
          <w:tcPr>
            <w:tcW w:w="129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0.355</w:t>
            </w:r>
            <w:r>
              <w:rPr>
                <w:rFonts w:hint="eastAsia"/>
                <w:sz w:val="18"/>
                <w:szCs w:val="18"/>
                <w:vertAlign w:val="superscript"/>
              </w:rPr>
              <w:t>***</w:t>
            </w:r>
          </w:p>
        </w:tc>
        <w:tc>
          <w:tcPr>
            <w:tcW w:w="85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0.316</w:t>
            </w:r>
            <w:r>
              <w:rPr>
                <w:rFonts w:hint="eastAsia"/>
                <w:sz w:val="18"/>
                <w:szCs w:val="18"/>
                <w:vertAlign w:val="superscript"/>
              </w:rPr>
              <w:t>***</w:t>
            </w:r>
          </w:p>
        </w:tc>
        <w:tc>
          <w:tcPr>
            <w:tcW w:w="10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0.34</w:t>
            </w:r>
            <w:r>
              <w:rPr>
                <w:sz w:val="18"/>
                <w:szCs w:val="18"/>
              </w:rPr>
              <w:t>3</w:t>
            </w:r>
            <w:r>
              <w:rPr>
                <w:rFonts w:hint="eastAsia"/>
                <w:sz w:val="18"/>
                <w:szCs w:val="18"/>
                <w:vertAlign w:val="superscript"/>
              </w:rPr>
              <w:t>***</w:t>
            </w:r>
          </w:p>
        </w:tc>
        <w:tc>
          <w:tcPr>
            <w:tcW w:w="10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0.340</w:t>
            </w:r>
            <w:r>
              <w:rPr>
                <w:rFonts w:hint="eastAsia"/>
                <w:sz w:val="18"/>
                <w:szCs w:val="18"/>
                <w:vertAlign w:val="superscript"/>
              </w:rPr>
              <w:t>***</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0.26</w:t>
            </w:r>
            <w:r>
              <w:rPr>
                <w:sz w:val="18"/>
                <w:szCs w:val="18"/>
              </w:rPr>
              <w:t>9</w:t>
            </w:r>
            <w:r>
              <w:rPr>
                <w:rFonts w:hint="eastAsia"/>
                <w:sz w:val="18"/>
                <w:szCs w:val="18"/>
                <w:vertAlign w:val="superscript"/>
              </w:rPr>
              <w:t>***</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r>
              <w:rPr>
                <w:rFonts w:hint="eastAsia"/>
                <w:sz w:val="18"/>
                <w:szCs w:val="20"/>
              </w:rPr>
              <w:t>0.429</w:t>
            </w:r>
            <w:r>
              <w:rPr>
                <w:rFonts w:hint="eastAsia"/>
                <w:sz w:val="18"/>
                <w:szCs w:val="20"/>
                <w:vertAlign w:val="superscript"/>
              </w:rPr>
              <w:t>***</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20"/>
              </w:rPr>
              <w:t>−</w:t>
            </w:r>
            <w:r>
              <w:rPr>
                <w:rFonts w:hint="eastAsia"/>
                <w:sz w:val="18"/>
                <w:szCs w:val="20"/>
              </w:rPr>
              <w:t>83</w:t>
            </w:r>
            <w:r>
              <w:rPr>
                <w:rFonts w:hint="eastAsia"/>
                <w:sz w:val="18"/>
                <w:szCs w:val="18"/>
              </w:rPr>
              <w:t>.882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29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（0.051）</w:t>
            </w:r>
          </w:p>
        </w:tc>
        <w:tc>
          <w:tcPr>
            <w:tcW w:w="85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（0.057）</w:t>
            </w:r>
          </w:p>
        </w:tc>
        <w:tc>
          <w:tcPr>
            <w:tcW w:w="10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05</w:t>
            </w:r>
            <w:r>
              <w:rPr>
                <w:rFonts w:hint="eastAsia"/>
                <w:sz w:val="18"/>
                <w:szCs w:val="18"/>
              </w:rPr>
              <w:t>4）</w:t>
            </w:r>
          </w:p>
        </w:tc>
        <w:tc>
          <w:tcPr>
            <w:tcW w:w="10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（0.054）</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（0.066）</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（0.055）</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20"/>
              </w:rPr>
            </w:pPr>
            <w:r>
              <w:rPr>
                <w:rFonts w:hint="eastAsia"/>
                <w:sz w:val="18"/>
                <w:szCs w:val="18"/>
              </w:rPr>
              <w:t>（80.243）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控制变量</w:t>
            </w:r>
          </w:p>
        </w:tc>
        <w:tc>
          <w:tcPr>
            <w:tcW w:w="129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5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0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0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sz w:val="18"/>
                <w:szCs w:val="18"/>
              </w:rPr>
            </w:pPr>
            <w:r>
              <w:rPr>
                <w:rFonts w:hint="eastAsia"/>
                <w:sz w:val="18"/>
                <w:szCs w:val="18"/>
              </w:rPr>
              <w:t>企业－年份</w:t>
            </w:r>
          </w:p>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固定效应</w:t>
            </w:r>
          </w:p>
        </w:tc>
        <w:tc>
          <w:tcPr>
            <w:tcW w:w="1293"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 w:val="18"/>
                <w:szCs w:val="18"/>
              </w:rPr>
            </w:pPr>
            <w:r>
              <w:rPr>
                <w:rFonts w:hint="eastAsia"/>
                <w:sz w:val="18"/>
                <w:szCs w:val="18"/>
              </w:rPr>
              <w:t>已控制</w:t>
            </w:r>
          </w:p>
        </w:tc>
        <w:tc>
          <w:tcPr>
            <w:tcW w:w="858"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 w:val="18"/>
                <w:szCs w:val="18"/>
              </w:rPr>
            </w:pPr>
            <w:r>
              <w:rPr>
                <w:rFonts w:hint="eastAsia"/>
                <w:sz w:val="18"/>
                <w:szCs w:val="18"/>
              </w:rPr>
              <w:t>已控制</w:t>
            </w:r>
          </w:p>
        </w:tc>
        <w:tc>
          <w:tcPr>
            <w:tcW w:w="1088"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 w:val="18"/>
                <w:szCs w:val="18"/>
              </w:rPr>
            </w:pPr>
            <w:r>
              <w:rPr>
                <w:rFonts w:hint="eastAsia"/>
                <w:sz w:val="18"/>
                <w:szCs w:val="18"/>
              </w:rPr>
              <w:t>已控制</w:t>
            </w:r>
          </w:p>
        </w:tc>
        <w:tc>
          <w:tcPr>
            <w:tcW w:w="1071"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 w:val="18"/>
                <w:szCs w:val="18"/>
              </w:rPr>
            </w:pPr>
            <w:r>
              <w:rPr>
                <w:rFonts w:hint="eastAsia"/>
                <w:sz w:val="18"/>
                <w:szCs w:val="18"/>
              </w:rPr>
              <w:t>已控制</w:t>
            </w:r>
          </w:p>
        </w:tc>
        <w:tc>
          <w:tcPr>
            <w:tcW w:w="1020"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 w:val="18"/>
                <w:szCs w:val="18"/>
              </w:rPr>
            </w:pPr>
            <w:r>
              <w:rPr>
                <w:rFonts w:hint="eastAsia"/>
                <w:sz w:val="18"/>
                <w:szCs w:val="18"/>
              </w:rPr>
              <w:t>已控制</w:t>
            </w:r>
          </w:p>
        </w:tc>
        <w:tc>
          <w:tcPr>
            <w:tcW w:w="1020" w:type="dxa"/>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043"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 w:val="18"/>
                <w:szCs w:val="18"/>
              </w:rPr>
            </w:pPr>
            <w:r>
              <w:rPr>
                <w:rFonts w:hint="eastAsia"/>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观测值数</w:t>
            </w:r>
          </w:p>
        </w:tc>
        <w:tc>
          <w:tcPr>
            <w:tcW w:w="1293"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1024</w:t>
            </w:r>
          </w:p>
        </w:tc>
        <w:tc>
          <w:tcPr>
            <w:tcW w:w="858"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821</w:t>
            </w:r>
          </w:p>
        </w:tc>
        <w:tc>
          <w:tcPr>
            <w:tcW w:w="1088"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1024</w:t>
            </w:r>
          </w:p>
        </w:tc>
        <w:tc>
          <w:tcPr>
            <w:tcW w:w="1071"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1024</w:t>
            </w:r>
          </w:p>
        </w:tc>
        <w:tc>
          <w:tcPr>
            <w:tcW w:w="102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980</w:t>
            </w:r>
          </w:p>
        </w:tc>
        <w:tc>
          <w:tcPr>
            <w:tcW w:w="102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1024</w:t>
            </w:r>
          </w:p>
        </w:tc>
        <w:tc>
          <w:tcPr>
            <w:tcW w:w="1043"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调整的R</w:t>
            </w:r>
            <w:r>
              <w:rPr>
                <w:rFonts w:hint="eastAsia"/>
                <w:sz w:val="18"/>
                <w:szCs w:val="18"/>
                <w:vertAlign w:val="superscript"/>
              </w:rPr>
              <w:t>2</w:t>
            </w:r>
          </w:p>
        </w:tc>
        <w:tc>
          <w:tcPr>
            <w:tcW w:w="129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0.615</w:t>
            </w:r>
          </w:p>
        </w:tc>
        <w:tc>
          <w:tcPr>
            <w:tcW w:w="85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600</w:t>
            </w:r>
          </w:p>
        </w:tc>
        <w:tc>
          <w:tcPr>
            <w:tcW w:w="10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0.611</w:t>
            </w:r>
          </w:p>
        </w:tc>
        <w:tc>
          <w:tcPr>
            <w:tcW w:w="10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0.611</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0.61</w:t>
            </w:r>
            <w:r>
              <w:rPr>
                <w:sz w:val="18"/>
                <w:szCs w:val="18"/>
              </w:rPr>
              <w:t>7</w:t>
            </w:r>
          </w:p>
        </w:tc>
        <w:tc>
          <w:tcPr>
            <w:tcW w:w="102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0.537</w:t>
            </w:r>
          </w:p>
        </w:tc>
        <w:tc>
          <w:tcPr>
            <w:tcW w:w="104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3" w:type="dxa"/>
            <w:tcBorders>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F检验</w:t>
            </w:r>
          </w:p>
        </w:tc>
        <w:tc>
          <w:tcPr>
            <w:tcW w:w="1293" w:type="dxa"/>
            <w:tcBorders>
              <w:left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9.576</w:t>
            </w:r>
            <w:r>
              <w:rPr>
                <w:rFonts w:hint="eastAsia"/>
                <w:sz w:val="18"/>
                <w:szCs w:val="18"/>
                <w:vertAlign w:val="superscript"/>
              </w:rPr>
              <w:t>***</w:t>
            </w:r>
          </w:p>
        </w:tc>
        <w:tc>
          <w:tcPr>
            <w:tcW w:w="858" w:type="dxa"/>
            <w:tcBorders>
              <w:left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9.883</w:t>
            </w:r>
            <w:r>
              <w:rPr>
                <w:rFonts w:hint="eastAsia"/>
                <w:sz w:val="18"/>
                <w:szCs w:val="18"/>
                <w:vertAlign w:val="superscript"/>
              </w:rPr>
              <w:t>***</w:t>
            </w:r>
          </w:p>
        </w:tc>
        <w:tc>
          <w:tcPr>
            <w:tcW w:w="1088" w:type="dxa"/>
            <w:tcBorders>
              <w:left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10.916</w:t>
            </w:r>
            <w:r>
              <w:rPr>
                <w:rFonts w:hint="eastAsia"/>
                <w:sz w:val="18"/>
                <w:szCs w:val="18"/>
                <w:vertAlign w:val="superscript"/>
              </w:rPr>
              <w:t>***</w:t>
            </w:r>
          </w:p>
        </w:tc>
        <w:tc>
          <w:tcPr>
            <w:tcW w:w="1071" w:type="dxa"/>
            <w:tcBorders>
              <w:left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10.928</w:t>
            </w:r>
            <w:r>
              <w:rPr>
                <w:rFonts w:hint="eastAsia"/>
                <w:sz w:val="18"/>
                <w:szCs w:val="18"/>
                <w:vertAlign w:val="superscript"/>
              </w:rPr>
              <w:t>***</w:t>
            </w:r>
          </w:p>
        </w:tc>
        <w:tc>
          <w:tcPr>
            <w:tcW w:w="1020" w:type="dxa"/>
            <w:tcBorders>
              <w:left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11.354</w:t>
            </w:r>
            <w:r>
              <w:rPr>
                <w:rFonts w:hint="eastAsia"/>
                <w:sz w:val="18"/>
                <w:szCs w:val="18"/>
                <w:vertAlign w:val="superscript"/>
              </w:rPr>
              <w:t>***</w:t>
            </w:r>
          </w:p>
        </w:tc>
        <w:tc>
          <w:tcPr>
            <w:tcW w:w="1020" w:type="dxa"/>
            <w:tcBorders>
              <w:left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11.999</w:t>
            </w:r>
            <w:r>
              <w:rPr>
                <w:rFonts w:hint="eastAsia"/>
                <w:sz w:val="18"/>
                <w:szCs w:val="18"/>
                <w:vertAlign w:val="superscript"/>
              </w:rPr>
              <w:t>***</w:t>
            </w:r>
          </w:p>
        </w:tc>
        <w:tc>
          <w:tcPr>
            <w:tcW w:w="1043" w:type="dxa"/>
            <w:tcBorders>
              <w:left w:val="single" w:color="auto" w:sz="4"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3.923</w:t>
            </w:r>
            <w:r>
              <w:rPr>
                <w:rFonts w:hint="eastAsia"/>
                <w:sz w:val="18"/>
                <w:szCs w:val="18"/>
                <w:vertAlign w:val="superscript"/>
              </w:rPr>
              <w:t>***</w:t>
            </w:r>
          </w:p>
        </w:tc>
      </w:tr>
    </w:tbl>
    <w:p>
      <w:pPr>
        <w:adjustRightInd w:val="0"/>
        <w:ind w:firstLine="360"/>
        <w:rPr>
          <w:rFonts w:hint="default" w:eastAsia="宋体"/>
          <w:sz w:val="18"/>
          <w:szCs w:val="18"/>
          <w:lang w:val="en-US" w:eastAsia="zh-CN"/>
        </w:rPr>
      </w:pPr>
      <w:r>
        <w:rPr>
          <w:rFonts w:hint="eastAsia"/>
          <w:sz w:val="18"/>
          <w:szCs w:val="18"/>
        </w:rPr>
        <w:t>注：①***</w:t>
      </w:r>
      <w:r>
        <w:rPr>
          <w:rFonts w:hint="eastAsia"/>
          <w:sz w:val="18"/>
          <w:szCs w:val="18"/>
          <w:lang w:val="en-US" w:eastAsia="zh-CN"/>
        </w:rPr>
        <w:t>、</w:t>
      </w:r>
      <w:r>
        <w:rPr>
          <w:rFonts w:hint="eastAsia"/>
          <w:sz w:val="18"/>
          <w:szCs w:val="18"/>
        </w:rPr>
        <w:t>**</w:t>
      </w:r>
      <w:r>
        <w:rPr>
          <w:rFonts w:hint="eastAsia"/>
          <w:sz w:val="18"/>
          <w:szCs w:val="18"/>
          <w:lang w:eastAsia="zh-CN"/>
        </w:rPr>
        <w:t>和</w:t>
      </w:r>
      <w:r>
        <w:rPr>
          <w:rFonts w:hint="eastAsia"/>
          <w:sz w:val="18"/>
          <w:szCs w:val="18"/>
        </w:rPr>
        <w:t>*分别表示在1%、5%和10%的水平上显著。②括号内为城市</w:t>
      </w:r>
      <w:r>
        <w:rPr>
          <w:rFonts w:hint="eastAsia"/>
          <w:sz w:val="18"/>
          <w:szCs w:val="18"/>
          <w:lang w:eastAsia="zh-CN"/>
        </w:rPr>
        <w:t>－</w:t>
      </w:r>
      <w:r>
        <w:rPr>
          <w:rFonts w:hint="eastAsia"/>
          <w:sz w:val="18"/>
          <w:szCs w:val="18"/>
        </w:rPr>
        <w:t>年份聚类标准误。③受数据缺失影响，变量替换和原始数据回归的观测值分别为980和1002。</w:t>
      </w:r>
      <w:r>
        <w:rPr>
          <w:rFonts w:hint="eastAsia"/>
          <w:sz w:val="18"/>
          <w:szCs w:val="18"/>
          <w:lang w:val="en-US" w:eastAsia="zh-CN"/>
        </w:rPr>
        <w:t>a 数字乡村试点数据来源于中央网络安全和信息化委员会办公室《关于国家数字乡村试点地区名单的公示》，http://cac.gov.cn/2020−09/18/c_1601988147662407.htm。农村集体经济改革试点数据来源于农业农村部，2017年名单《农业部中央农村工作领导小组办公室关于确定农村集体产权制度改革试点单位的函》，http://www.zcggs.moa.gov.cn/ncjtzcjdgl/201904/t20190423_6212520.htm；2018年名单《农业农村部关于确定农村集体产权制度改革试点单位的函》，http://www.moa.gov.cn/govpublic/NCJJTZ/201807/t20180712_6153986.htm，2019年名单，http://www.moa.gov.cn/govpublic/zcggs/201905/t20190513_6303776.htm；其余年份在农业农村部通知中手动整理。2015年，我国开始实施粮改饲试点政策，试点名单通过手动整理农业农村部和各省（直辖市、自治区）农业农村主管部门公布的各年试点名单获得。政策试点变量的赋值根据企业所在城市是否进入试点范围取值，进入或已进入则取值为1，未进入则取值为0。</w:t>
      </w:r>
    </w:p>
    <w:p>
      <w:pPr>
        <w:pStyle w:val="9"/>
        <w:keepNext/>
        <w:ind w:firstLine="372"/>
      </w:pPr>
      <w:r>
        <w:rPr>
          <w:rFonts w:hint="eastAsia" w:ascii="Times New Roman" w:hAnsi="Times New Roman"/>
        </w:rPr>
        <w:t>附</w:t>
      </w:r>
      <w:bookmarkEnd w:id="1"/>
      <w:r>
        <w:rPr>
          <w:rFonts w:hint="eastAsia" w:ascii="Times New Roman" w:hAnsi="Times New Roman"/>
        </w:rPr>
        <w:t>表6</w:t>
      </w:r>
      <w:r>
        <w:rPr>
          <w:rFonts w:ascii="Times New Roman" w:hAnsi="Times New Roman"/>
        </w:rPr>
        <w:t xml:space="preserve"> </w:t>
      </w:r>
      <w:r>
        <w:t xml:space="preserve">                            </w:t>
      </w:r>
      <w:r>
        <w:rPr>
          <w:rFonts w:hint="eastAsia"/>
        </w:rPr>
        <w:t>平行趋势检验回归结果</w:t>
      </w:r>
    </w:p>
    <w:tbl>
      <w:tblPr>
        <w:tblStyle w:val="34"/>
        <w:tblW w:w="8590" w:type="dxa"/>
        <w:jc w:val="center"/>
        <w:tblInd w:w="-51" w:type="dxa"/>
        <w:tblLayout w:type="fixed"/>
        <w:tblCellMar>
          <w:top w:w="0" w:type="dxa"/>
          <w:left w:w="75" w:type="dxa"/>
          <w:bottom w:w="0" w:type="dxa"/>
          <w:right w:w="75" w:type="dxa"/>
        </w:tblCellMar>
      </w:tblPr>
      <w:tblGrid>
        <w:gridCol w:w="2895"/>
        <w:gridCol w:w="2844"/>
        <w:gridCol w:w="2851"/>
      </w:tblGrid>
      <w:tr>
        <w:tblPrEx>
          <w:tblLayout w:type="fixed"/>
          <w:tblCellMar>
            <w:top w:w="0" w:type="dxa"/>
            <w:left w:w="75" w:type="dxa"/>
            <w:bottom w:w="0" w:type="dxa"/>
            <w:right w:w="75" w:type="dxa"/>
          </w:tblCellMar>
        </w:tblPrEx>
        <w:trPr>
          <w:trHeight w:val="317" w:hRule="atLeast"/>
          <w:jc w:val="center"/>
        </w:trPr>
        <w:tc>
          <w:tcPr>
            <w:tcW w:w="2895" w:type="dxa"/>
            <w:vMerge w:val="restart"/>
            <w:tcBorders>
              <w:top w:val="single" w:color="auto" w:sz="12" w:space="0"/>
              <w:left w:val="nil"/>
              <w:bottom w:val="single" w:color="000000"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宽带中国试点开始时间距离</w:t>
            </w:r>
          </w:p>
        </w:tc>
        <w:tc>
          <w:tcPr>
            <w:tcW w:w="5695" w:type="dxa"/>
            <w:gridSpan w:val="2"/>
            <w:tcBorders>
              <w:top w:val="single" w:color="auto" w:sz="12" w:space="0"/>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联农带农效益</w:t>
            </w:r>
          </w:p>
        </w:tc>
      </w:tr>
      <w:tr>
        <w:tblPrEx>
          <w:tblLayout w:type="fixed"/>
          <w:tblCellMar>
            <w:top w:w="0" w:type="dxa"/>
            <w:left w:w="75" w:type="dxa"/>
            <w:bottom w:w="0" w:type="dxa"/>
            <w:right w:w="75" w:type="dxa"/>
          </w:tblCellMar>
        </w:tblPrEx>
        <w:trPr>
          <w:trHeight w:val="317" w:hRule="atLeast"/>
          <w:jc w:val="center"/>
        </w:trPr>
        <w:tc>
          <w:tcPr>
            <w:tcW w:w="2895" w:type="dxa"/>
            <w:vMerge w:val="continue"/>
            <w:tcBorders>
              <w:top w:val="single" w:color="000000"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p>
        </w:tc>
        <w:tc>
          <w:tcPr>
            <w:tcW w:w="2844" w:type="dxa"/>
            <w:tcBorders>
              <w:top w:val="single" w:color="auto" w:sz="4" w:space="0"/>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系数</w:t>
            </w:r>
          </w:p>
        </w:tc>
        <w:tc>
          <w:tcPr>
            <w:tcW w:w="2851" w:type="dxa"/>
            <w:tcBorders>
              <w:top w:val="single" w:color="auto" w:sz="4" w:space="0"/>
              <w:left w:val="nil"/>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聚类标准误</w:t>
            </w:r>
          </w:p>
        </w:tc>
      </w:tr>
      <w:tr>
        <w:tblPrEx>
          <w:tblLayout w:type="fixed"/>
          <w:tblCellMar>
            <w:top w:w="0" w:type="dxa"/>
            <w:left w:w="75" w:type="dxa"/>
            <w:bottom w:w="0" w:type="dxa"/>
            <w:right w:w="75" w:type="dxa"/>
          </w:tblCellMar>
        </w:tblPrEx>
        <w:trPr>
          <w:trHeight w:val="317" w:hRule="atLeast"/>
          <w:jc w:val="center"/>
        </w:trPr>
        <w:tc>
          <w:tcPr>
            <w:tcW w:w="2895" w:type="dxa"/>
            <w:tcBorders>
              <w:top w:val="single" w:color="auto" w:sz="4" w:space="0"/>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试点开始前4年</w:t>
            </w:r>
          </w:p>
        </w:tc>
        <w:tc>
          <w:tcPr>
            <w:tcW w:w="2844" w:type="dxa"/>
            <w:tcBorders>
              <w:top w:val="single" w:color="auto" w:sz="4" w:space="0"/>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0.088</w:t>
            </w:r>
          </w:p>
        </w:tc>
        <w:tc>
          <w:tcPr>
            <w:tcW w:w="2851" w:type="dxa"/>
            <w:tcBorders>
              <w:top w:val="single" w:color="auto" w:sz="4" w:space="0"/>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0.065</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试点开始前3年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0.040</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0.063</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试点开始前2年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0.055</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0.063</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试点开始前1年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0.039</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0.063</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试点开始当年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0.079</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0.060</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试点开始后1年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0.077</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0.061</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试点开始后2年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0.120</w:t>
            </w:r>
            <w:r>
              <w:rPr>
                <w:rFonts w:cs="Times New Roman"/>
                <w:kern w:val="0"/>
                <w:sz w:val="18"/>
                <w:szCs w:val="18"/>
                <w:vertAlign w:val="superscript"/>
              </w:rPr>
              <w:t>**</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0.060</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试点开始后3年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0.123</w:t>
            </w:r>
            <w:r>
              <w:rPr>
                <w:rFonts w:cs="Times New Roman"/>
                <w:kern w:val="0"/>
                <w:sz w:val="18"/>
                <w:szCs w:val="18"/>
                <w:vertAlign w:val="superscript"/>
              </w:rPr>
              <w:t>**</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0.058</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试点开始后4年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0.075</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0.054</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试点开始后5年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0.105</w:t>
            </w:r>
            <w:r>
              <w:rPr>
                <w:rFonts w:cs="Times New Roman"/>
                <w:kern w:val="0"/>
                <w:sz w:val="18"/>
                <w:szCs w:val="18"/>
                <w:vertAlign w:val="superscript"/>
              </w:rPr>
              <w:t>*</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0.058</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试点开始后6年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0.140</w:t>
            </w:r>
            <w:r>
              <w:rPr>
                <w:rFonts w:cs="Times New Roman"/>
                <w:kern w:val="0"/>
                <w:sz w:val="18"/>
                <w:szCs w:val="18"/>
                <w:vertAlign w:val="superscript"/>
              </w:rPr>
              <w:t>**</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0.062</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试点开始后7年</w:t>
            </w:r>
          </w:p>
        </w:tc>
        <w:tc>
          <w:tcPr>
            <w:tcW w:w="2844" w:type="dxa"/>
            <w:tcBorders>
              <w:top w:val="nil"/>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0.132</w:t>
            </w:r>
            <w:r>
              <w:rPr>
                <w:rFonts w:cs="Times New Roman"/>
                <w:kern w:val="0"/>
                <w:sz w:val="18"/>
                <w:szCs w:val="18"/>
                <w:vertAlign w:val="superscript"/>
              </w:rPr>
              <w:t>**</w:t>
            </w:r>
          </w:p>
        </w:tc>
        <w:tc>
          <w:tcPr>
            <w:tcW w:w="2851"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0.067</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常数项</w:t>
            </w:r>
          </w:p>
        </w:tc>
        <w:tc>
          <w:tcPr>
            <w:tcW w:w="2844" w:type="dxa"/>
            <w:tcBorders>
              <w:top w:val="nil"/>
              <w:left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0.296</w:t>
            </w:r>
            <w:r>
              <w:rPr>
                <w:rFonts w:cs="Times New Roman"/>
                <w:kern w:val="0"/>
                <w:sz w:val="18"/>
                <w:szCs w:val="18"/>
                <w:vertAlign w:val="superscript"/>
              </w:rPr>
              <w:t>***</w:t>
            </w:r>
          </w:p>
        </w:tc>
        <w:tc>
          <w:tcPr>
            <w:tcW w:w="2851" w:type="dxa"/>
            <w:tcBorders>
              <w:top w:val="nil"/>
              <w:left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0.064</w:t>
            </w:r>
          </w:p>
        </w:tc>
      </w:tr>
      <w:tr>
        <w:tblPrEx>
          <w:tblLayout w:type="fixed"/>
          <w:tblCellMar>
            <w:top w:w="0" w:type="dxa"/>
            <w:left w:w="75" w:type="dxa"/>
            <w:bottom w:w="0" w:type="dxa"/>
            <w:right w:w="75" w:type="dxa"/>
          </w:tblCellMar>
        </w:tblPrEx>
        <w:trPr>
          <w:trHeight w:val="317" w:hRule="atLeast"/>
          <w:jc w:val="center"/>
        </w:trPr>
        <w:tc>
          <w:tcPr>
            <w:tcW w:w="2895" w:type="dxa"/>
            <w:tcBorders>
              <w:left w:val="nil"/>
              <w:bottom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控制变量</w:t>
            </w:r>
          </w:p>
        </w:tc>
        <w:tc>
          <w:tcPr>
            <w:tcW w:w="5695" w:type="dxa"/>
            <w:gridSpan w:val="2"/>
            <w:tcBorders>
              <w:left w:val="single" w:color="auto"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企业</w:t>
            </w:r>
            <w:r>
              <w:rPr>
                <w:rFonts w:hint="eastAsia"/>
                <w:sz w:val="18"/>
                <w:szCs w:val="18"/>
                <w:lang w:eastAsia="zh-CN"/>
              </w:rPr>
              <w:t>－</w:t>
            </w:r>
            <w:r>
              <w:rPr>
                <w:rFonts w:hint="eastAsia" w:cs="Times New Roman"/>
                <w:kern w:val="0"/>
                <w:sz w:val="18"/>
                <w:szCs w:val="18"/>
              </w:rPr>
              <w:t>年份固定效应</w:t>
            </w:r>
          </w:p>
        </w:tc>
        <w:tc>
          <w:tcPr>
            <w:tcW w:w="5695" w:type="dxa"/>
            <w:gridSpan w:val="2"/>
            <w:tcBorders>
              <w:top w:val="nil"/>
              <w:left w:val="single" w:color="auto"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2895" w:type="dxa"/>
            <w:tcBorders>
              <w:top w:val="single" w:color="auto" w:sz="4" w:space="0"/>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观测值</w:t>
            </w:r>
          </w:p>
        </w:tc>
        <w:tc>
          <w:tcPr>
            <w:tcW w:w="5695" w:type="dxa"/>
            <w:gridSpan w:val="2"/>
            <w:tcBorders>
              <w:top w:val="single" w:color="auto" w:sz="4" w:space="0"/>
              <w:left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1024</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调整的R</w:t>
            </w:r>
          </w:p>
        </w:tc>
        <w:tc>
          <w:tcPr>
            <w:tcW w:w="5695" w:type="dxa"/>
            <w:gridSpan w:val="2"/>
            <w:tcBorders>
              <w:top w:val="nil"/>
              <w:left w:val="single" w:color="auto"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0.6</w:t>
            </w:r>
            <w:r>
              <w:rPr>
                <w:rFonts w:hint="eastAsia" w:cs="Times New Roman"/>
                <w:kern w:val="0"/>
                <w:sz w:val="18"/>
                <w:szCs w:val="18"/>
              </w:rPr>
              <w:t>16</w:t>
            </w:r>
          </w:p>
        </w:tc>
      </w:tr>
      <w:tr>
        <w:tblPrEx>
          <w:tblLayout w:type="fixed"/>
          <w:tblCellMar>
            <w:top w:w="0" w:type="dxa"/>
            <w:left w:w="75" w:type="dxa"/>
            <w:bottom w:w="0" w:type="dxa"/>
            <w:right w:w="75" w:type="dxa"/>
          </w:tblCellMar>
        </w:tblPrEx>
        <w:trPr>
          <w:trHeight w:val="317" w:hRule="atLeast"/>
          <w:jc w:val="center"/>
        </w:trPr>
        <w:tc>
          <w:tcPr>
            <w:tcW w:w="2895" w:type="dxa"/>
            <w:tcBorders>
              <w:top w:val="nil"/>
              <w:left w:val="nil"/>
              <w:bottom w:val="single" w:color="auto" w:sz="12" w:space="0"/>
              <w:right w:val="single" w:color="auto"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F检验</w:t>
            </w:r>
          </w:p>
        </w:tc>
        <w:tc>
          <w:tcPr>
            <w:tcW w:w="5695" w:type="dxa"/>
            <w:gridSpan w:val="2"/>
            <w:tcBorders>
              <w:top w:val="nil"/>
              <w:left w:val="single" w:color="auto" w:sz="4" w:space="0"/>
              <w:bottom w:val="single" w:color="auto" w:sz="12"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6.325</w:t>
            </w:r>
            <w:r>
              <w:rPr>
                <w:rFonts w:hint="eastAsia" w:cs="Times New Roman"/>
                <w:kern w:val="0"/>
                <w:sz w:val="18"/>
                <w:szCs w:val="18"/>
                <w:vertAlign w:val="superscript"/>
              </w:rPr>
              <w:t>***</w:t>
            </w:r>
          </w:p>
        </w:tc>
      </w:tr>
    </w:tbl>
    <w:p>
      <w:pPr>
        <w:ind w:firstLine="332" w:firstLineChars="200"/>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注：①***、**和*分别表示在1%、5%和10%的水平上显著。</w:t>
      </w:r>
    </w:p>
    <w:p>
      <w:pPr>
        <w:jc w:val="center"/>
        <w:rPr>
          <w:rFonts w:eastAsia="黑体"/>
          <w:sz w:val="18"/>
          <w:szCs w:val="18"/>
        </w:rPr>
      </w:pPr>
      <w:r>
        <w:drawing>
          <wp:anchor distT="0" distB="0" distL="114300" distR="114300" simplePos="0" relativeHeight="251659264" behindDoc="0" locked="0" layoutInCell="1" allowOverlap="1">
            <wp:simplePos x="0" y="0"/>
            <wp:positionH relativeFrom="margin">
              <wp:posOffset>1047115</wp:posOffset>
            </wp:positionH>
            <wp:positionV relativeFrom="paragraph">
              <wp:posOffset>221615</wp:posOffset>
            </wp:positionV>
            <wp:extent cx="3344545" cy="2408555"/>
            <wp:effectExtent l="0" t="0" r="8255" b="10795"/>
            <wp:wrapTopAndBottom/>
            <wp:docPr id="10" name="图片 10" descr="D:/第三篇小论文/投稿/中国农村经济/第六轮修改/平行趋势检验.png平行趋势检验"/>
            <wp:cNvGraphicFramePr/>
            <a:graphic xmlns:a="http://schemas.openxmlformats.org/drawingml/2006/main">
              <a:graphicData uri="http://schemas.openxmlformats.org/drawingml/2006/picture">
                <pic:pic xmlns:pic="http://schemas.openxmlformats.org/drawingml/2006/picture">
                  <pic:nvPicPr>
                    <pic:cNvPr id="10" name="图片 10" descr="D:/第三篇小论文/投稿/中国农村经济/第六轮修改/平行趋势检验.png平行趋势检验"/>
                    <pic:cNvPicPr/>
                  </pic:nvPicPr>
                  <pic:blipFill>
                    <a:blip r:embed="rId9"/>
                    <a:srcRect l="1293" t="4039" r="1293" b="2286"/>
                    <a:stretch>
                      <a:fillRect/>
                    </a:stretch>
                  </pic:blipFill>
                  <pic:spPr>
                    <a:xfrm>
                      <a:off x="0" y="0"/>
                      <a:ext cx="3344545" cy="2408555"/>
                    </a:xfrm>
                    <a:prstGeom prst="rect">
                      <a:avLst/>
                    </a:prstGeom>
                  </pic:spPr>
                </pic:pic>
              </a:graphicData>
            </a:graphic>
          </wp:anchor>
        </w:drawing>
      </w:r>
      <w:r>
        <w:rPr>
          <w:rFonts w:hint="eastAsia" w:eastAsia="黑体"/>
          <w:sz w:val="18"/>
          <w:szCs w:val="18"/>
        </w:rPr>
        <w:t>附图1</w:t>
      </w:r>
      <w:r>
        <w:rPr>
          <w:rFonts w:eastAsia="黑体"/>
          <w:sz w:val="18"/>
          <w:szCs w:val="18"/>
        </w:rPr>
        <w:t xml:space="preserve"> </w:t>
      </w:r>
      <w:r>
        <w:rPr>
          <w:rFonts w:hint="eastAsia" w:eastAsia="黑体"/>
          <w:sz w:val="18"/>
          <w:szCs w:val="18"/>
          <w:lang w:val="en-US" w:eastAsia="zh-CN"/>
        </w:rPr>
        <w:t xml:space="preserve"> </w:t>
      </w:r>
      <w:r>
        <w:rPr>
          <w:rFonts w:hint="eastAsia" w:eastAsia="黑体"/>
          <w:sz w:val="18"/>
          <w:szCs w:val="18"/>
        </w:rPr>
        <w:t>平行趋势检验图</w:t>
      </w:r>
      <w:r>
        <w:rPr>
          <w:rFonts w:eastAsia="黑体"/>
          <w:sz w:val="18"/>
          <w:szCs w:val="18"/>
        </w:rPr>
        <w:br w:type="page"/>
      </w:r>
    </w:p>
    <w:p>
      <w:pPr>
        <w:ind w:firstLine="332" w:firstLineChars="200"/>
        <w:rPr>
          <w:rFonts w:ascii="黑体" w:hAnsi="黑体" w:eastAsia="黑体"/>
          <w:sz w:val="18"/>
          <w:szCs w:val="18"/>
        </w:rPr>
      </w:pPr>
      <w:r>
        <w:rPr>
          <w:rFonts w:hint="eastAsia" w:eastAsia="黑体"/>
          <w:sz w:val="18"/>
          <w:szCs w:val="18"/>
        </w:rPr>
        <w:t xml:space="preserve">附表7    </w:t>
      </w:r>
      <w:r>
        <w:rPr>
          <w:rFonts w:hint="eastAsia" w:ascii="黑体" w:hAnsi="黑体"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区域层面数字经济指标</w:t>
      </w:r>
    </w:p>
    <w:tbl>
      <w:tblPr>
        <w:tblStyle w:val="35"/>
        <w:tblW w:w="8601" w:type="dxa"/>
        <w:jc w:val="center"/>
        <w:tblInd w:w="-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81"/>
        <w:gridCol w:w="2244"/>
        <w:gridCol w:w="35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781" w:type="dxa"/>
            <w:tcBorders>
              <w:top w:val="single" w:color="auto" w:sz="12"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cs="宋体"/>
                <w:sz w:val="18"/>
                <w:szCs w:val="18"/>
              </w:rPr>
            </w:pPr>
            <w:r>
              <w:rPr>
                <w:rFonts w:hint="eastAsia" w:ascii="Times New Roman" w:eastAsia="宋体" w:cs="宋体"/>
                <w:sz w:val="18"/>
                <w:szCs w:val="18"/>
              </w:rPr>
              <w:t>区域数字经济维度</w:t>
            </w:r>
          </w:p>
        </w:tc>
        <w:tc>
          <w:tcPr>
            <w:tcW w:w="2244" w:type="dxa"/>
            <w:tcBorders>
              <w:top w:val="single" w:color="auto" w:sz="12" w:space="0"/>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cs="宋体"/>
                <w:sz w:val="18"/>
                <w:szCs w:val="18"/>
              </w:rPr>
            </w:pPr>
            <w:r>
              <w:rPr>
                <w:rFonts w:hint="eastAsia" w:ascii="Times New Roman" w:eastAsia="宋体" w:cs="宋体"/>
                <w:sz w:val="18"/>
                <w:szCs w:val="18"/>
              </w:rPr>
              <w:t>二级指标</w:t>
            </w:r>
          </w:p>
        </w:tc>
        <w:tc>
          <w:tcPr>
            <w:tcW w:w="3576" w:type="dxa"/>
            <w:tcBorders>
              <w:top w:val="single" w:color="auto" w:sz="12" w:space="0"/>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cs="宋体"/>
                <w:sz w:val="18"/>
                <w:szCs w:val="18"/>
              </w:rPr>
            </w:pPr>
            <w:r>
              <w:rPr>
                <w:rFonts w:hint="eastAsia" w:ascii="Times New Roman" w:eastAsia="宋体" w:cs="宋体"/>
                <w:sz w:val="18"/>
                <w:szCs w:val="18"/>
              </w:rPr>
              <w:t>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781" w:type="dxa"/>
            <w:vMerge w:val="restart"/>
            <w:tcBorders>
              <w:top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color w:val="000000"/>
                <w:sz w:val="18"/>
                <w:szCs w:val="18"/>
                <w:shd w:val="clear" w:color="auto" w:fill="FFFFFF"/>
              </w:rPr>
              <w:t>互联网发展状况</w:t>
            </w:r>
            <w:r>
              <w:rPr>
                <w:rFonts w:hint="eastAsia" w:ascii="Times New Roman" w:eastAsia="宋体" w:cs="宋体"/>
                <w:color w:val="000000"/>
                <w:sz w:val="18"/>
                <w:szCs w:val="18"/>
                <w:shd w:val="clear" w:color="auto" w:fill="FFFFFF"/>
                <w:vertAlign w:val="superscript"/>
                <w:lang w:val="en-US" w:eastAsia="zh-CN"/>
              </w:rPr>
              <w:t>a</w:t>
            </w:r>
          </w:p>
        </w:tc>
        <w:tc>
          <w:tcPr>
            <w:tcW w:w="2244" w:type="dxa"/>
            <w:tcBorders>
              <w:top w:val="single" w:color="auto" w:sz="4" w:space="0"/>
              <w:left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互联网普及率</w:t>
            </w:r>
          </w:p>
        </w:tc>
        <w:tc>
          <w:tcPr>
            <w:tcW w:w="3576" w:type="dxa"/>
            <w:tcBorders>
              <w:top w:val="single" w:color="auto" w:sz="4" w:space="0"/>
              <w:left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互联网接入户数/常住人口×100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781" w:type="dxa"/>
            <w:vMerge w:val="continue"/>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color w:val="000000"/>
                <w:sz w:val="18"/>
                <w:szCs w:val="18"/>
                <w:shd w:val="clear" w:color="auto" w:fill="FFFFFF"/>
              </w:rPr>
            </w:pPr>
          </w:p>
        </w:tc>
        <w:tc>
          <w:tcPr>
            <w:tcW w:w="2244" w:type="dxa"/>
            <w:tcBorders>
              <w:left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互联网相关从业人员</w:t>
            </w:r>
          </w:p>
        </w:tc>
        <w:tc>
          <w:tcPr>
            <w:tcW w:w="3576" w:type="dxa"/>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color w:val="000000"/>
                <w:sz w:val="18"/>
                <w:szCs w:val="18"/>
                <w:shd w:val="clear" w:color="auto" w:fill="FFFFFF"/>
              </w:rPr>
              <w:t>计算机服务和软件业从业人员</w:t>
            </w:r>
            <w:r>
              <w:rPr>
                <w:rFonts w:hint="eastAsia" w:ascii="宋体" w:hAnsi="宋体" w:eastAsia="宋体" w:cs="宋体"/>
                <w:sz w:val="18"/>
                <w:szCs w:val="18"/>
              </w:rPr>
              <w:t>/</w:t>
            </w:r>
            <w:r>
              <w:rPr>
                <w:rFonts w:hint="eastAsia" w:ascii="Times New Roman" w:eastAsia="宋体" w:cs="宋体"/>
                <w:color w:val="000000"/>
                <w:sz w:val="18"/>
                <w:szCs w:val="18"/>
                <w:shd w:val="clear" w:color="auto" w:fill="FFFFFF"/>
              </w:rPr>
              <w:t>城镇就业人员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781" w:type="dxa"/>
            <w:vMerge w:val="continue"/>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color w:val="000000"/>
                <w:sz w:val="18"/>
                <w:szCs w:val="18"/>
                <w:shd w:val="clear" w:color="auto" w:fill="FFFFFF"/>
              </w:rPr>
            </w:pPr>
          </w:p>
        </w:tc>
        <w:tc>
          <w:tcPr>
            <w:tcW w:w="2244" w:type="dxa"/>
            <w:tcBorders>
              <w:left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互联网相关产出</w:t>
            </w:r>
          </w:p>
        </w:tc>
        <w:tc>
          <w:tcPr>
            <w:tcW w:w="3576" w:type="dxa"/>
            <w:tcBorders>
              <w:left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电信业务量</w:t>
            </w:r>
            <w:r>
              <w:rPr>
                <w:rFonts w:hint="eastAsia" w:ascii="宋体" w:hAnsi="宋体" w:eastAsia="宋体" w:cs="宋体"/>
                <w:sz w:val="18"/>
                <w:szCs w:val="18"/>
              </w:rPr>
              <w:t>/</w:t>
            </w:r>
            <w:r>
              <w:rPr>
                <w:rFonts w:hint="eastAsia" w:ascii="Times New Roman" w:eastAsia="宋体" w:cs="宋体"/>
                <w:sz w:val="18"/>
                <w:szCs w:val="18"/>
              </w:rPr>
              <w:t>常住人口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781" w:type="dxa"/>
            <w:vMerge w:val="continue"/>
            <w:tcBorders>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color w:val="000000"/>
                <w:sz w:val="18"/>
                <w:szCs w:val="18"/>
                <w:shd w:val="clear" w:color="auto" w:fill="FFFFFF"/>
              </w:rPr>
            </w:pPr>
          </w:p>
        </w:tc>
        <w:tc>
          <w:tcPr>
            <w:tcW w:w="2244" w:type="dxa"/>
            <w:tcBorders>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移动互联网用户数</w:t>
            </w:r>
          </w:p>
        </w:tc>
        <w:tc>
          <w:tcPr>
            <w:tcW w:w="3576" w:type="dxa"/>
            <w:tcBorders>
              <w:left w:val="single" w:color="auto" w:sz="4" w:space="0"/>
              <w:bottom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移动电话户数/常住人口×100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781" w:type="dxa"/>
            <w:tcBorders>
              <w:top w:val="single" w:color="auto" w:sz="4" w:space="0"/>
              <w:bottom w:val="single" w:color="auto" w:sz="12"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hint="default" w:ascii="Times New Roman" w:eastAsia="宋体" w:cs="宋体"/>
                <w:sz w:val="18"/>
                <w:szCs w:val="18"/>
                <w:lang w:val="en-US"/>
              </w:rPr>
            </w:pPr>
            <w:r>
              <w:rPr>
                <w:rFonts w:hint="eastAsia" w:ascii="Times New Roman" w:eastAsia="宋体" w:cs="宋体"/>
                <w:color w:val="000000"/>
                <w:sz w:val="18"/>
                <w:szCs w:val="18"/>
                <w:shd w:val="clear" w:color="auto" w:fill="FFFFFF"/>
              </w:rPr>
              <w:t>数字平台发展状况</w:t>
            </w:r>
            <w:r>
              <w:rPr>
                <w:rFonts w:hint="eastAsia" w:ascii="Times New Roman" w:eastAsia="宋体" w:cs="宋体"/>
                <w:color w:val="000000"/>
                <w:sz w:val="18"/>
                <w:szCs w:val="18"/>
                <w:shd w:val="clear" w:color="auto" w:fill="FFFFFF"/>
                <w:vertAlign w:val="superscript"/>
                <w:lang w:val="en-US" w:eastAsia="zh-CN"/>
              </w:rPr>
              <w:t>b</w:t>
            </w:r>
          </w:p>
        </w:tc>
        <w:tc>
          <w:tcPr>
            <w:tcW w:w="2244" w:type="dxa"/>
            <w:tcBorders>
              <w:top w:val="single" w:color="auto" w:sz="4" w:space="0"/>
              <w:left w:val="single" w:color="auto" w:sz="4" w:space="0"/>
              <w:bottom w:val="single" w:color="auto" w:sz="12"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color w:val="000000"/>
                <w:sz w:val="18"/>
                <w:szCs w:val="18"/>
                <w:shd w:val="clear" w:color="auto" w:fill="FFFFFF"/>
              </w:rPr>
              <w:t>数字普惠金融</w:t>
            </w:r>
          </w:p>
        </w:tc>
        <w:tc>
          <w:tcPr>
            <w:tcW w:w="3576" w:type="dxa"/>
            <w:tcBorders>
              <w:top w:val="single" w:color="auto" w:sz="4" w:space="0"/>
              <w:left w:val="single" w:color="auto" w:sz="4" w:space="0"/>
              <w:bottom w:val="single" w:color="auto" w:sz="12"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cs="宋体"/>
                <w:sz w:val="18"/>
                <w:szCs w:val="18"/>
              </w:rPr>
            </w:pPr>
            <w:r>
              <w:rPr>
                <w:rFonts w:hint="eastAsia" w:ascii="Times New Roman" w:eastAsia="宋体" w:cs="宋体"/>
                <w:sz w:val="18"/>
                <w:szCs w:val="18"/>
              </w:rPr>
              <w:t>北大数字经济金融指数</w:t>
            </w:r>
          </w:p>
        </w:tc>
      </w:tr>
    </w:tbl>
    <w:p>
      <w:pPr>
        <w:keepNext/>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ascii="Times New Roman" w:hAnsi="Times New Roman" w:eastAsia="宋体" w:cs="Times New Roman"/>
          <w:sz w:val="18"/>
          <w:szCs w:val="18"/>
          <w:lang w:val="en-US" w:eastAsia="zh-CN"/>
        </w:rPr>
      </w:pPr>
      <w:bookmarkStart w:id="2" w:name="_Ref190250664"/>
      <w:r>
        <w:rPr>
          <w:rFonts w:hint="default" w:ascii="Times New Roman" w:hAnsi="Times New Roman" w:eastAsia="宋体" w:cs="Times New Roman"/>
          <w:sz w:val="18"/>
          <w:szCs w:val="18"/>
          <w:lang w:val="en-US" w:eastAsia="zh-CN"/>
        </w:rPr>
        <w:t>注：a 互联网发展状况数据来源于国家统计局与各省统计年报。b 数字平台发展状况数据来源于北大数字金融研究中心，https://idf.pku.edu.cn/yjcg/zsbg/index.htm。</w:t>
      </w:r>
    </w:p>
    <w:p>
      <w:pPr>
        <w:keepNext/>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eastAsia="黑体" w:asciiTheme="majorHAnsi" w:hAnsiTheme="majorHAnsi" w:cstheme="majorBidi"/>
          <w:sz w:val="18"/>
          <w:szCs w:val="18"/>
        </w:rPr>
      </w:pPr>
      <w:r>
        <w:rPr>
          <w:rFonts w:hint="eastAsia" w:eastAsia="黑体" w:cstheme="majorBidi"/>
          <w:sz w:val="18"/>
          <w:szCs w:val="18"/>
        </w:rPr>
        <w:t>附</w:t>
      </w:r>
      <w:r>
        <w:rPr>
          <w:rFonts w:eastAsia="黑体" w:cstheme="majorBidi"/>
          <w:sz w:val="18"/>
          <w:szCs w:val="18"/>
        </w:rPr>
        <w:t>表</w:t>
      </w:r>
      <w:bookmarkEnd w:id="2"/>
      <w:r>
        <w:rPr>
          <w:rFonts w:hint="eastAsia" w:eastAsia="黑体" w:cstheme="majorBidi"/>
          <w:sz w:val="18"/>
          <w:szCs w:val="18"/>
        </w:rPr>
        <w:t>8</w:t>
      </w:r>
      <w:r>
        <w:rPr>
          <w:rFonts w:eastAsia="黑体" w:cstheme="majorBidi"/>
          <w:sz w:val="18"/>
          <w:szCs w:val="18"/>
        </w:rPr>
        <w:t xml:space="preserve">   </w:t>
      </w:r>
      <w:r>
        <w:rPr>
          <w:rFonts w:eastAsia="黑体" w:asciiTheme="majorHAnsi" w:hAnsiTheme="majorHAnsi" w:cstheme="majorBidi"/>
          <w:sz w:val="18"/>
          <w:szCs w:val="18"/>
        </w:rPr>
        <w:t xml:space="preserve">                 </w:t>
      </w:r>
      <w:r>
        <w:rPr>
          <w:rFonts w:hint="eastAsia" w:eastAsia="黑体" w:asciiTheme="majorHAnsi" w:hAnsiTheme="majorHAnsi" w:cstheme="majorBidi"/>
          <w:sz w:val="18"/>
          <w:szCs w:val="18"/>
        </w:rPr>
        <w:t xml:space="preserve">     </w:t>
      </w:r>
      <w:r>
        <w:rPr>
          <w:rFonts w:eastAsia="黑体" w:asciiTheme="majorHAnsi" w:hAnsiTheme="majorHAnsi" w:cstheme="majorBidi"/>
          <w:sz w:val="18"/>
          <w:szCs w:val="18"/>
        </w:rPr>
        <w:t xml:space="preserve">    </w:t>
      </w:r>
      <w:r>
        <w:rPr>
          <w:rFonts w:hint="eastAsia" w:eastAsia="黑体" w:asciiTheme="majorHAnsi" w:hAnsiTheme="majorHAnsi" w:cstheme="majorBidi"/>
          <w:sz w:val="18"/>
          <w:szCs w:val="18"/>
          <w:lang w:val="en-US" w:eastAsia="zh-CN"/>
        </w:rPr>
        <w:t xml:space="preserve"> </w:t>
      </w:r>
      <w:r>
        <w:rPr>
          <w:rFonts w:eastAsia="黑体" w:asciiTheme="majorHAnsi" w:hAnsiTheme="majorHAnsi" w:cstheme="majorBidi"/>
          <w:sz w:val="18"/>
          <w:szCs w:val="18"/>
        </w:rPr>
        <w:t xml:space="preserve">    </w:t>
      </w:r>
      <w:r>
        <w:rPr>
          <w:rFonts w:hint="eastAsia" w:eastAsia="黑体" w:asciiTheme="majorHAnsi" w:hAnsiTheme="majorHAnsi" w:cstheme="majorBidi"/>
          <w:sz w:val="18"/>
          <w:szCs w:val="18"/>
        </w:rPr>
        <w:t>动态平均处理效应</w:t>
      </w:r>
    </w:p>
    <w:tbl>
      <w:tblPr>
        <w:tblStyle w:val="34"/>
        <w:tblW w:w="8626" w:type="dxa"/>
        <w:jc w:val="center"/>
        <w:tblInd w:w="-207" w:type="dxa"/>
        <w:tblLayout w:type="fixed"/>
        <w:tblCellMar>
          <w:top w:w="0" w:type="dxa"/>
          <w:left w:w="75" w:type="dxa"/>
          <w:bottom w:w="0" w:type="dxa"/>
          <w:right w:w="75" w:type="dxa"/>
        </w:tblCellMar>
      </w:tblPr>
      <w:tblGrid>
        <w:gridCol w:w="3013"/>
        <w:gridCol w:w="2806"/>
        <w:gridCol w:w="2807"/>
      </w:tblGrid>
      <w:tr>
        <w:tblPrEx>
          <w:tblLayout w:type="fixed"/>
          <w:tblCellMar>
            <w:top w:w="0" w:type="dxa"/>
            <w:left w:w="75" w:type="dxa"/>
            <w:bottom w:w="0" w:type="dxa"/>
            <w:right w:w="75" w:type="dxa"/>
          </w:tblCellMar>
        </w:tblPrEx>
        <w:trPr>
          <w:trHeight w:val="317" w:hRule="atLeast"/>
          <w:jc w:val="center"/>
        </w:trPr>
        <w:tc>
          <w:tcPr>
            <w:tcW w:w="3013" w:type="dxa"/>
            <w:vMerge w:val="restart"/>
            <w:tcBorders>
              <w:top w:val="single" w:color="auto" w:sz="12"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变量</w:t>
            </w:r>
          </w:p>
        </w:tc>
        <w:tc>
          <w:tcPr>
            <w:tcW w:w="5613" w:type="dxa"/>
            <w:gridSpan w:val="2"/>
            <w:tcBorders>
              <w:top w:val="single" w:color="auto" w:sz="12" w:space="0"/>
              <w:left w:val="single" w:color="000000"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联农带农效益</w:t>
            </w:r>
          </w:p>
        </w:tc>
      </w:tr>
      <w:tr>
        <w:tblPrEx>
          <w:tblLayout w:type="fixed"/>
          <w:tblCellMar>
            <w:top w:w="0" w:type="dxa"/>
            <w:left w:w="75" w:type="dxa"/>
            <w:bottom w:w="0" w:type="dxa"/>
            <w:right w:w="75" w:type="dxa"/>
          </w:tblCellMar>
        </w:tblPrEx>
        <w:trPr>
          <w:trHeight w:val="317" w:hRule="atLeast"/>
          <w:jc w:val="center"/>
        </w:trPr>
        <w:tc>
          <w:tcPr>
            <w:tcW w:w="3013" w:type="dxa"/>
            <w:vMerge w:val="continue"/>
            <w:tcBorders>
              <w:top w:val="single" w:color="auto" w:sz="4" w:space="0"/>
              <w:left w:val="nil"/>
              <w:bottom w:val="single" w:color="auto"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p>
        </w:tc>
        <w:tc>
          <w:tcPr>
            <w:tcW w:w="2806" w:type="dxa"/>
            <w:tcBorders>
              <w:top w:val="single" w:color="auto" w:sz="4" w:space="0"/>
              <w:left w:val="single" w:color="000000" w:sz="4" w:space="0"/>
              <w:bottom w:val="single" w:color="000000"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系数</w:t>
            </w:r>
          </w:p>
        </w:tc>
        <w:tc>
          <w:tcPr>
            <w:tcW w:w="2807" w:type="dxa"/>
            <w:tcBorders>
              <w:top w:val="single" w:color="auto" w:sz="4" w:space="0"/>
              <w:left w:val="nil"/>
              <w:bottom w:val="single" w:color="000000"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标准误</w:t>
            </w:r>
          </w:p>
        </w:tc>
      </w:tr>
      <w:tr>
        <w:tblPrEx>
          <w:tblLayout w:type="fixed"/>
          <w:tblCellMar>
            <w:top w:w="0" w:type="dxa"/>
            <w:left w:w="75" w:type="dxa"/>
            <w:bottom w:w="0" w:type="dxa"/>
            <w:right w:w="75" w:type="dxa"/>
          </w:tblCellMar>
        </w:tblPrEx>
        <w:trPr>
          <w:trHeight w:val="317" w:hRule="atLeast"/>
          <w:jc w:val="center"/>
        </w:trPr>
        <w:tc>
          <w:tcPr>
            <w:tcW w:w="3013" w:type="dxa"/>
            <w:tcBorders>
              <w:top w:val="single" w:color="auto" w:sz="4" w:space="0"/>
              <w:left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平均事前效应</w:t>
            </w:r>
          </w:p>
        </w:tc>
        <w:tc>
          <w:tcPr>
            <w:tcW w:w="2806" w:type="dxa"/>
            <w:tcBorders>
              <w:top w:val="single" w:color="000000" w:sz="4" w:space="0"/>
              <w:left w:val="single" w:color="000000"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sz w:val="18"/>
                <w:szCs w:val="18"/>
                <w:lang w:bidi="ar"/>
              </w:rPr>
              <w:t>−</w:t>
            </w:r>
            <w:r>
              <w:rPr>
                <w:rFonts w:cs="Times New Roman"/>
                <w:kern w:val="0"/>
                <w:sz w:val="18"/>
                <w:szCs w:val="18"/>
              </w:rPr>
              <w:t>0.504</w:t>
            </w:r>
            <w:r>
              <w:rPr>
                <w:rFonts w:cs="Times New Roman"/>
                <w:kern w:val="0"/>
                <w:sz w:val="18"/>
                <w:szCs w:val="18"/>
                <w:vertAlign w:val="superscript"/>
              </w:rPr>
              <w:t>***</w:t>
            </w:r>
          </w:p>
        </w:tc>
        <w:tc>
          <w:tcPr>
            <w:tcW w:w="2807" w:type="dxa"/>
            <w:tcBorders>
              <w:top w:val="single" w:color="000000" w:sz="4" w:space="0"/>
              <w:left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0.172</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平均事后效应</w:t>
            </w:r>
          </w:p>
        </w:tc>
        <w:tc>
          <w:tcPr>
            <w:tcW w:w="2806" w:type="dxa"/>
            <w:tcBorders>
              <w:top w:val="nil"/>
              <w:left w:val="single" w:color="000000"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0.760</w:t>
            </w:r>
            <w:r>
              <w:rPr>
                <w:rFonts w:cs="Times New Roman"/>
                <w:kern w:val="0"/>
                <w:sz w:val="18"/>
                <w:szCs w:val="18"/>
                <w:vertAlign w:val="superscript"/>
              </w:rPr>
              <w:t>***</w:t>
            </w:r>
          </w:p>
        </w:tc>
        <w:tc>
          <w:tcPr>
            <w:tcW w:w="2807" w:type="dxa"/>
            <w:tcBorders>
              <w:top w:val="nil"/>
              <w:left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0.178</w:t>
            </w:r>
          </w:p>
        </w:tc>
      </w:tr>
      <w:tr>
        <w:tblPrEx>
          <w:tblLayout w:type="fixed"/>
          <w:tblCellMar>
            <w:top w:w="0" w:type="dxa"/>
            <w:left w:w="75" w:type="dxa"/>
            <w:bottom w:w="0" w:type="dxa"/>
            <w:right w:w="75" w:type="dxa"/>
          </w:tblCellMar>
        </w:tblPrEx>
        <w:trPr>
          <w:trHeight w:val="317" w:hRule="atLeast"/>
          <w:jc w:val="center"/>
        </w:trPr>
        <w:tc>
          <w:tcPr>
            <w:tcW w:w="3013" w:type="dxa"/>
            <w:tcBorders>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试点开始前5年</w:t>
            </w:r>
          </w:p>
        </w:tc>
        <w:tc>
          <w:tcPr>
            <w:tcW w:w="2806" w:type="dxa"/>
            <w:tcBorders>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sz w:val="18"/>
                <w:szCs w:val="18"/>
                <w:lang w:bidi="ar"/>
              </w:rPr>
              <w:t>−</w:t>
            </w:r>
            <w:r>
              <w:rPr>
                <w:rFonts w:cs="Times New Roman"/>
                <w:kern w:val="0"/>
                <w:sz w:val="18"/>
                <w:szCs w:val="18"/>
              </w:rPr>
              <w:t>2.896</w:t>
            </w:r>
            <w:r>
              <w:rPr>
                <w:rFonts w:cs="Times New Roman"/>
                <w:kern w:val="0"/>
                <w:sz w:val="18"/>
                <w:szCs w:val="18"/>
                <w:vertAlign w:val="superscript"/>
              </w:rPr>
              <w:t>***</w:t>
            </w:r>
          </w:p>
        </w:tc>
        <w:tc>
          <w:tcPr>
            <w:tcW w:w="2807" w:type="dxa"/>
            <w:tcBorders>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0.727</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试点开始前4年</w:t>
            </w:r>
          </w:p>
        </w:tc>
        <w:tc>
          <w:tcPr>
            <w:tcW w:w="2806" w:type="dxa"/>
            <w:tcBorders>
              <w:top w:val="nil"/>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sz w:val="18"/>
                <w:szCs w:val="18"/>
                <w:lang w:bidi="ar"/>
              </w:rPr>
              <w:t>−</w:t>
            </w:r>
            <w:r>
              <w:rPr>
                <w:rFonts w:cs="Times New Roman"/>
                <w:kern w:val="0"/>
                <w:sz w:val="18"/>
                <w:szCs w:val="18"/>
              </w:rPr>
              <w:t>0.238</w:t>
            </w:r>
          </w:p>
        </w:tc>
        <w:tc>
          <w:tcPr>
            <w:tcW w:w="2807" w:type="dxa"/>
            <w:tcBorders>
              <w:top w:val="nil"/>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0.163</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试点开始前3年</w:t>
            </w:r>
          </w:p>
        </w:tc>
        <w:tc>
          <w:tcPr>
            <w:tcW w:w="2806" w:type="dxa"/>
            <w:tcBorders>
              <w:top w:val="nil"/>
              <w:left w:val="single" w:color="000000"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0.627</w:t>
            </w:r>
            <w:r>
              <w:rPr>
                <w:rFonts w:cs="Times New Roman"/>
                <w:kern w:val="0"/>
                <w:sz w:val="18"/>
                <w:szCs w:val="18"/>
                <w:vertAlign w:val="superscript"/>
              </w:rPr>
              <w:t>*</w:t>
            </w:r>
          </w:p>
        </w:tc>
        <w:tc>
          <w:tcPr>
            <w:tcW w:w="2807" w:type="dxa"/>
            <w:tcBorders>
              <w:top w:val="nil"/>
              <w:left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0.344</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试点开始前2年</w:t>
            </w:r>
          </w:p>
        </w:tc>
        <w:tc>
          <w:tcPr>
            <w:tcW w:w="2806" w:type="dxa"/>
            <w:tcBorders>
              <w:top w:val="nil"/>
              <w:left w:val="single" w:color="000000"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0.007</w:t>
            </w:r>
          </w:p>
        </w:tc>
        <w:tc>
          <w:tcPr>
            <w:tcW w:w="2807" w:type="dxa"/>
            <w:tcBorders>
              <w:top w:val="nil"/>
              <w:left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0.04</w:t>
            </w:r>
            <w:r>
              <w:rPr>
                <w:rFonts w:cs="Times New Roman"/>
                <w:kern w:val="0"/>
                <w:sz w:val="18"/>
                <w:szCs w:val="18"/>
              </w:rPr>
              <w:t>9</w:t>
            </w:r>
          </w:p>
        </w:tc>
      </w:tr>
      <w:tr>
        <w:tblPrEx>
          <w:tblLayout w:type="fixed"/>
          <w:tblCellMar>
            <w:top w:w="0" w:type="dxa"/>
            <w:left w:w="75" w:type="dxa"/>
            <w:bottom w:w="0" w:type="dxa"/>
            <w:right w:w="75" w:type="dxa"/>
          </w:tblCellMar>
        </w:tblPrEx>
        <w:trPr>
          <w:trHeight w:val="317" w:hRule="atLeast"/>
          <w:jc w:val="center"/>
        </w:trPr>
        <w:tc>
          <w:tcPr>
            <w:tcW w:w="3013" w:type="dxa"/>
            <w:tcBorders>
              <w:left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试点开始前1年</w:t>
            </w:r>
          </w:p>
        </w:tc>
        <w:tc>
          <w:tcPr>
            <w:tcW w:w="2806" w:type="dxa"/>
            <w:tcBorders>
              <w:left w:val="single" w:color="000000"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sz w:val="18"/>
                <w:szCs w:val="18"/>
                <w:lang w:bidi="ar"/>
              </w:rPr>
              <w:t>−</w:t>
            </w:r>
            <w:r>
              <w:rPr>
                <w:rFonts w:cs="Times New Roman"/>
                <w:kern w:val="0"/>
                <w:sz w:val="18"/>
                <w:szCs w:val="18"/>
              </w:rPr>
              <w:t>0.022</w:t>
            </w:r>
          </w:p>
        </w:tc>
        <w:tc>
          <w:tcPr>
            <w:tcW w:w="2807" w:type="dxa"/>
            <w:tcBorders>
              <w:left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0.115</w:t>
            </w:r>
          </w:p>
        </w:tc>
      </w:tr>
      <w:tr>
        <w:tblPrEx>
          <w:tblLayout w:type="fixed"/>
          <w:tblCellMar>
            <w:top w:w="0" w:type="dxa"/>
            <w:left w:w="75" w:type="dxa"/>
            <w:bottom w:w="0" w:type="dxa"/>
            <w:right w:w="75" w:type="dxa"/>
          </w:tblCellMar>
        </w:tblPrEx>
        <w:trPr>
          <w:trHeight w:val="317" w:hRule="atLeast"/>
          <w:jc w:val="center"/>
        </w:trPr>
        <w:tc>
          <w:tcPr>
            <w:tcW w:w="3013" w:type="dxa"/>
            <w:tcBorders>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试点开始当年</w:t>
            </w:r>
          </w:p>
        </w:tc>
        <w:tc>
          <w:tcPr>
            <w:tcW w:w="2806" w:type="dxa"/>
            <w:tcBorders>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0.768</w:t>
            </w:r>
            <w:r>
              <w:rPr>
                <w:rFonts w:cs="Times New Roman"/>
                <w:kern w:val="0"/>
                <w:sz w:val="18"/>
                <w:szCs w:val="18"/>
                <w:vertAlign w:val="superscript"/>
              </w:rPr>
              <w:t>***</w:t>
            </w:r>
          </w:p>
        </w:tc>
        <w:tc>
          <w:tcPr>
            <w:tcW w:w="2807" w:type="dxa"/>
            <w:tcBorders>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0.296</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试点开始后1年</w:t>
            </w:r>
          </w:p>
        </w:tc>
        <w:tc>
          <w:tcPr>
            <w:tcW w:w="2806" w:type="dxa"/>
            <w:tcBorders>
              <w:top w:val="nil"/>
              <w:left w:val="single" w:color="000000"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0.059</w:t>
            </w:r>
          </w:p>
        </w:tc>
        <w:tc>
          <w:tcPr>
            <w:tcW w:w="2807" w:type="dxa"/>
            <w:tcBorders>
              <w:top w:val="nil"/>
              <w:left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0.047</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cs="Times New Roman"/>
                <w:kern w:val="0"/>
                <w:sz w:val="18"/>
                <w:szCs w:val="18"/>
              </w:rPr>
              <w:t>试点开始后2年</w:t>
            </w:r>
          </w:p>
        </w:tc>
        <w:tc>
          <w:tcPr>
            <w:tcW w:w="2806" w:type="dxa"/>
            <w:tcBorders>
              <w:top w:val="nil"/>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kern w:val="0"/>
                <w:sz w:val="18"/>
                <w:szCs w:val="18"/>
              </w:rPr>
              <w:t>0.137</w:t>
            </w:r>
          </w:p>
        </w:tc>
        <w:tc>
          <w:tcPr>
            <w:tcW w:w="2807" w:type="dxa"/>
            <w:tcBorders>
              <w:top w:val="nil"/>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cs="Times New Roman"/>
                <w:kern w:val="0"/>
                <w:sz w:val="18"/>
                <w:szCs w:val="18"/>
              </w:rPr>
              <w:t>0.113</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试点开始后3年</w:t>
            </w:r>
          </w:p>
        </w:tc>
        <w:tc>
          <w:tcPr>
            <w:tcW w:w="2806" w:type="dxa"/>
            <w:tcBorders>
              <w:top w:val="nil"/>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kern w:val="0"/>
                <w:sz w:val="18"/>
                <w:szCs w:val="18"/>
              </w:rPr>
              <w:t>0.740</w:t>
            </w:r>
            <w:r>
              <w:rPr>
                <w:kern w:val="0"/>
                <w:sz w:val="18"/>
                <w:szCs w:val="18"/>
                <w:vertAlign w:val="superscript"/>
              </w:rPr>
              <w:t>***</w:t>
            </w:r>
          </w:p>
        </w:tc>
        <w:tc>
          <w:tcPr>
            <w:tcW w:w="2807" w:type="dxa"/>
            <w:tcBorders>
              <w:top w:val="nil"/>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kern w:val="0"/>
                <w:sz w:val="18"/>
                <w:szCs w:val="18"/>
              </w:rPr>
              <w:t>0.196</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试点开始后4年</w:t>
            </w:r>
          </w:p>
        </w:tc>
        <w:tc>
          <w:tcPr>
            <w:tcW w:w="2806" w:type="dxa"/>
            <w:tcBorders>
              <w:top w:val="nil"/>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kern w:val="0"/>
                <w:sz w:val="18"/>
                <w:szCs w:val="18"/>
              </w:rPr>
              <w:t>0.910</w:t>
            </w:r>
            <w:r>
              <w:rPr>
                <w:kern w:val="0"/>
                <w:sz w:val="18"/>
                <w:szCs w:val="18"/>
                <w:vertAlign w:val="superscript"/>
              </w:rPr>
              <w:t>***</w:t>
            </w:r>
          </w:p>
        </w:tc>
        <w:tc>
          <w:tcPr>
            <w:tcW w:w="2807" w:type="dxa"/>
            <w:tcBorders>
              <w:top w:val="nil"/>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kern w:val="0"/>
                <w:sz w:val="18"/>
                <w:szCs w:val="18"/>
              </w:rPr>
              <w:t>0.309</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试点开始后5年</w:t>
            </w:r>
          </w:p>
        </w:tc>
        <w:tc>
          <w:tcPr>
            <w:tcW w:w="2806" w:type="dxa"/>
            <w:tcBorders>
              <w:top w:val="nil"/>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kern w:val="0"/>
                <w:sz w:val="18"/>
                <w:szCs w:val="18"/>
              </w:rPr>
              <w:t>1.477</w:t>
            </w:r>
            <w:r>
              <w:rPr>
                <w:kern w:val="0"/>
                <w:sz w:val="18"/>
                <w:szCs w:val="18"/>
                <w:vertAlign w:val="superscript"/>
              </w:rPr>
              <w:t>**</w:t>
            </w:r>
          </w:p>
        </w:tc>
        <w:tc>
          <w:tcPr>
            <w:tcW w:w="2807" w:type="dxa"/>
            <w:tcBorders>
              <w:top w:val="nil"/>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kern w:val="0"/>
                <w:sz w:val="18"/>
                <w:szCs w:val="18"/>
              </w:rPr>
              <w:t>0.633</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试点开始后6年</w:t>
            </w:r>
          </w:p>
        </w:tc>
        <w:tc>
          <w:tcPr>
            <w:tcW w:w="2806" w:type="dxa"/>
            <w:tcBorders>
              <w:top w:val="nil"/>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cs="Times New Roman"/>
                <w:sz w:val="18"/>
                <w:szCs w:val="18"/>
                <w:lang w:bidi="ar"/>
              </w:rPr>
              <w:t>−</w:t>
            </w:r>
            <w:r>
              <w:rPr>
                <w:kern w:val="0"/>
                <w:sz w:val="18"/>
                <w:szCs w:val="18"/>
              </w:rPr>
              <w:t>0.092</w:t>
            </w:r>
          </w:p>
        </w:tc>
        <w:tc>
          <w:tcPr>
            <w:tcW w:w="2807" w:type="dxa"/>
            <w:tcBorders>
              <w:top w:val="nil"/>
              <w:left w:val="nil"/>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kern w:val="0"/>
                <w:sz w:val="18"/>
                <w:szCs w:val="18"/>
              </w:rPr>
              <w:t>0.163</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试点开始前7年</w:t>
            </w:r>
          </w:p>
        </w:tc>
        <w:tc>
          <w:tcPr>
            <w:tcW w:w="2806" w:type="dxa"/>
            <w:tcBorders>
              <w:top w:val="nil"/>
              <w:left w:val="single" w:color="000000" w:sz="4" w:space="0"/>
              <w:bottom w:val="single" w:color="auto"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kern w:val="0"/>
                <w:sz w:val="18"/>
                <w:szCs w:val="18"/>
              </w:rPr>
              <w:t>2.080</w:t>
            </w:r>
            <w:r>
              <w:rPr>
                <w:kern w:val="0"/>
                <w:sz w:val="18"/>
                <w:szCs w:val="18"/>
                <w:vertAlign w:val="superscript"/>
              </w:rPr>
              <w:t>***</w:t>
            </w:r>
          </w:p>
        </w:tc>
        <w:tc>
          <w:tcPr>
            <w:tcW w:w="2807"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kern w:val="0"/>
                <w:sz w:val="18"/>
                <w:szCs w:val="18"/>
              </w:rPr>
              <w:t>0.466</w:t>
            </w:r>
          </w:p>
        </w:tc>
      </w:tr>
      <w:tr>
        <w:tblPrEx>
          <w:tblLayout w:type="fixed"/>
          <w:tblCellMar>
            <w:top w:w="0" w:type="dxa"/>
            <w:left w:w="75" w:type="dxa"/>
            <w:bottom w:w="0" w:type="dxa"/>
            <w:right w:w="75" w:type="dxa"/>
          </w:tblCellMar>
        </w:tblPrEx>
        <w:trPr>
          <w:trHeight w:val="317" w:hRule="atLeast"/>
          <w:jc w:val="center"/>
        </w:trPr>
        <w:tc>
          <w:tcPr>
            <w:tcW w:w="3013" w:type="dxa"/>
            <w:tcBorders>
              <w:top w:val="single" w:color="auto" w:sz="4" w:space="0"/>
              <w:left w:val="nil"/>
              <w:bottom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控制变量</w:t>
            </w:r>
          </w:p>
        </w:tc>
        <w:tc>
          <w:tcPr>
            <w:tcW w:w="5613" w:type="dxa"/>
            <w:gridSpan w:val="2"/>
            <w:tcBorders>
              <w:top w:val="single" w:color="auto" w:sz="4" w:space="0"/>
              <w:left w:val="single" w:color="000000" w:sz="4" w:space="0"/>
              <w:bottom w:val="nil"/>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企业—年份固定效应</w:t>
            </w:r>
          </w:p>
        </w:tc>
        <w:tc>
          <w:tcPr>
            <w:tcW w:w="5613" w:type="dxa"/>
            <w:gridSpan w:val="2"/>
            <w:tcBorders>
              <w:top w:val="nil"/>
              <w:left w:val="single" w:color="000000" w:sz="4"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rFonts w:hint="eastAsia"/>
                <w:kern w:val="0"/>
                <w:sz w:val="18"/>
                <w:szCs w:val="18"/>
              </w:rPr>
              <w:t>已控制</w:t>
            </w:r>
          </w:p>
        </w:tc>
      </w:tr>
      <w:tr>
        <w:tblPrEx>
          <w:tblLayout w:type="fixed"/>
          <w:tblCellMar>
            <w:top w:w="0" w:type="dxa"/>
            <w:left w:w="75" w:type="dxa"/>
            <w:bottom w:w="0" w:type="dxa"/>
            <w:right w:w="75" w:type="dxa"/>
          </w:tblCellMar>
        </w:tblPrEx>
        <w:trPr>
          <w:trHeight w:val="317" w:hRule="atLeast"/>
          <w:jc w:val="center"/>
        </w:trPr>
        <w:tc>
          <w:tcPr>
            <w:tcW w:w="3013" w:type="dxa"/>
            <w:tcBorders>
              <w:top w:val="nil"/>
              <w:left w:val="nil"/>
              <w:bottom w:val="single" w:color="auto" w:sz="12"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cs="Times New Roman"/>
                <w:kern w:val="0"/>
                <w:sz w:val="18"/>
                <w:szCs w:val="18"/>
              </w:rPr>
            </w:pPr>
            <w:r>
              <w:rPr>
                <w:rFonts w:hint="eastAsia"/>
                <w:kern w:val="0"/>
                <w:sz w:val="18"/>
                <w:szCs w:val="18"/>
              </w:rPr>
              <w:t>观测值数</w:t>
            </w:r>
          </w:p>
        </w:tc>
        <w:tc>
          <w:tcPr>
            <w:tcW w:w="5613" w:type="dxa"/>
            <w:gridSpan w:val="2"/>
            <w:tcBorders>
              <w:top w:val="nil"/>
              <w:left w:val="single" w:color="000000" w:sz="4" w:space="0"/>
              <w:bottom w:val="single" w:color="auto" w:sz="12" w:space="0"/>
              <w:right w:val="nil"/>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cs="Times New Roman"/>
                <w:kern w:val="0"/>
                <w:sz w:val="18"/>
                <w:szCs w:val="18"/>
              </w:rPr>
            </w:pPr>
            <w:r>
              <w:rPr>
                <w:kern w:val="0"/>
                <w:sz w:val="18"/>
                <w:szCs w:val="18"/>
              </w:rPr>
              <w:t>655</w:t>
            </w:r>
          </w:p>
        </w:tc>
      </w:tr>
    </w:tbl>
    <w:p>
      <w:pPr>
        <w:pStyle w:val="19"/>
        <w:keepNext w:val="0"/>
        <w:keepLines w:val="0"/>
        <w:pageBreakBefore w:val="0"/>
        <w:widowControl w:val="0"/>
        <w:kinsoku/>
        <w:wordWrap/>
        <w:overflowPunct/>
        <w:topLinePunct w:val="0"/>
        <w:bidi w:val="0"/>
        <w:adjustRightInd/>
        <w:snapToGrid/>
        <w:spacing w:line="240" w:lineRule="atLeast"/>
        <w:ind w:firstLine="332" w:firstLineChars="200"/>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注：***、**和*分别表示在1%、5%和10%的水平上显著。</w:t>
      </w:r>
    </w:p>
    <w:p>
      <w:pPr>
        <w:keepNext w:val="0"/>
        <w:keepLines w:val="0"/>
        <w:pageBreakBefore w:val="0"/>
        <w:widowControl w:val="0"/>
        <w:kinsoku/>
        <w:wordWrap/>
        <w:overflowPunct/>
        <w:topLinePunct w:val="0"/>
        <w:bidi w:val="0"/>
        <w:adjustRightInd/>
        <w:snapToGrid/>
        <w:spacing w:line="240" w:lineRule="atLeast"/>
        <w:ind w:firstLine="332" w:firstLineChars="200"/>
        <w:jc w:val="both"/>
        <w:textAlignment w:val="auto"/>
        <w:rPr>
          <w:rFonts w:ascii="黑体" w:hAnsi="黑体" w:eastAsia="黑体"/>
        </w:rPr>
      </w:pPr>
      <w:r>
        <w:rPr>
          <w:rFonts w:hint="eastAsia" w:eastAsia="黑体"/>
          <w:sz w:val="18"/>
          <w:szCs w:val="18"/>
        </w:rPr>
        <w:t>附表9</w:t>
      </w:r>
      <w:r>
        <w:rPr>
          <w:rFonts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资产专用性视角作用机制</w:t>
      </w:r>
    </w:p>
    <w:tbl>
      <w:tblPr>
        <w:tblStyle w:val="35"/>
        <w:tblW w:w="8568" w:type="dxa"/>
        <w:jc w:val="center"/>
        <w:tblInd w:w="-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13"/>
        <w:gridCol w:w="889"/>
        <w:gridCol w:w="1096"/>
        <w:gridCol w:w="1465"/>
        <w:gridCol w:w="773"/>
        <w:gridCol w:w="1148"/>
        <w:gridCol w:w="12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vMerge w:val="restart"/>
            <w:tcBorders>
              <w:top w:val="single" w:color="auto" w:sz="12"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作用机制</w:t>
            </w:r>
          </w:p>
        </w:tc>
        <w:tc>
          <w:tcPr>
            <w:tcW w:w="6655" w:type="dxa"/>
            <w:gridSpan w:val="6"/>
            <w:tcBorders>
              <w:top w:val="single" w:color="auto" w:sz="12" w:space="0"/>
              <w:left w:val="single" w:color="000000"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联农带农效益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vMerge w:val="continue"/>
            <w:tcBorders>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p>
        </w:tc>
        <w:tc>
          <w:tcPr>
            <w:tcW w:w="3450" w:type="dxa"/>
            <w:gridSpan w:val="3"/>
            <w:tcBorders>
              <w:top w:val="single" w:color="auto" w:sz="4" w:space="0"/>
              <w:left w:val="single" w:color="000000"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资产减值</w:t>
            </w:r>
          </w:p>
        </w:tc>
        <w:tc>
          <w:tcPr>
            <w:tcW w:w="3205" w:type="dxa"/>
            <w:gridSpan w:val="3"/>
            <w:tcBorders>
              <w:top w:val="single" w:color="auto" w:sz="4" w:space="0"/>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企业投资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vMerge w:val="continue"/>
            <w:tcBorders>
              <w:bottom w:val="single" w:color="auto"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p>
        </w:tc>
        <w:tc>
          <w:tcPr>
            <w:tcW w:w="889" w:type="dxa"/>
            <w:tcBorders>
              <w:top w:val="single" w:color="auto" w:sz="4" w:space="0"/>
              <w:left w:val="single" w:color="000000"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系数</w:t>
            </w:r>
          </w:p>
        </w:tc>
        <w:tc>
          <w:tcPr>
            <w:tcW w:w="1096"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稳健标准误</w:t>
            </w:r>
          </w:p>
        </w:tc>
        <w:tc>
          <w:tcPr>
            <w:tcW w:w="1465" w:type="dxa"/>
            <w:tcBorders>
              <w:top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95%置信区间</w:t>
            </w:r>
          </w:p>
        </w:tc>
        <w:tc>
          <w:tcPr>
            <w:tcW w:w="773" w:type="dxa"/>
            <w:tcBorders>
              <w:top w:val="single" w:color="auto" w:sz="4" w:space="0"/>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系数</w:t>
            </w:r>
          </w:p>
        </w:tc>
        <w:tc>
          <w:tcPr>
            <w:tcW w:w="1148"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稳健标准误</w:t>
            </w:r>
          </w:p>
        </w:tc>
        <w:tc>
          <w:tcPr>
            <w:tcW w:w="1284"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95%置信区间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tcBorders>
              <w:top w:val="single" w:color="auto"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宽带中国试点直接效应</w:t>
            </w:r>
          </w:p>
        </w:tc>
        <w:tc>
          <w:tcPr>
            <w:tcW w:w="889" w:type="dxa"/>
            <w:tcBorders>
              <w:top w:val="single" w:color="auto" w:sz="4" w:space="0"/>
              <w:lef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0.037</w:t>
            </w:r>
            <w:r>
              <w:rPr>
                <w:rFonts w:hint="eastAsia" w:ascii="Times New Roman" w:eastAsia="宋体"/>
                <w:sz w:val="18"/>
                <w:szCs w:val="18"/>
                <w:vertAlign w:val="superscript"/>
              </w:rPr>
              <w:t>**</w:t>
            </w:r>
          </w:p>
        </w:tc>
        <w:tc>
          <w:tcPr>
            <w:tcW w:w="1096"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0.017</w:t>
            </w:r>
          </w:p>
        </w:tc>
        <w:tc>
          <w:tcPr>
            <w:tcW w:w="1465" w:type="dxa"/>
            <w:tcBorders>
              <w:top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w:t>
            </w:r>
            <w:r>
              <w:rPr>
                <w:rFonts w:hint="eastAsia" w:ascii="Times New Roman" w:eastAsia="宋体"/>
                <w:sz w:val="18"/>
                <w:szCs w:val="18"/>
              </w:rPr>
              <w:t>4</w:t>
            </w:r>
            <w:r>
              <w:rPr>
                <w:rFonts w:ascii="Times New Roman" w:eastAsia="宋体"/>
                <w:sz w:val="18"/>
                <w:szCs w:val="18"/>
              </w:rPr>
              <w:t>,0.071</w:t>
            </w:r>
            <w:r>
              <w:rPr>
                <w:rFonts w:hint="eastAsia" w:ascii="宋体" w:hAnsi="宋体" w:eastAsia="宋体" w:cs="宋体"/>
                <w:sz w:val="18"/>
                <w:szCs w:val="18"/>
              </w:rPr>
              <w:t>]</w:t>
            </w:r>
          </w:p>
        </w:tc>
        <w:tc>
          <w:tcPr>
            <w:tcW w:w="773" w:type="dxa"/>
            <w:tcBorders>
              <w:top w:val="single" w:color="auto" w:sz="4" w:space="0"/>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.038</w:t>
            </w:r>
            <w:r>
              <w:rPr>
                <w:rFonts w:ascii="Times New Roman" w:eastAsia="宋体"/>
                <w:sz w:val="18"/>
                <w:szCs w:val="18"/>
                <w:vertAlign w:val="superscript"/>
              </w:rPr>
              <w:t>**</w:t>
            </w:r>
          </w:p>
        </w:tc>
        <w:tc>
          <w:tcPr>
            <w:tcW w:w="1148"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284"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0.005,0.070</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tcBorders>
              <w:bottom w:val="single" w:color="auto"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作用机制效应</w:t>
            </w:r>
          </w:p>
        </w:tc>
        <w:tc>
          <w:tcPr>
            <w:tcW w:w="889" w:type="dxa"/>
            <w:tcBorders>
              <w:left w:val="single" w:color="000000"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0.00</w:t>
            </w:r>
            <w:r>
              <w:rPr>
                <w:rFonts w:ascii="Times New Roman" w:eastAsia="宋体"/>
                <w:sz w:val="18"/>
                <w:szCs w:val="18"/>
              </w:rPr>
              <w:t>7</w:t>
            </w:r>
            <w:r>
              <w:rPr>
                <w:rFonts w:hint="eastAsia" w:ascii="Times New Roman" w:eastAsia="宋体"/>
                <w:sz w:val="18"/>
                <w:szCs w:val="18"/>
                <w:vertAlign w:val="superscript"/>
              </w:rPr>
              <w:t>**</w:t>
            </w:r>
          </w:p>
        </w:tc>
        <w:tc>
          <w:tcPr>
            <w:tcW w:w="1096"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0.00</w:t>
            </w:r>
            <w:r>
              <w:rPr>
                <w:rFonts w:ascii="Times New Roman" w:eastAsia="宋体"/>
                <w:sz w:val="18"/>
                <w:szCs w:val="18"/>
              </w:rPr>
              <w:t>3</w:t>
            </w:r>
          </w:p>
        </w:tc>
        <w:tc>
          <w:tcPr>
            <w:tcW w:w="1465" w:type="dxa"/>
            <w:tcBorders>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0.001,0.012</w:t>
            </w:r>
            <w:r>
              <w:rPr>
                <w:rFonts w:hint="eastAsia" w:ascii="宋体" w:hAnsi="宋体" w:eastAsia="宋体" w:cs="宋体"/>
                <w:sz w:val="18"/>
                <w:szCs w:val="18"/>
              </w:rPr>
              <w:t>]</w:t>
            </w:r>
          </w:p>
        </w:tc>
        <w:tc>
          <w:tcPr>
            <w:tcW w:w="773" w:type="dxa"/>
            <w:tcBorders>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0.006</w:t>
            </w:r>
            <w:r>
              <w:rPr>
                <w:rFonts w:hint="eastAsia" w:ascii="Times New Roman" w:eastAsia="宋体"/>
                <w:sz w:val="18"/>
                <w:szCs w:val="18"/>
                <w:vertAlign w:val="superscript"/>
              </w:rPr>
              <w:t>*</w:t>
            </w:r>
          </w:p>
        </w:tc>
        <w:tc>
          <w:tcPr>
            <w:tcW w:w="1148"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0.003</w:t>
            </w:r>
          </w:p>
        </w:tc>
        <w:tc>
          <w:tcPr>
            <w:tcW w:w="1284"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hint="default" w:ascii="Times New Roman" w:hAnsi="Times New Roman" w:eastAsia="宋体" w:cs="Times New Roman"/>
                <w:sz w:val="18"/>
                <w:szCs w:val="18"/>
              </w:rPr>
              <w:t>−</w:t>
            </w:r>
            <w:r>
              <w:rPr>
                <w:rFonts w:ascii="Times New Roman" w:eastAsia="宋体"/>
                <w:sz w:val="18"/>
                <w:szCs w:val="18"/>
              </w:rPr>
              <w:t>0.001,0.013</w:t>
            </w:r>
            <w:r>
              <w:rPr>
                <w:rFonts w:hint="eastAsia" w:ascii="宋体" w:hAnsi="宋体" w:eastAsia="宋体" w:cs="宋体"/>
                <w:sz w:val="18"/>
                <w:szCs w:val="18"/>
              </w:rPr>
              <w:t>]</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lang w:eastAsia="zh-CN"/>
        </w:rPr>
      </w:pPr>
      <w:r>
        <w:rPr>
          <w:rFonts w:hint="eastAsia" w:eastAsia="黑体"/>
          <w:sz w:val="18"/>
          <w:szCs w:val="18"/>
        </w:rPr>
        <w:t>附表9</w:t>
      </w:r>
      <w:r>
        <w:rPr>
          <w:rFonts w:hint="eastAsia" w:eastAsia="黑体"/>
          <w:sz w:val="18"/>
          <w:szCs w:val="18"/>
          <w:lang w:eastAsia="zh-CN"/>
        </w:rPr>
        <w:t>（</w:t>
      </w:r>
      <w:r>
        <w:rPr>
          <w:rFonts w:hint="eastAsia" w:eastAsia="黑体"/>
          <w:sz w:val="18"/>
          <w:szCs w:val="18"/>
          <w:lang w:val="en-US" w:eastAsia="zh-CN"/>
        </w:rPr>
        <w:t>续</w:t>
      </w:r>
      <w:r>
        <w:rPr>
          <w:rFonts w:hint="eastAsia" w:eastAsia="黑体"/>
          <w:sz w:val="18"/>
          <w:szCs w:val="18"/>
          <w:lang w:eastAsia="zh-CN"/>
        </w:rPr>
        <w:t>）</w:t>
      </w:r>
    </w:p>
    <w:tbl>
      <w:tblPr>
        <w:tblStyle w:val="35"/>
        <w:tblW w:w="8568" w:type="dxa"/>
        <w:jc w:val="center"/>
        <w:tblInd w:w="-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13"/>
        <w:gridCol w:w="889"/>
        <w:gridCol w:w="1096"/>
        <w:gridCol w:w="1465"/>
        <w:gridCol w:w="773"/>
        <w:gridCol w:w="1148"/>
        <w:gridCol w:w="12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tcBorders>
              <w:top w:val="single" w:color="auto" w:sz="4" w:space="0"/>
              <w:bottom w:val="single" w:color="000000"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宽带中国试点总效应</w:t>
            </w:r>
          </w:p>
        </w:tc>
        <w:tc>
          <w:tcPr>
            <w:tcW w:w="889" w:type="dxa"/>
            <w:tcBorders>
              <w:top w:val="single" w:color="auto" w:sz="4" w:space="0"/>
              <w:left w:val="single" w:color="000000"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0.04</w:t>
            </w:r>
            <w:r>
              <w:rPr>
                <w:rFonts w:ascii="Times New Roman" w:eastAsia="宋体"/>
                <w:sz w:val="18"/>
                <w:szCs w:val="18"/>
              </w:rPr>
              <w:t>4</w:t>
            </w:r>
            <w:r>
              <w:rPr>
                <w:rFonts w:hint="eastAsia" w:ascii="Times New Roman" w:eastAsia="宋体"/>
                <w:sz w:val="18"/>
                <w:szCs w:val="18"/>
                <w:vertAlign w:val="superscript"/>
              </w:rPr>
              <w:t>**</w:t>
            </w:r>
          </w:p>
        </w:tc>
        <w:tc>
          <w:tcPr>
            <w:tcW w:w="1096" w:type="dxa"/>
            <w:tcBorders>
              <w:top w:val="single" w:color="auto"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0.017</w:t>
            </w:r>
          </w:p>
        </w:tc>
        <w:tc>
          <w:tcPr>
            <w:tcW w:w="1465" w:type="dxa"/>
            <w:tcBorders>
              <w:top w:val="single" w:color="auto" w:sz="4" w:space="0"/>
              <w:bottom w:val="single" w:color="000000"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0.010,0.078</w:t>
            </w:r>
            <w:r>
              <w:rPr>
                <w:rFonts w:hint="eastAsia" w:ascii="宋体" w:hAnsi="宋体" w:eastAsia="宋体" w:cs="宋体"/>
                <w:sz w:val="18"/>
                <w:szCs w:val="18"/>
              </w:rPr>
              <w:t>]</w:t>
            </w:r>
          </w:p>
        </w:tc>
        <w:tc>
          <w:tcPr>
            <w:tcW w:w="773" w:type="dxa"/>
            <w:tcBorders>
              <w:top w:val="single" w:color="auto" w:sz="4" w:space="0"/>
              <w:left w:val="single" w:color="auto"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.044</w:t>
            </w:r>
            <w:r>
              <w:rPr>
                <w:rFonts w:ascii="Times New Roman" w:eastAsia="宋体"/>
                <w:sz w:val="18"/>
                <w:szCs w:val="18"/>
                <w:vertAlign w:val="superscript"/>
              </w:rPr>
              <w:t>**</w:t>
            </w:r>
          </w:p>
        </w:tc>
        <w:tc>
          <w:tcPr>
            <w:tcW w:w="1148" w:type="dxa"/>
            <w:tcBorders>
              <w:top w:val="single" w:color="auto"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284" w:type="dxa"/>
            <w:tcBorders>
              <w:top w:val="single" w:color="auto"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0.010.0.078</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tcBorders>
              <w:top w:val="single" w:color="000000"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控制变量</w:t>
            </w:r>
          </w:p>
        </w:tc>
        <w:tc>
          <w:tcPr>
            <w:tcW w:w="3450" w:type="dxa"/>
            <w:gridSpan w:val="3"/>
            <w:tcBorders>
              <w:top w:val="single" w:color="000000" w:sz="4" w:space="0"/>
              <w:left w:val="single" w:color="000000"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205" w:type="dxa"/>
            <w:gridSpan w:val="3"/>
            <w:tcBorders>
              <w:top w:val="single" w:color="000000" w:sz="4" w:space="0"/>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tcBorders>
              <w:bottom w:val="nil"/>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企业固定效应</w:t>
            </w:r>
          </w:p>
        </w:tc>
        <w:tc>
          <w:tcPr>
            <w:tcW w:w="3450" w:type="dxa"/>
            <w:gridSpan w:val="3"/>
            <w:tcBorders>
              <w:left w:val="single" w:color="000000" w:sz="4" w:space="0"/>
              <w:bottom w:val="nil"/>
              <w:right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205" w:type="dxa"/>
            <w:gridSpan w:val="3"/>
            <w:tcBorders>
              <w:left w:val="single" w:color="auto" w:sz="4" w:space="0"/>
              <w:bottom w:val="nil"/>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3" w:type="dxa"/>
            <w:tcBorders>
              <w:top w:val="nil"/>
              <w:bottom w:val="single" w:color="auto" w:sz="12"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年份固定效应</w:t>
            </w:r>
          </w:p>
        </w:tc>
        <w:tc>
          <w:tcPr>
            <w:tcW w:w="3450" w:type="dxa"/>
            <w:gridSpan w:val="3"/>
            <w:tcBorders>
              <w:top w:val="nil"/>
              <w:left w:val="single" w:color="000000" w:sz="4" w:space="0"/>
              <w:bottom w:val="single" w:color="auto" w:sz="12" w:space="0"/>
              <w:right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205" w:type="dxa"/>
            <w:gridSpan w:val="3"/>
            <w:tcBorders>
              <w:top w:val="nil"/>
              <w:left w:val="single" w:color="auto" w:sz="4" w:space="0"/>
              <w:bottom w:val="single" w:color="auto" w:sz="12"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bl>
    <w:p>
      <w:pPr>
        <w:ind w:firstLine="332"/>
        <w:rPr>
          <w:sz w:val="18"/>
          <w:szCs w:val="18"/>
        </w:rPr>
      </w:pPr>
      <w:r>
        <w:rPr>
          <w:rFonts w:hint="eastAsia"/>
          <w:sz w:val="18"/>
          <w:szCs w:val="18"/>
        </w:rPr>
        <w:t>注：***、**和*分别表示在1%、5%和10%的水平上显著。</w:t>
      </w:r>
    </w:p>
    <w:p>
      <w:pPr>
        <w:keepNext w:val="0"/>
        <w:keepLines w:val="0"/>
        <w:pageBreakBefore w:val="0"/>
        <w:widowControl w:val="0"/>
        <w:kinsoku/>
        <w:wordWrap/>
        <w:overflowPunct/>
        <w:topLinePunct w:val="0"/>
        <w:autoSpaceDE/>
        <w:autoSpaceDN/>
        <w:bidi w:val="0"/>
        <w:adjustRightInd/>
        <w:snapToGrid/>
        <w:ind w:firstLine="334"/>
        <w:textAlignment w:val="auto"/>
        <w:rPr>
          <w:rFonts w:eastAsia="黑体"/>
          <w:sz w:val="18"/>
          <w:szCs w:val="18"/>
        </w:rPr>
      </w:pPr>
      <w:r>
        <w:rPr>
          <w:rFonts w:hint="eastAsia" w:eastAsia="黑体"/>
          <w:sz w:val="18"/>
          <w:szCs w:val="18"/>
        </w:rPr>
        <w:t>附表10</w:t>
      </w:r>
      <w:r>
        <w:rPr>
          <w:rFonts w:eastAsia="黑体"/>
          <w:sz w:val="18"/>
          <w:szCs w:val="18"/>
        </w:rPr>
        <w:t xml:space="preserve">                      </w:t>
      </w:r>
      <w:r>
        <w:rPr>
          <w:rFonts w:hint="eastAsia" w:eastAsia="黑体"/>
          <w:sz w:val="18"/>
          <w:szCs w:val="18"/>
        </w:rPr>
        <w:t xml:space="preserve"> </w:t>
      </w:r>
      <w:r>
        <w:rPr>
          <w:rFonts w:eastAsia="黑体"/>
          <w:sz w:val="18"/>
          <w:szCs w:val="18"/>
        </w:rPr>
        <w:t xml:space="preserve"> </w:t>
      </w:r>
      <w:r>
        <w:rPr>
          <w:rFonts w:hint="eastAsia" w:eastAsia="黑体"/>
          <w:sz w:val="18"/>
          <w:szCs w:val="18"/>
        </w:rPr>
        <w:t xml:space="preserve"> </w:t>
      </w:r>
      <w:r>
        <w:rPr>
          <w:rFonts w:eastAsia="黑体"/>
          <w:sz w:val="18"/>
          <w:szCs w:val="18"/>
        </w:rPr>
        <w:t xml:space="preserve">  </w:t>
      </w:r>
      <w:r>
        <w:rPr>
          <w:rFonts w:hint="eastAsia" w:eastAsia="黑体"/>
          <w:sz w:val="18"/>
          <w:szCs w:val="18"/>
        </w:rPr>
        <w:t xml:space="preserve">   交易不确定性视角作用机制</w:t>
      </w:r>
    </w:p>
    <w:tbl>
      <w:tblPr>
        <w:tblStyle w:val="35"/>
        <w:tblW w:w="859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24"/>
        <w:gridCol w:w="981"/>
        <w:gridCol w:w="1096"/>
        <w:gridCol w:w="1408"/>
        <w:gridCol w:w="807"/>
        <w:gridCol w:w="1086"/>
        <w:gridCol w:w="12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vMerge w:val="restart"/>
            <w:tcBorders>
              <w:top w:val="single" w:color="auto" w:sz="12"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作用机制</w:t>
            </w:r>
          </w:p>
        </w:tc>
        <w:tc>
          <w:tcPr>
            <w:tcW w:w="6666" w:type="dxa"/>
            <w:gridSpan w:val="6"/>
            <w:tcBorders>
              <w:top w:val="single" w:color="auto" w:sz="12" w:space="0"/>
              <w:left w:val="single" w:color="000000"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联农带农效益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vMerge w:val="continue"/>
            <w:tcBorders>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p>
        </w:tc>
        <w:tc>
          <w:tcPr>
            <w:tcW w:w="3485" w:type="dxa"/>
            <w:gridSpan w:val="3"/>
            <w:tcBorders>
              <w:top w:val="single" w:color="auto" w:sz="4" w:space="0"/>
              <w:left w:val="single" w:color="000000"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供需稳定性</w:t>
            </w:r>
          </w:p>
        </w:tc>
        <w:tc>
          <w:tcPr>
            <w:tcW w:w="3181" w:type="dxa"/>
            <w:gridSpan w:val="3"/>
            <w:tcBorders>
              <w:top w:val="single" w:color="auto" w:sz="4" w:space="0"/>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长期合作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vMerge w:val="continue"/>
            <w:tcBorders>
              <w:bottom w:val="single" w:color="auto"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p>
        </w:tc>
        <w:tc>
          <w:tcPr>
            <w:tcW w:w="981" w:type="dxa"/>
            <w:tcBorders>
              <w:top w:val="single" w:color="auto" w:sz="4" w:space="0"/>
              <w:left w:val="single" w:color="000000"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系数</w:t>
            </w:r>
          </w:p>
        </w:tc>
        <w:tc>
          <w:tcPr>
            <w:tcW w:w="1096"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稳健标准误</w:t>
            </w:r>
          </w:p>
        </w:tc>
        <w:tc>
          <w:tcPr>
            <w:tcW w:w="1408" w:type="dxa"/>
            <w:tcBorders>
              <w:top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95%置信区间</w:t>
            </w:r>
          </w:p>
        </w:tc>
        <w:tc>
          <w:tcPr>
            <w:tcW w:w="807" w:type="dxa"/>
            <w:tcBorders>
              <w:top w:val="single" w:color="auto" w:sz="4" w:space="0"/>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系数</w:t>
            </w:r>
          </w:p>
        </w:tc>
        <w:tc>
          <w:tcPr>
            <w:tcW w:w="1086"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稳健标准误</w:t>
            </w:r>
          </w:p>
        </w:tc>
        <w:tc>
          <w:tcPr>
            <w:tcW w:w="1288"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95%置信区间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tcBorders>
              <w:top w:val="single" w:color="auto"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宽带中国试点直接效应</w:t>
            </w:r>
          </w:p>
        </w:tc>
        <w:tc>
          <w:tcPr>
            <w:tcW w:w="981" w:type="dxa"/>
            <w:tcBorders>
              <w:top w:val="single" w:color="auto" w:sz="4" w:space="0"/>
              <w:lef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.038</w:t>
            </w:r>
            <w:r>
              <w:rPr>
                <w:rFonts w:ascii="Times New Roman" w:eastAsia="宋体"/>
                <w:sz w:val="18"/>
                <w:szCs w:val="18"/>
                <w:vertAlign w:val="superscript"/>
              </w:rPr>
              <w:t>**</w:t>
            </w:r>
          </w:p>
        </w:tc>
        <w:tc>
          <w:tcPr>
            <w:tcW w:w="1096"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408" w:type="dxa"/>
            <w:tcBorders>
              <w:top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0.004,0.071</w:t>
            </w:r>
            <w:r>
              <w:rPr>
                <w:rFonts w:hint="eastAsia" w:ascii="宋体" w:hAnsi="宋体" w:eastAsia="宋体" w:cs="宋体"/>
                <w:sz w:val="18"/>
                <w:szCs w:val="18"/>
              </w:rPr>
              <w:t>]</w:t>
            </w:r>
          </w:p>
        </w:tc>
        <w:tc>
          <w:tcPr>
            <w:tcW w:w="807" w:type="dxa"/>
            <w:tcBorders>
              <w:top w:val="single" w:color="auto" w:sz="4" w:space="0"/>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.041</w:t>
            </w:r>
            <w:r>
              <w:rPr>
                <w:rFonts w:ascii="Times New Roman" w:eastAsia="宋体"/>
                <w:sz w:val="18"/>
                <w:szCs w:val="18"/>
                <w:vertAlign w:val="superscript"/>
              </w:rPr>
              <w:t>**</w:t>
            </w:r>
          </w:p>
        </w:tc>
        <w:tc>
          <w:tcPr>
            <w:tcW w:w="1086"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288"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0.008,0,075</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tcBorders>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作用机制效应</w:t>
            </w:r>
          </w:p>
        </w:tc>
        <w:tc>
          <w:tcPr>
            <w:tcW w:w="981" w:type="dxa"/>
            <w:tcBorders>
              <w:lef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.004</w:t>
            </w:r>
            <w:r>
              <w:rPr>
                <w:rFonts w:ascii="Times New Roman" w:eastAsia="宋体"/>
                <w:sz w:val="18"/>
                <w:szCs w:val="18"/>
                <w:vertAlign w:val="superscript"/>
              </w:rPr>
              <w:t>*</w:t>
            </w:r>
          </w:p>
        </w:tc>
        <w:tc>
          <w:tcPr>
            <w:tcW w:w="109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.003</w:t>
            </w:r>
          </w:p>
        </w:tc>
        <w:tc>
          <w:tcPr>
            <w:tcW w:w="1408" w:type="dxa"/>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cs="Times New Roman"/>
                <w:sz w:val="18"/>
                <w:szCs w:val="18"/>
                <w:lang w:bidi="ar"/>
              </w:rPr>
              <w:t>−</w:t>
            </w:r>
            <w:r>
              <w:rPr>
                <w:rFonts w:ascii="Times New Roman" w:eastAsia="宋体"/>
                <w:sz w:val="18"/>
                <w:szCs w:val="18"/>
              </w:rPr>
              <w:t>0.001,0.009</w:t>
            </w:r>
            <w:r>
              <w:rPr>
                <w:rFonts w:hint="eastAsia" w:ascii="宋体" w:hAnsi="宋体" w:eastAsia="宋体" w:cs="宋体"/>
                <w:sz w:val="18"/>
                <w:szCs w:val="18"/>
              </w:rPr>
              <w:t>]</w:t>
            </w:r>
          </w:p>
        </w:tc>
        <w:tc>
          <w:tcPr>
            <w:tcW w:w="807" w:type="dxa"/>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.0001</w:t>
            </w:r>
          </w:p>
        </w:tc>
        <w:tc>
          <w:tcPr>
            <w:tcW w:w="108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.001</w:t>
            </w:r>
          </w:p>
        </w:tc>
        <w:tc>
          <w:tcPr>
            <w:tcW w:w="1288"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cs="Times New Roman"/>
                <w:sz w:val="18"/>
                <w:szCs w:val="18"/>
                <w:lang w:bidi="ar"/>
              </w:rPr>
              <w:t>−</w:t>
            </w:r>
            <w:r>
              <w:rPr>
                <w:rFonts w:ascii="Times New Roman" w:eastAsia="宋体"/>
                <w:sz w:val="18"/>
                <w:szCs w:val="18"/>
              </w:rPr>
              <w:t>0.001,0.001</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tcBorders>
              <w:bottom w:val="single" w:color="000000"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宽带中国试点总效应</w:t>
            </w:r>
          </w:p>
        </w:tc>
        <w:tc>
          <w:tcPr>
            <w:tcW w:w="981" w:type="dxa"/>
            <w:tcBorders>
              <w:left w:val="single" w:color="000000"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.042</w:t>
            </w:r>
            <w:r>
              <w:rPr>
                <w:rFonts w:ascii="Times New Roman" w:eastAsia="宋体"/>
                <w:sz w:val="18"/>
                <w:szCs w:val="18"/>
                <w:vertAlign w:val="superscript"/>
              </w:rPr>
              <w:t>**</w:t>
            </w:r>
          </w:p>
        </w:tc>
        <w:tc>
          <w:tcPr>
            <w:tcW w:w="1096" w:type="dxa"/>
            <w:tcBorders>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408" w:type="dxa"/>
            <w:tcBorders>
              <w:bottom w:val="single" w:color="000000"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0.008,0.076</w:t>
            </w:r>
            <w:r>
              <w:rPr>
                <w:rFonts w:hint="eastAsia" w:ascii="宋体" w:hAnsi="宋体" w:eastAsia="宋体" w:cs="宋体"/>
                <w:sz w:val="18"/>
                <w:szCs w:val="18"/>
              </w:rPr>
              <w:t>]</w:t>
            </w:r>
          </w:p>
        </w:tc>
        <w:tc>
          <w:tcPr>
            <w:tcW w:w="807" w:type="dxa"/>
            <w:tcBorders>
              <w:left w:val="single" w:color="auto"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.042</w:t>
            </w:r>
            <w:r>
              <w:rPr>
                <w:rFonts w:ascii="Times New Roman" w:eastAsia="宋体"/>
                <w:sz w:val="18"/>
                <w:szCs w:val="18"/>
                <w:vertAlign w:val="superscript"/>
              </w:rPr>
              <w:t>**</w:t>
            </w:r>
          </w:p>
        </w:tc>
        <w:tc>
          <w:tcPr>
            <w:tcW w:w="1086" w:type="dxa"/>
            <w:tcBorders>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288" w:type="dxa"/>
            <w:tcBorders>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0.008,0.076</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tcBorders>
              <w:top w:val="single" w:color="000000"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控制变量</w:t>
            </w:r>
          </w:p>
        </w:tc>
        <w:tc>
          <w:tcPr>
            <w:tcW w:w="3485" w:type="dxa"/>
            <w:gridSpan w:val="3"/>
            <w:tcBorders>
              <w:top w:val="single" w:color="000000" w:sz="4" w:space="0"/>
              <w:left w:val="single" w:color="000000"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181" w:type="dxa"/>
            <w:gridSpan w:val="3"/>
            <w:tcBorders>
              <w:top w:val="single" w:color="000000" w:sz="4" w:space="0"/>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tcBorders>
              <w:bottom w:val="nil"/>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企业固定效应</w:t>
            </w:r>
          </w:p>
        </w:tc>
        <w:tc>
          <w:tcPr>
            <w:tcW w:w="3485" w:type="dxa"/>
            <w:gridSpan w:val="3"/>
            <w:tcBorders>
              <w:left w:val="single" w:color="000000" w:sz="4" w:space="0"/>
              <w:bottom w:val="nil"/>
              <w:right w:val="single" w:color="auto" w:sz="4" w:space="0"/>
            </w:tcBorders>
            <w:shd w:val="clear" w:color="auto" w:fill="auto"/>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181" w:type="dxa"/>
            <w:gridSpan w:val="3"/>
            <w:tcBorders>
              <w:left w:val="single" w:color="auto" w:sz="4" w:space="0"/>
              <w:bottom w:val="nil"/>
            </w:tcBorders>
            <w:shd w:val="clear" w:color="auto" w:fill="auto"/>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24" w:type="dxa"/>
            <w:tcBorders>
              <w:top w:val="nil"/>
              <w:bottom w:val="single" w:color="auto" w:sz="12"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年份固定效应</w:t>
            </w:r>
          </w:p>
        </w:tc>
        <w:tc>
          <w:tcPr>
            <w:tcW w:w="3485" w:type="dxa"/>
            <w:gridSpan w:val="3"/>
            <w:tcBorders>
              <w:top w:val="nil"/>
              <w:left w:val="single" w:color="000000" w:sz="4" w:space="0"/>
              <w:bottom w:val="single" w:color="auto" w:sz="12" w:space="0"/>
              <w:right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181" w:type="dxa"/>
            <w:gridSpan w:val="3"/>
            <w:tcBorders>
              <w:top w:val="nil"/>
              <w:left w:val="single" w:color="auto" w:sz="4" w:space="0"/>
              <w:bottom w:val="single" w:color="auto" w:sz="12"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bl>
    <w:p>
      <w:pPr>
        <w:ind w:firstLine="332"/>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注：***、**和*分别表示在1%、5%和10%的水平上显著。</w:t>
      </w:r>
    </w:p>
    <w:p>
      <w:pPr>
        <w:ind w:firstLine="332"/>
        <w:rPr>
          <w:sz w:val="18"/>
          <w:szCs w:val="18"/>
        </w:rPr>
      </w:pPr>
      <w:r>
        <w:rPr>
          <w:rFonts w:hint="eastAsia" w:ascii="黑体" w:hAnsi="黑体" w:eastAsia="黑体"/>
          <w:sz w:val="18"/>
          <w:szCs w:val="18"/>
        </w:rPr>
        <w:t>附表</w:t>
      </w:r>
      <w:r>
        <w:rPr>
          <w:rFonts w:eastAsia="黑体" w:cs="Times New Roman"/>
          <w:sz w:val="18"/>
          <w:szCs w:val="18"/>
        </w:rPr>
        <w:t>1</w:t>
      </w:r>
      <w:r>
        <w:rPr>
          <w:rFonts w:hint="eastAsia" w:eastAsia="黑体" w:cs="Times New Roman"/>
          <w:sz w:val="18"/>
          <w:szCs w:val="18"/>
        </w:rPr>
        <w:t>1</w:t>
      </w:r>
      <w:r>
        <w:rPr>
          <w:rFonts w:ascii="黑体" w:hAnsi="黑体" w:eastAsia="黑体"/>
          <w:sz w:val="18"/>
          <w:szCs w:val="18"/>
        </w:rPr>
        <w:t xml:space="preserve">                   </w:t>
      </w:r>
      <w:r>
        <w:rPr>
          <w:rFonts w:hint="eastAsia" w:ascii="黑体" w:hAnsi="黑体"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 xml:space="preserve">   </w:t>
      </w:r>
      <w:r>
        <w:rPr>
          <w:rFonts w:ascii="黑体" w:hAnsi="黑体" w:eastAsia="黑体"/>
          <w:sz w:val="18"/>
          <w:szCs w:val="18"/>
        </w:rPr>
        <w:t xml:space="preserve">  </w:t>
      </w:r>
      <w:r>
        <w:rPr>
          <w:rFonts w:hint="eastAsia" w:ascii="黑体" w:hAnsi="黑体" w:eastAsia="黑体"/>
          <w:sz w:val="18"/>
          <w:szCs w:val="18"/>
        </w:rPr>
        <w:t>高交易频率视角作用机制</w:t>
      </w:r>
    </w:p>
    <w:tbl>
      <w:tblPr>
        <w:tblStyle w:val="35"/>
        <w:tblW w:w="8550" w:type="dxa"/>
        <w:jc w:val="center"/>
        <w:tblInd w:w="-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16"/>
        <w:gridCol w:w="900"/>
        <w:gridCol w:w="1061"/>
        <w:gridCol w:w="1385"/>
        <w:gridCol w:w="831"/>
        <w:gridCol w:w="1084"/>
        <w:gridCol w:w="13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vMerge w:val="restart"/>
            <w:tcBorders>
              <w:top w:val="single" w:color="auto" w:sz="12"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392" w:firstLine="0"/>
              <w:textAlignment w:val="auto"/>
              <w:rPr>
                <w:rFonts w:ascii="Times New Roman" w:eastAsia="宋体"/>
                <w:sz w:val="18"/>
                <w:szCs w:val="18"/>
              </w:rPr>
            </w:pPr>
            <w:r>
              <w:rPr>
                <w:rFonts w:hint="eastAsia" w:ascii="Times New Roman" w:eastAsia="宋体"/>
                <w:sz w:val="18"/>
                <w:szCs w:val="18"/>
              </w:rPr>
              <w:t>作用机制</w:t>
            </w:r>
          </w:p>
        </w:tc>
        <w:tc>
          <w:tcPr>
            <w:tcW w:w="6634" w:type="dxa"/>
            <w:gridSpan w:val="6"/>
            <w:tcBorders>
              <w:top w:val="single" w:color="auto" w:sz="12" w:space="0"/>
              <w:left w:val="single" w:color="000000"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联农带农效益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vMerge w:val="continue"/>
            <w:tcBorders>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p>
        </w:tc>
        <w:tc>
          <w:tcPr>
            <w:tcW w:w="3346" w:type="dxa"/>
            <w:gridSpan w:val="3"/>
            <w:tcBorders>
              <w:top w:val="single" w:color="auto" w:sz="4" w:space="0"/>
              <w:left w:val="single" w:color="000000"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交易频率</w:t>
            </w:r>
          </w:p>
        </w:tc>
        <w:tc>
          <w:tcPr>
            <w:tcW w:w="3288" w:type="dxa"/>
            <w:gridSpan w:val="3"/>
            <w:tcBorders>
              <w:top w:val="single" w:color="auto" w:sz="4" w:space="0"/>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管理效率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vMerge w:val="continue"/>
            <w:tcBorders>
              <w:bottom w:val="single" w:color="auto"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p>
        </w:tc>
        <w:tc>
          <w:tcPr>
            <w:tcW w:w="900" w:type="dxa"/>
            <w:tcBorders>
              <w:top w:val="single" w:color="auto" w:sz="4" w:space="0"/>
              <w:left w:val="single" w:color="000000"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系数</w:t>
            </w:r>
          </w:p>
        </w:tc>
        <w:tc>
          <w:tcPr>
            <w:tcW w:w="1061"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稳健标准误</w:t>
            </w:r>
          </w:p>
        </w:tc>
        <w:tc>
          <w:tcPr>
            <w:tcW w:w="1385" w:type="dxa"/>
            <w:tcBorders>
              <w:top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95%置信区间</w:t>
            </w:r>
          </w:p>
        </w:tc>
        <w:tc>
          <w:tcPr>
            <w:tcW w:w="831" w:type="dxa"/>
            <w:tcBorders>
              <w:top w:val="single" w:color="auto" w:sz="4" w:space="0"/>
              <w:left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系数</w:t>
            </w:r>
          </w:p>
        </w:tc>
        <w:tc>
          <w:tcPr>
            <w:tcW w:w="1084"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稳健标准误</w:t>
            </w:r>
          </w:p>
        </w:tc>
        <w:tc>
          <w:tcPr>
            <w:tcW w:w="1373"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95%置信区间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tcBorders>
              <w:top w:val="single" w:color="auto"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宽带中国试点直接效应</w:t>
            </w:r>
          </w:p>
        </w:tc>
        <w:tc>
          <w:tcPr>
            <w:tcW w:w="900" w:type="dxa"/>
            <w:tcBorders>
              <w:top w:val="single" w:color="auto" w:sz="4" w:space="0"/>
              <w:lef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0.040</w:t>
            </w:r>
            <w:r>
              <w:rPr>
                <w:rFonts w:hint="eastAsia" w:ascii="Times New Roman" w:eastAsia="宋体"/>
                <w:sz w:val="18"/>
                <w:szCs w:val="18"/>
                <w:vertAlign w:val="superscript"/>
              </w:rPr>
              <w:t>**</w:t>
            </w:r>
          </w:p>
        </w:tc>
        <w:tc>
          <w:tcPr>
            <w:tcW w:w="1061"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0.017</w:t>
            </w:r>
          </w:p>
        </w:tc>
        <w:tc>
          <w:tcPr>
            <w:tcW w:w="1385" w:type="dxa"/>
            <w:tcBorders>
              <w:top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0.006,0.074</w:t>
            </w:r>
            <w:r>
              <w:rPr>
                <w:rFonts w:hint="eastAsia" w:ascii="宋体" w:hAnsi="宋体" w:eastAsia="宋体" w:cs="宋体"/>
                <w:sz w:val="18"/>
                <w:szCs w:val="18"/>
              </w:rPr>
              <w:t>]</w:t>
            </w:r>
          </w:p>
        </w:tc>
        <w:tc>
          <w:tcPr>
            <w:tcW w:w="831" w:type="dxa"/>
            <w:tcBorders>
              <w:top w:val="single" w:color="auto" w:sz="4" w:space="0"/>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.052</w:t>
            </w:r>
            <w:r>
              <w:rPr>
                <w:rFonts w:ascii="Times New Roman" w:eastAsia="宋体"/>
                <w:sz w:val="18"/>
                <w:szCs w:val="18"/>
                <w:vertAlign w:val="superscript"/>
              </w:rPr>
              <w:t>***</w:t>
            </w:r>
          </w:p>
        </w:tc>
        <w:tc>
          <w:tcPr>
            <w:tcW w:w="1084"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373"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0.019,0.086</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tcBorders>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作用机制效应</w:t>
            </w:r>
          </w:p>
        </w:tc>
        <w:tc>
          <w:tcPr>
            <w:tcW w:w="900" w:type="dxa"/>
            <w:tcBorders>
              <w:lef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ascii="Times New Roman" w:eastAsia="宋体" w:cs="Times New Roman"/>
                <w:sz w:val="18"/>
                <w:szCs w:val="18"/>
                <w:lang w:bidi="ar"/>
              </w:rPr>
              <w:t>−</w:t>
            </w:r>
            <w:r>
              <w:rPr>
                <w:rFonts w:ascii="Times New Roman" w:eastAsia="宋体"/>
                <w:sz w:val="18"/>
                <w:szCs w:val="18"/>
              </w:rPr>
              <w:t>0.0002</w:t>
            </w:r>
          </w:p>
        </w:tc>
        <w:tc>
          <w:tcPr>
            <w:tcW w:w="1061"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.000</w:t>
            </w:r>
            <w:r>
              <w:rPr>
                <w:rFonts w:hint="eastAsia" w:ascii="Times New Roman" w:eastAsia="宋体"/>
                <w:sz w:val="18"/>
                <w:szCs w:val="18"/>
              </w:rPr>
              <w:t>3</w:t>
            </w:r>
          </w:p>
        </w:tc>
        <w:tc>
          <w:tcPr>
            <w:tcW w:w="1385" w:type="dxa"/>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cs="Times New Roman"/>
                <w:sz w:val="18"/>
                <w:szCs w:val="18"/>
                <w:lang w:bidi="ar"/>
              </w:rPr>
              <w:t>−</w:t>
            </w:r>
            <w:r>
              <w:rPr>
                <w:rFonts w:ascii="Times New Roman" w:eastAsia="宋体"/>
                <w:sz w:val="18"/>
                <w:szCs w:val="18"/>
              </w:rPr>
              <w:t>0.001,0.0003</w:t>
            </w:r>
            <w:r>
              <w:rPr>
                <w:rFonts w:hint="eastAsia" w:ascii="宋体" w:hAnsi="宋体" w:eastAsia="宋体" w:cs="宋体"/>
                <w:sz w:val="18"/>
                <w:szCs w:val="18"/>
              </w:rPr>
              <w:t>]</w:t>
            </w:r>
          </w:p>
        </w:tc>
        <w:tc>
          <w:tcPr>
            <w:tcW w:w="831" w:type="dxa"/>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ascii="Times New Roman" w:eastAsia="宋体" w:cs="Times New Roman"/>
                <w:sz w:val="18"/>
                <w:szCs w:val="18"/>
                <w:lang w:bidi="ar"/>
              </w:rPr>
              <w:t>−</w:t>
            </w:r>
            <w:r>
              <w:rPr>
                <w:rFonts w:ascii="Times New Roman" w:eastAsia="宋体"/>
                <w:sz w:val="18"/>
                <w:szCs w:val="18"/>
              </w:rPr>
              <w:t>0.008</w:t>
            </w:r>
            <w:r>
              <w:rPr>
                <w:rFonts w:ascii="Times New Roman" w:eastAsia="宋体"/>
                <w:sz w:val="18"/>
                <w:szCs w:val="18"/>
                <w:vertAlign w:val="superscript"/>
              </w:rPr>
              <w:t>**</w:t>
            </w:r>
          </w:p>
        </w:tc>
        <w:tc>
          <w:tcPr>
            <w:tcW w:w="1084"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.003</w:t>
            </w:r>
          </w:p>
        </w:tc>
        <w:tc>
          <w:tcPr>
            <w:tcW w:w="1373"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cs="Times New Roman"/>
                <w:sz w:val="18"/>
                <w:szCs w:val="18"/>
                <w:lang w:bidi="ar"/>
              </w:rPr>
              <w:t>−</w:t>
            </w:r>
            <w:r>
              <w:rPr>
                <w:rFonts w:ascii="Times New Roman" w:eastAsia="宋体"/>
                <w:sz w:val="18"/>
                <w:szCs w:val="18"/>
              </w:rPr>
              <w:t>0.015,</w:t>
            </w:r>
            <w:r>
              <w:rPr>
                <w:rFonts w:ascii="Times New Roman" w:eastAsia="宋体" w:cs="Times New Roman"/>
                <w:sz w:val="18"/>
                <w:szCs w:val="18"/>
                <w:lang w:bidi="ar"/>
              </w:rPr>
              <w:t>−</w:t>
            </w:r>
            <w:r>
              <w:rPr>
                <w:rFonts w:ascii="Times New Roman" w:eastAsia="宋体"/>
                <w:sz w:val="18"/>
                <w:szCs w:val="18"/>
              </w:rPr>
              <w:t>0.001</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tcBorders>
              <w:bottom w:val="single" w:color="000000"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宽带中国试点总效应</w:t>
            </w:r>
          </w:p>
        </w:tc>
        <w:tc>
          <w:tcPr>
            <w:tcW w:w="900" w:type="dxa"/>
            <w:tcBorders>
              <w:left w:val="single" w:color="000000"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.040</w:t>
            </w:r>
            <w:r>
              <w:rPr>
                <w:rFonts w:ascii="Times New Roman" w:eastAsia="宋体"/>
                <w:sz w:val="18"/>
                <w:szCs w:val="18"/>
                <w:vertAlign w:val="superscript"/>
              </w:rPr>
              <w:t>**</w:t>
            </w:r>
          </w:p>
        </w:tc>
        <w:tc>
          <w:tcPr>
            <w:tcW w:w="1061" w:type="dxa"/>
            <w:tcBorders>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385" w:type="dxa"/>
            <w:tcBorders>
              <w:bottom w:val="single" w:color="000000"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0.006,0.074</w:t>
            </w:r>
            <w:r>
              <w:rPr>
                <w:rFonts w:hint="eastAsia" w:ascii="宋体" w:hAnsi="宋体" w:eastAsia="宋体" w:cs="宋体"/>
                <w:sz w:val="18"/>
                <w:szCs w:val="18"/>
              </w:rPr>
              <w:t>]</w:t>
            </w:r>
          </w:p>
        </w:tc>
        <w:tc>
          <w:tcPr>
            <w:tcW w:w="831" w:type="dxa"/>
            <w:tcBorders>
              <w:left w:val="single" w:color="auto" w:sz="4" w:space="0"/>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.044</w:t>
            </w:r>
            <w:r>
              <w:rPr>
                <w:rFonts w:ascii="Times New Roman" w:eastAsia="宋体"/>
                <w:sz w:val="18"/>
                <w:szCs w:val="18"/>
                <w:vertAlign w:val="superscript"/>
              </w:rPr>
              <w:t>**</w:t>
            </w:r>
          </w:p>
        </w:tc>
        <w:tc>
          <w:tcPr>
            <w:tcW w:w="1084" w:type="dxa"/>
            <w:tcBorders>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0</w:t>
            </w:r>
            <w:r>
              <w:rPr>
                <w:rFonts w:ascii="Times New Roman" w:eastAsia="宋体"/>
                <w:sz w:val="18"/>
                <w:szCs w:val="18"/>
              </w:rPr>
              <w:t>.017</w:t>
            </w:r>
          </w:p>
        </w:tc>
        <w:tc>
          <w:tcPr>
            <w:tcW w:w="1373" w:type="dxa"/>
            <w:tcBorders>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宋体" w:hAnsi="宋体" w:eastAsia="宋体" w:cs="宋体"/>
                <w:sz w:val="18"/>
                <w:szCs w:val="18"/>
                <w:lang w:eastAsia="zh-CN"/>
              </w:rPr>
              <w:t>[</w:t>
            </w:r>
            <w:r>
              <w:rPr>
                <w:rFonts w:ascii="Times New Roman" w:eastAsia="宋体"/>
                <w:sz w:val="18"/>
                <w:szCs w:val="18"/>
              </w:rPr>
              <w:t>0.010,0.078</w:t>
            </w:r>
            <w:r>
              <w:rPr>
                <w:rFonts w:hint="eastAsia" w:ascii="宋体" w:hAnsi="宋体" w:eastAsia="宋体" w:cs="宋体"/>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tcBorders>
              <w:top w:val="single" w:color="000000" w:sz="4"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控制变量</w:t>
            </w:r>
          </w:p>
        </w:tc>
        <w:tc>
          <w:tcPr>
            <w:tcW w:w="3346" w:type="dxa"/>
            <w:gridSpan w:val="3"/>
            <w:tcBorders>
              <w:top w:val="single" w:color="000000" w:sz="4" w:space="0"/>
              <w:left w:val="single" w:color="000000"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288" w:type="dxa"/>
            <w:gridSpan w:val="3"/>
            <w:tcBorders>
              <w:top w:val="single" w:color="000000" w:sz="4" w:space="0"/>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tcBorders>
              <w:bottom w:val="nil"/>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企业固定效应</w:t>
            </w:r>
          </w:p>
        </w:tc>
        <w:tc>
          <w:tcPr>
            <w:tcW w:w="3346" w:type="dxa"/>
            <w:gridSpan w:val="3"/>
            <w:tcBorders>
              <w:left w:val="single" w:color="000000" w:sz="4" w:space="0"/>
              <w:bottom w:val="nil"/>
              <w:right w:val="single" w:color="auto" w:sz="4" w:space="0"/>
            </w:tcBorders>
            <w:shd w:val="clear" w:color="auto" w:fill="auto"/>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288" w:type="dxa"/>
            <w:gridSpan w:val="3"/>
            <w:tcBorders>
              <w:left w:val="single" w:color="auto" w:sz="4" w:space="0"/>
              <w:bottom w:val="nil"/>
            </w:tcBorders>
            <w:shd w:val="clear" w:color="auto" w:fill="auto"/>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916" w:type="dxa"/>
            <w:tcBorders>
              <w:top w:val="nil"/>
              <w:bottom w:val="single" w:color="auto" w:sz="12" w:space="0"/>
              <w:right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textAlignment w:val="auto"/>
              <w:rPr>
                <w:rFonts w:ascii="Times New Roman" w:eastAsia="宋体"/>
                <w:sz w:val="18"/>
                <w:szCs w:val="18"/>
              </w:rPr>
            </w:pPr>
            <w:r>
              <w:rPr>
                <w:rFonts w:hint="eastAsia" w:ascii="Times New Roman" w:eastAsia="宋体"/>
                <w:sz w:val="18"/>
                <w:szCs w:val="18"/>
              </w:rPr>
              <w:t>年份固定效应</w:t>
            </w:r>
          </w:p>
        </w:tc>
        <w:tc>
          <w:tcPr>
            <w:tcW w:w="3346" w:type="dxa"/>
            <w:gridSpan w:val="3"/>
            <w:tcBorders>
              <w:top w:val="nil"/>
              <w:left w:val="single" w:color="000000" w:sz="4" w:space="0"/>
              <w:bottom w:val="single" w:color="auto" w:sz="12" w:space="0"/>
              <w:right w:val="single" w:color="auto" w:sz="4"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c>
          <w:tcPr>
            <w:tcW w:w="3288" w:type="dxa"/>
            <w:gridSpan w:val="3"/>
            <w:tcBorders>
              <w:top w:val="nil"/>
              <w:left w:val="single" w:color="auto" w:sz="4" w:space="0"/>
              <w:bottom w:val="single" w:color="auto" w:sz="12" w:space="0"/>
            </w:tcBorders>
          </w:tcPr>
          <w:p>
            <w:pPr>
              <w:pStyle w:val="2"/>
              <w:keepNext w:val="0"/>
              <w:keepLines w:val="0"/>
              <w:pageBreakBefore w:val="0"/>
              <w:widowControl w:val="0"/>
              <w:kinsoku/>
              <w:wordWrap/>
              <w:overflowPunct/>
              <w:topLinePunct w:val="0"/>
              <w:autoSpaceDE/>
              <w:autoSpaceDN/>
              <w:bidi w:val="0"/>
              <w:adjustRightInd/>
              <w:snapToGrid/>
              <w:spacing w:line="300" w:lineRule="exact"/>
              <w:ind w:leftChars="0" w:firstLine="0"/>
              <w:jc w:val="center"/>
              <w:textAlignment w:val="auto"/>
              <w:rPr>
                <w:rFonts w:ascii="Times New Roman" w:eastAsia="宋体"/>
                <w:sz w:val="18"/>
                <w:szCs w:val="18"/>
              </w:rPr>
            </w:pPr>
            <w:r>
              <w:rPr>
                <w:rFonts w:hint="eastAsia" w:ascii="Times New Roman" w:eastAsia="宋体"/>
                <w:sz w:val="18"/>
                <w:szCs w:val="18"/>
              </w:rPr>
              <w:t>已控制</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sz w:val="18"/>
          <w:szCs w:val="20"/>
        </w:rPr>
      </w:pPr>
      <w:r>
        <w:rPr>
          <w:rFonts w:hint="eastAsia"/>
          <w:sz w:val="18"/>
          <w:szCs w:val="20"/>
        </w:rPr>
        <w:t>注：***、**和*分别表示在1%、5%和10%的水平上显著。</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黑体" w:hAnsi="黑体" w:eastAsia="黑体" w:cs="黑体"/>
          <w:sz w:val="18"/>
          <w:szCs w:val="18"/>
        </w:rPr>
      </w:pPr>
      <w:r>
        <w:rPr>
          <w:rFonts w:hint="eastAsia" w:ascii="黑体" w:hAnsi="黑体" w:eastAsia="黑体" w:cs="黑体"/>
          <w:sz w:val="18"/>
          <w:szCs w:val="18"/>
        </w:rPr>
        <w:t>附表</w:t>
      </w:r>
      <w:r>
        <w:rPr>
          <w:rFonts w:eastAsia="黑体" w:cs="Times New Roman"/>
          <w:sz w:val="18"/>
          <w:szCs w:val="18"/>
        </w:rPr>
        <w:t>1</w:t>
      </w:r>
      <w:r>
        <w:rPr>
          <w:rFonts w:hint="eastAsia" w:eastAsia="黑体" w:cs="Times New Roman"/>
          <w:sz w:val="18"/>
          <w:szCs w:val="18"/>
        </w:rPr>
        <w:t>2</w:t>
      </w:r>
      <w:r>
        <w:rPr>
          <w:rFonts w:hint="eastAsia" w:ascii="黑体" w:hAnsi="黑体" w:eastAsia="黑体" w:cs="黑体"/>
          <w:sz w:val="18"/>
          <w:szCs w:val="18"/>
        </w:rPr>
        <w:t xml:space="preserve">                                  </w:t>
      </w:r>
      <w:r>
        <w:rPr>
          <w:rFonts w:ascii="黑体" w:hAnsi="黑体" w:eastAsia="黑体" w:cs="黑体"/>
          <w:sz w:val="18"/>
          <w:szCs w:val="18"/>
        </w:rPr>
        <w:t xml:space="preserve"> </w:t>
      </w:r>
      <w:r>
        <w:rPr>
          <w:rFonts w:hint="eastAsia" w:ascii="黑体" w:hAnsi="黑体" w:eastAsia="黑体" w:cs="黑体"/>
          <w:sz w:val="18"/>
          <w:szCs w:val="18"/>
        </w:rPr>
        <w:t>异质性分组回归结果</w:t>
      </w:r>
    </w:p>
    <w:tbl>
      <w:tblPr>
        <w:tblStyle w:val="35"/>
        <w:tblW w:w="867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7"/>
        <w:gridCol w:w="918"/>
        <w:gridCol w:w="932"/>
        <w:gridCol w:w="900"/>
        <w:gridCol w:w="842"/>
        <w:gridCol w:w="877"/>
        <w:gridCol w:w="865"/>
        <w:gridCol w:w="935"/>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vMerge w:val="restart"/>
            <w:tcBorders>
              <w:top w:val="single" w:color="000000" w:themeColor="text1" w:sz="12" w:space="0"/>
              <w:left w:val="nil"/>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异质性角度</w:t>
            </w:r>
          </w:p>
        </w:tc>
        <w:tc>
          <w:tcPr>
            <w:tcW w:w="7427" w:type="dxa"/>
            <w:gridSpan w:val="8"/>
            <w:tcBorders>
              <w:top w:val="single" w:color="000000" w:themeColor="text1" w:sz="12" w:space="0"/>
              <w:left w:val="single" w:color="000000" w:themeColor="text1"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联农带农效益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vMerge w:val="continue"/>
            <w:tcBorders>
              <w:left w:val="nil"/>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850" w:type="dxa"/>
            <w:gridSpan w:val="2"/>
            <w:tcBorders>
              <w:top w:val="single" w:color="auto" w:sz="4" w:space="0"/>
              <w:left w:val="single" w:color="000000" w:themeColor="text1"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市场垄断程度</w:t>
            </w:r>
          </w:p>
        </w:tc>
        <w:tc>
          <w:tcPr>
            <w:tcW w:w="174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企业规模</w:t>
            </w:r>
          </w:p>
        </w:tc>
        <w:tc>
          <w:tcPr>
            <w:tcW w:w="174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上市时间</w:t>
            </w:r>
          </w:p>
        </w:tc>
        <w:tc>
          <w:tcPr>
            <w:tcW w:w="2093" w:type="dxa"/>
            <w:gridSpan w:val="2"/>
            <w:tcBorders>
              <w:top w:val="single" w:color="auto" w:sz="4" w:space="0"/>
              <w:left w:val="single" w:color="auto" w:sz="4" w:space="0"/>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vMerge w:val="continue"/>
            <w:tcBorders>
              <w:left w:val="nil"/>
              <w:bottom w:val="single" w:color="auto" w:sz="4"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918" w:type="dxa"/>
            <w:tcBorders>
              <w:top w:val="single" w:color="auto" w:sz="4" w:space="0"/>
              <w:left w:val="single" w:color="000000" w:themeColor="text1" w:sz="4" w:space="0"/>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低垄断</w:t>
            </w:r>
          </w:p>
        </w:tc>
        <w:tc>
          <w:tcPr>
            <w:tcW w:w="932" w:type="dxa"/>
            <w:tcBorders>
              <w:top w:val="single" w:color="auto" w:sz="4" w:space="0"/>
              <w:left w:val="nil"/>
              <w:bottom w:val="single" w:color="auto"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（2）</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高垄断</w:t>
            </w:r>
          </w:p>
        </w:tc>
        <w:tc>
          <w:tcPr>
            <w:tcW w:w="900" w:type="dxa"/>
            <w:tcBorders>
              <w:top w:val="single" w:color="auto" w:sz="4" w:space="0"/>
              <w:left w:val="single" w:color="000000" w:sz="4" w:space="0"/>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（3）</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小规模</w:t>
            </w:r>
          </w:p>
        </w:tc>
        <w:tc>
          <w:tcPr>
            <w:tcW w:w="842" w:type="dxa"/>
            <w:tcBorders>
              <w:top w:val="single" w:color="auto" w:sz="4" w:space="0"/>
              <w:left w:val="nil"/>
              <w:bottom w:val="single" w:color="auto"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（4）</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大规模</w:t>
            </w:r>
          </w:p>
        </w:tc>
        <w:tc>
          <w:tcPr>
            <w:tcW w:w="877" w:type="dxa"/>
            <w:tcBorders>
              <w:top w:val="single" w:color="auto" w:sz="4" w:space="0"/>
              <w:left w:val="single" w:color="000000" w:sz="4" w:space="0"/>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（5）</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5"/>
                <w:szCs w:val="15"/>
                <w:lang w:val="en-US" w:eastAsia="zh-CN"/>
              </w:rPr>
              <w:t>＜</w:t>
            </w:r>
            <w:r>
              <w:rPr>
                <w:rFonts w:hint="eastAsia"/>
                <w:sz w:val="18"/>
                <w:szCs w:val="18"/>
              </w:rPr>
              <w:t>10年</w:t>
            </w:r>
          </w:p>
        </w:tc>
        <w:tc>
          <w:tcPr>
            <w:tcW w:w="865" w:type="dxa"/>
            <w:tcBorders>
              <w:top w:val="single" w:color="auto" w:sz="4" w:space="0"/>
              <w:left w:val="nil"/>
              <w:bottom w:val="single" w:color="auto"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（6）</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5"/>
                <w:szCs w:val="15"/>
              </w:rPr>
              <w:t>≥</w:t>
            </w:r>
            <w:r>
              <w:rPr>
                <w:rFonts w:hint="eastAsia"/>
                <w:sz w:val="18"/>
                <w:szCs w:val="18"/>
              </w:rPr>
              <w:t>10年</w:t>
            </w:r>
          </w:p>
        </w:tc>
        <w:tc>
          <w:tcPr>
            <w:tcW w:w="935" w:type="dxa"/>
            <w:tcBorders>
              <w:top w:val="single" w:color="auto" w:sz="4" w:space="0"/>
              <w:left w:val="single" w:color="000000" w:sz="4" w:space="0"/>
              <w:bottom w:val="single" w:color="auto"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（7）</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lang w:val="en-US" w:eastAsia="zh-CN"/>
              </w:rPr>
              <w:t>第一产业</w:t>
            </w:r>
          </w:p>
        </w:tc>
        <w:tc>
          <w:tcPr>
            <w:tcW w:w="1158" w:type="dxa"/>
            <w:tcBorders>
              <w:top w:val="single" w:color="auto" w:sz="4" w:space="0"/>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（8）</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sz w:val="18"/>
                <w:szCs w:val="18"/>
                <w:lang w:val="en-US" w:eastAsia="zh-CN"/>
              </w:rPr>
            </w:pPr>
            <w:r>
              <w:rPr>
                <w:rFonts w:hint="eastAsia"/>
                <w:sz w:val="18"/>
                <w:szCs w:val="18"/>
                <w:lang w:val="en-US" w:eastAsia="zh-CN"/>
              </w:rPr>
              <w:t>第</w:t>
            </w:r>
            <w:r>
              <w:rPr>
                <w:rFonts w:hint="eastAsia"/>
                <w:sz w:val="18"/>
                <w:szCs w:val="18"/>
              </w:rPr>
              <w:t>二、三</w:t>
            </w:r>
            <w:r>
              <w:rPr>
                <w:rFonts w:hint="eastAsia"/>
                <w:sz w:val="18"/>
                <w:szCs w:val="18"/>
                <w:lang w:val="en-US" w:eastAsia="zh-CN"/>
              </w:rPr>
              <w:t>产业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top w:val="single" w:color="auto" w:sz="4" w:space="0"/>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w:t>
            </w:r>
          </w:p>
        </w:tc>
        <w:tc>
          <w:tcPr>
            <w:tcW w:w="918" w:type="dxa"/>
            <w:tcBorders>
              <w:top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vertAlign w:val="superscript"/>
              </w:rPr>
            </w:pPr>
            <w:r>
              <w:rPr>
                <w:rFonts w:hint="eastAsia"/>
                <w:sz w:val="18"/>
                <w:szCs w:val="18"/>
              </w:rPr>
              <w:t>0</w:t>
            </w:r>
            <w:r>
              <w:rPr>
                <w:sz w:val="18"/>
                <w:szCs w:val="18"/>
              </w:rPr>
              <w:t>.043</w:t>
            </w:r>
            <w:r>
              <w:rPr>
                <w:sz w:val="18"/>
                <w:szCs w:val="18"/>
                <w:vertAlign w:val="superscript"/>
              </w:rPr>
              <w:t>**</w:t>
            </w:r>
          </w:p>
        </w:tc>
        <w:tc>
          <w:tcPr>
            <w:tcW w:w="932" w:type="dxa"/>
            <w:tcBorders>
              <w:top w:val="single" w:color="auto" w:sz="4" w:space="0"/>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sz w:val="18"/>
                <w:szCs w:val="18"/>
              </w:rPr>
              <w:t>0.1</w:t>
            </w:r>
            <w:r>
              <w:rPr>
                <w:rFonts w:hint="eastAsia"/>
                <w:sz w:val="18"/>
                <w:szCs w:val="18"/>
              </w:rPr>
              <w:t>43</w:t>
            </w:r>
            <w:r>
              <w:rPr>
                <w:sz w:val="18"/>
                <w:szCs w:val="18"/>
                <w:vertAlign w:val="superscript"/>
              </w:rPr>
              <w:t>*</w:t>
            </w:r>
          </w:p>
        </w:tc>
        <w:tc>
          <w:tcPr>
            <w:tcW w:w="900" w:type="dxa"/>
            <w:tcBorders>
              <w:top w:val="single" w:color="auto" w:sz="4" w:space="0"/>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0.05</w:t>
            </w:r>
            <w:r>
              <w:rPr>
                <w:sz w:val="18"/>
                <w:szCs w:val="18"/>
              </w:rPr>
              <w:t>6</w:t>
            </w:r>
            <w:r>
              <w:rPr>
                <w:sz w:val="18"/>
                <w:szCs w:val="18"/>
                <w:vertAlign w:val="superscript"/>
              </w:rPr>
              <w:t>**</w:t>
            </w:r>
          </w:p>
        </w:tc>
        <w:tc>
          <w:tcPr>
            <w:tcW w:w="842" w:type="dxa"/>
            <w:tcBorders>
              <w:top w:val="single" w:color="auto" w:sz="4" w:space="0"/>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0.042</w:t>
            </w:r>
          </w:p>
        </w:tc>
        <w:tc>
          <w:tcPr>
            <w:tcW w:w="877" w:type="dxa"/>
            <w:tcBorders>
              <w:top w:val="single" w:color="auto" w:sz="4" w:space="0"/>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0.044</w:t>
            </w:r>
            <w:r>
              <w:rPr>
                <w:sz w:val="18"/>
                <w:szCs w:val="18"/>
                <w:vertAlign w:val="superscript"/>
              </w:rPr>
              <w:t>*</w:t>
            </w:r>
          </w:p>
        </w:tc>
        <w:tc>
          <w:tcPr>
            <w:tcW w:w="865" w:type="dxa"/>
            <w:tcBorders>
              <w:top w:val="single" w:color="auto" w:sz="4" w:space="0"/>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0.053</w:t>
            </w:r>
          </w:p>
        </w:tc>
        <w:tc>
          <w:tcPr>
            <w:tcW w:w="935" w:type="dxa"/>
            <w:tcBorders>
              <w:top w:val="single" w:color="auto" w:sz="4" w:space="0"/>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.087</w:t>
            </w:r>
            <w:r>
              <w:rPr>
                <w:sz w:val="18"/>
                <w:szCs w:val="18"/>
                <w:vertAlign w:val="superscript"/>
              </w:rPr>
              <w:t>*</w:t>
            </w:r>
          </w:p>
        </w:tc>
        <w:tc>
          <w:tcPr>
            <w:tcW w:w="1158" w:type="dxa"/>
            <w:tcBorders>
              <w:top w:val="single" w:color="auto" w:sz="4" w:space="0"/>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918"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w:t>
            </w:r>
            <w:r>
              <w:rPr>
                <w:sz w:val="18"/>
                <w:szCs w:val="18"/>
              </w:rPr>
              <w:t>0.022）</w:t>
            </w:r>
          </w:p>
        </w:tc>
        <w:tc>
          <w:tcPr>
            <w:tcW w:w="932"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w:t>
            </w:r>
            <w:r>
              <w:rPr>
                <w:sz w:val="18"/>
                <w:szCs w:val="18"/>
              </w:rPr>
              <w:t>0.077）</w:t>
            </w:r>
          </w:p>
        </w:tc>
        <w:tc>
          <w:tcPr>
            <w:tcW w:w="900"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w:t>
            </w:r>
            <w:r>
              <w:rPr>
                <w:sz w:val="18"/>
                <w:szCs w:val="18"/>
              </w:rPr>
              <w:t>5</w:t>
            </w:r>
            <w:r>
              <w:rPr>
                <w:rFonts w:hint="eastAsia"/>
                <w:sz w:val="18"/>
                <w:szCs w:val="18"/>
              </w:rPr>
              <w:t>）</w:t>
            </w:r>
          </w:p>
        </w:tc>
        <w:tc>
          <w:tcPr>
            <w:tcW w:w="842"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w:t>
            </w:r>
            <w:r>
              <w:rPr>
                <w:sz w:val="18"/>
                <w:szCs w:val="18"/>
              </w:rPr>
              <w:t>2</w:t>
            </w:r>
            <w:r>
              <w:rPr>
                <w:rFonts w:hint="eastAsia"/>
                <w:sz w:val="18"/>
                <w:szCs w:val="18"/>
              </w:rPr>
              <w:t>）</w:t>
            </w:r>
          </w:p>
        </w:tc>
        <w:tc>
          <w:tcPr>
            <w:tcW w:w="877"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（0.025）</w:t>
            </w:r>
          </w:p>
        </w:tc>
        <w:tc>
          <w:tcPr>
            <w:tcW w:w="865"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（0.03</w:t>
            </w:r>
            <w:r>
              <w:rPr>
                <w:sz w:val="18"/>
                <w:szCs w:val="18"/>
              </w:rPr>
              <w:t>4</w:t>
            </w:r>
            <w:r>
              <w:rPr>
                <w:rFonts w:hint="eastAsia"/>
                <w:sz w:val="18"/>
                <w:szCs w:val="18"/>
              </w:rPr>
              <w:t>）</w:t>
            </w:r>
          </w:p>
        </w:tc>
        <w:tc>
          <w:tcPr>
            <w:tcW w:w="935"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w:t>
            </w:r>
            <w:r>
              <w:rPr>
                <w:sz w:val="18"/>
                <w:szCs w:val="18"/>
              </w:rPr>
              <w:t>9</w:t>
            </w:r>
            <w:r>
              <w:rPr>
                <w:rFonts w:hint="eastAsia"/>
                <w:sz w:val="18"/>
                <w:szCs w:val="18"/>
              </w:rPr>
              <w:t>）</w:t>
            </w:r>
          </w:p>
        </w:tc>
        <w:tc>
          <w:tcPr>
            <w:tcW w:w="1158"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常数项</w:t>
            </w:r>
          </w:p>
        </w:tc>
        <w:tc>
          <w:tcPr>
            <w:tcW w:w="918"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vertAlign w:val="superscript"/>
              </w:rPr>
            </w:pPr>
            <w:r>
              <w:rPr>
                <w:rFonts w:hint="eastAsia"/>
                <w:sz w:val="18"/>
                <w:szCs w:val="18"/>
              </w:rPr>
              <w:t>0</w:t>
            </w:r>
            <w:r>
              <w:rPr>
                <w:sz w:val="18"/>
                <w:szCs w:val="18"/>
              </w:rPr>
              <w:t>.34</w:t>
            </w:r>
            <w:r>
              <w:rPr>
                <w:rFonts w:hint="eastAsia"/>
                <w:sz w:val="18"/>
                <w:szCs w:val="18"/>
              </w:rPr>
              <w:t>8</w:t>
            </w:r>
            <w:r>
              <w:rPr>
                <w:sz w:val="18"/>
                <w:szCs w:val="18"/>
                <w:vertAlign w:val="superscript"/>
              </w:rPr>
              <w:t>***</w:t>
            </w:r>
          </w:p>
        </w:tc>
        <w:tc>
          <w:tcPr>
            <w:tcW w:w="932"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0.0</w:t>
            </w:r>
            <w:r>
              <w:rPr>
                <w:rFonts w:hint="eastAsia"/>
                <w:sz w:val="18"/>
                <w:szCs w:val="18"/>
              </w:rPr>
              <w:t xml:space="preserve">28 </w:t>
            </w:r>
          </w:p>
        </w:tc>
        <w:tc>
          <w:tcPr>
            <w:tcW w:w="900"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0.307</w:t>
            </w:r>
            <w:r>
              <w:rPr>
                <w:sz w:val="18"/>
                <w:szCs w:val="18"/>
                <w:vertAlign w:val="superscript"/>
              </w:rPr>
              <w:t>***</w:t>
            </w:r>
          </w:p>
        </w:tc>
        <w:tc>
          <w:tcPr>
            <w:tcW w:w="842"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0.45</w:t>
            </w:r>
            <w:r>
              <w:rPr>
                <w:sz w:val="18"/>
                <w:szCs w:val="18"/>
              </w:rPr>
              <w:t>4</w:t>
            </w:r>
            <w:r>
              <w:rPr>
                <w:sz w:val="18"/>
                <w:szCs w:val="18"/>
                <w:vertAlign w:val="superscript"/>
              </w:rPr>
              <w:t>***</w:t>
            </w:r>
          </w:p>
        </w:tc>
        <w:tc>
          <w:tcPr>
            <w:tcW w:w="877"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0.23</w:t>
            </w:r>
            <w:r>
              <w:rPr>
                <w:sz w:val="18"/>
                <w:szCs w:val="18"/>
              </w:rPr>
              <w:t>6</w:t>
            </w:r>
            <w:r>
              <w:rPr>
                <w:sz w:val="18"/>
                <w:szCs w:val="18"/>
                <w:vertAlign w:val="superscript"/>
              </w:rPr>
              <w:t>***</w:t>
            </w:r>
          </w:p>
        </w:tc>
        <w:tc>
          <w:tcPr>
            <w:tcW w:w="865"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0.31</w:t>
            </w:r>
            <w:r>
              <w:rPr>
                <w:sz w:val="18"/>
                <w:szCs w:val="18"/>
              </w:rPr>
              <w:t>1</w:t>
            </w:r>
            <w:r>
              <w:rPr>
                <w:sz w:val="18"/>
                <w:szCs w:val="18"/>
                <w:vertAlign w:val="superscript"/>
              </w:rPr>
              <w:t>***</w:t>
            </w:r>
          </w:p>
        </w:tc>
        <w:tc>
          <w:tcPr>
            <w:tcW w:w="935"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200</w:t>
            </w:r>
          </w:p>
        </w:tc>
        <w:tc>
          <w:tcPr>
            <w:tcW w:w="1158"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0.353</w:t>
            </w:r>
            <w:r>
              <w:rPr>
                <w:rFonts w:hint="eastAsia"/>
                <w:sz w:val="18"/>
                <w:szCs w:val="18"/>
                <w:vertAlign w:val="superscript"/>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918"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w:t>
            </w:r>
            <w:r>
              <w:rPr>
                <w:sz w:val="18"/>
                <w:szCs w:val="18"/>
              </w:rPr>
              <w:t>0.055）</w:t>
            </w:r>
          </w:p>
        </w:tc>
        <w:tc>
          <w:tcPr>
            <w:tcW w:w="932"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（0.240）</w:t>
            </w:r>
          </w:p>
        </w:tc>
        <w:tc>
          <w:tcPr>
            <w:tcW w:w="900" w:type="dxa"/>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（0.06</w:t>
            </w:r>
            <w:r>
              <w:rPr>
                <w:sz w:val="18"/>
                <w:szCs w:val="18"/>
              </w:rPr>
              <w:t>1</w:t>
            </w:r>
            <w:r>
              <w:rPr>
                <w:rFonts w:hint="eastAsia"/>
                <w:sz w:val="18"/>
                <w:szCs w:val="18"/>
              </w:rPr>
              <w:t>）</w:t>
            </w:r>
          </w:p>
        </w:tc>
        <w:tc>
          <w:tcPr>
            <w:tcW w:w="842"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（0.153）</w:t>
            </w:r>
          </w:p>
        </w:tc>
        <w:tc>
          <w:tcPr>
            <w:tcW w:w="877" w:type="dxa"/>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（0.061）</w:t>
            </w:r>
          </w:p>
        </w:tc>
        <w:tc>
          <w:tcPr>
            <w:tcW w:w="865"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（0.08</w:t>
            </w:r>
            <w:r>
              <w:rPr>
                <w:sz w:val="18"/>
                <w:szCs w:val="18"/>
              </w:rPr>
              <w:t>5</w:t>
            </w:r>
            <w:r>
              <w:rPr>
                <w:rFonts w:hint="eastAsia"/>
                <w:sz w:val="18"/>
                <w:szCs w:val="18"/>
              </w:rPr>
              <w:t>）</w:t>
            </w:r>
          </w:p>
        </w:tc>
        <w:tc>
          <w:tcPr>
            <w:tcW w:w="935" w:type="dxa"/>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（0.150）</w:t>
            </w:r>
          </w:p>
        </w:tc>
        <w:tc>
          <w:tcPr>
            <w:tcW w:w="1158"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（0.060）</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lang w:eastAsia="zh-CN"/>
        </w:rPr>
      </w:pPr>
      <w:r>
        <w:rPr>
          <w:rFonts w:hint="eastAsia" w:ascii="黑体" w:hAnsi="黑体" w:eastAsia="黑体" w:cs="黑体"/>
          <w:sz w:val="18"/>
          <w:szCs w:val="18"/>
        </w:rPr>
        <w:t>附表</w:t>
      </w:r>
      <w:r>
        <w:rPr>
          <w:rFonts w:eastAsia="黑体" w:cs="Times New Roman"/>
          <w:sz w:val="18"/>
          <w:szCs w:val="18"/>
        </w:rPr>
        <w:t>1</w:t>
      </w:r>
      <w:r>
        <w:rPr>
          <w:rFonts w:hint="eastAsia" w:eastAsia="黑体" w:cs="Times New Roman"/>
          <w:sz w:val="18"/>
          <w:szCs w:val="18"/>
        </w:rPr>
        <w:t>2</w:t>
      </w:r>
      <w:r>
        <w:rPr>
          <w:rFonts w:hint="eastAsia" w:eastAsia="黑体" w:cs="Times New Roman"/>
          <w:sz w:val="18"/>
          <w:szCs w:val="18"/>
          <w:lang w:eastAsia="zh-CN"/>
        </w:rPr>
        <w:t>（</w:t>
      </w:r>
      <w:r>
        <w:rPr>
          <w:rFonts w:hint="eastAsia" w:eastAsia="黑体" w:cs="Times New Roman"/>
          <w:sz w:val="18"/>
          <w:szCs w:val="18"/>
          <w:lang w:val="en-US" w:eastAsia="zh-CN"/>
        </w:rPr>
        <w:t>续</w:t>
      </w:r>
      <w:r>
        <w:rPr>
          <w:rFonts w:hint="eastAsia" w:eastAsia="黑体" w:cs="Times New Roman"/>
          <w:sz w:val="18"/>
          <w:szCs w:val="18"/>
          <w:lang w:eastAsia="zh-CN"/>
        </w:rPr>
        <w:t>）</w:t>
      </w:r>
    </w:p>
    <w:tbl>
      <w:tblPr>
        <w:tblStyle w:val="35"/>
        <w:tblW w:w="867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7"/>
        <w:gridCol w:w="918"/>
        <w:gridCol w:w="932"/>
        <w:gridCol w:w="900"/>
        <w:gridCol w:w="842"/>
        <w:gridCol w:w="877"/>
        <w:gridCol w:w="865"/>
        <w:gridCol w:w="935"/>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top w:val="single" w:color="auto" w:sz="4" w:space="0"/>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控制变量</w:t>
            </w:r>
          </w:p>
        </w:tc>
        <w:tc>
          <w:tcPr>
            <w:tcW w:w="918"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32" w:type="dxa"/>
            <w:tcBorders>
              <w:top w:val="single" w:color="auto" w:sz="4" w:space="0"/>
              <w:lef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00"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42" w:type="dxa"/>
            <w:tcBorders>
              <w:top w:val="single" w:color="auto" w:sz="4" w:space="0"/>
              <w:lef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77"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65" w:type="dxa"/>
            <w:tcBorders>
              <w:top w:val="single" w:color="auto" w:sz="4" w:space="0"/>
              <w:lef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35"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158" w:type="dxa"/>
            <w:tcBorders>
              <w:top w:val="single" w:color="auto" w:sz="4" w:space="0"/>
              <w:lef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企业固定效应</w:t>
            </w:r>
          </w:p>
        </w:tc>
        <w:tc>
          <w:tcPr>
            <w:tcW w:w="918"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32"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00"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42"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77"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65"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35"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158"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年份固定效应</w:t>
            </w:r>
          </w:p>
        </w:tc>
        <w:tc>
          <w:tcPr>
            <w:tcW w:w="918"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32"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00" w:type="dxa"/>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42"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77" w:type="dxa"/>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865"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935" w:type="dxa"/>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1158" w:type="dxa"/>
            <w:tcBorders>
              <w:left w:val="nil"/>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top w:val="single" w:color="auto" w:sz="4" w:space="0"/>
              <w:left w:val="nil"/>
              <w:bottom w:val="nil"/>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观测值数</w:t>
            </w:r>
          </w:p>
        </w:tc>
        <w:tc>
          <w:tcPr>
            <w:tcW w:w="918" w:type="dxa"/>
            <w:tcBorders>
              <w:top w:val="single" w:color="auto" w:sz="4" w:space="0"/>
              <w:left w:val="single" w:color="000000" w:themeColor="text1"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8</w:t>
            </w:r>
            <w:r>
              <w:rPr>
                <w:sz w:val="18"/>
                <w:szCs w:val="18"/>
              </w:rPr>
              <w:t>83</w:t>
            </w:r>
          </w:p>
        </w:tc>
        <w:tc>
          <w:tcPr>
            <w:tcW w:w="932" w:type="dxa"/>
            <w:tcBorders>
              <w:top w:val="single" w:color="auto" w:sz="4" w:space="0"/>
              <w:left w:val="nil"/>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w:t>
            </w:r>
            <w:r>
              <w:rPr>
                <w:sz w:val="18"/>
                <w:szCs w:val="18"/>
              </w:rPr>
              <w:t>04</w:t>
            </w:r>
          </w:p>
        </w:tc>
        <w:tc>
          <w:tcPr>
            <w:tcW w:w="900" w:type="dxa"/>
            <w:tcBorders>
              <w:top w:val="single" w:color="auto" w:sz="4" w:space="0"/>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754</w:t>
            </w:r>
          </w:p>
        </w:tc>
        <w:tc>
          <w:tcPr>
            <w:tcW w:w="842" w:type="dxa"/>
            <w:tcBorders>
              <w:top w:val="single" w:color="auto" w:sz="4" w:space="0"/>
              <w:left w:val="nil"/>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258</w:t>
            </w:r>
          </w:p>
        </w:tc>
        <w:tc>
          <w:tcPr>
            <w:tcW w:w="877" w:type="dxa"/>
            <w:tcBorders>
              <w:top w:val="single" w:color="auto" w:sz="4" w:space="0"/>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551</w:t>
            </w:r>
          </w:p>
        </w:tc>
        <w:tc>
          <w:tcPr>
            <w:tcW w:w="865" w:type="dxa"/>
            <w:tcBorders>
              <w:top w:val="single" w:color="auto" w:sz="4" w:space="0"/>
              <w:left w:val="nil"/>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458</w:t>
            </w:r>
          </w:p>
        </w:tc>
        <w:tc>
          <w:tcPr>
            <w:tcW w:w="935" w:type="dxa"/>
            <w:tcBorders>
              <w:top w:val="single" w:color="auto" w:sz="4" w:space="0"/>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2</w:t>
            </w:r>
            <w:r>
              <w:rPr>
                <w:sz w:val="18"/>
                <w:szCs w:val="18"/>
              </w:rPr>
              <w:t>32</w:t>
            </w:r>
          </w:p>
        </w:tc>
        <w:tc>
          <w:tcPr>
            <w:tcW w:w="1158" w:type="dxa"/>
            <w:tcBorders>
              <w:top w:val="single" w:color="auto" w:sz="4" w:space="0"/>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789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top w:val="nil"/>
              <w:left w:val="nil"/>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调整的</w:t>
            </w:r>
            <w:r>
              <w:rPr>
                <w:sz w:val="18"/>
                <w:szCs w:val="18"/>
              </w:rPr>
              <w:t>R</w:t>
            </w:r>
            <w:r>
              <w:rPr>
                <w:sz w:val="18"/>
                <w:szCs w:val="18"/>
                <w:vertAlign w:val="superscript"/>
              </w:rPr>
              <w:t>2</w:t>
            </w:r>
          </w:p>
        </w:tc>
        <w:tc>
          <w:tcPr>
            <w:tcW w:w="918" w:type="dxa"/>
            <w:tcBorders>
              <w:left w:val="single" w:color="000000" w:themeColor="text1"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.660</w:t>
            </w:r>
          </w:p>
        </w:tc>
        <w:tc>
          <w:tcPr>
            <w:tcW w:w="932" w:type="dxa"/>
            <w:tcBorders>
              <w:left w:val="nil"/>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.630</w:t>
            </w:r>
          </w:p>
        </w:tc>
        <w:tc>
          <w:tcPr>
            <w:tcW w:w="900" w:type="dxa"/>
            <w:tcBorders>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598</w:t>
            </w:r>
          </w:p>
        </w:tc>
        <w:tc>
          <w:tcPr>
            <w:tcW w:w="842" w:type="dxa"/>
            <w:tcBorders>
              <w:left w:val="nil"/>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0.683</w:t>
            </w:r>
          </w:p>
        </w:tc>
        <w:tc>
          <w:tcPr>
            <w:tcW w:w="877" w:type="dxa"/>
            <w:tcBorders>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0.649</w:t>
            </w:r>
          </w:p>
        </w:tc>
        <w:tc>
          <w:tcPr>
            <w:tcW w:w="865" w:type="dxa"/>
            <w:tcBorders>
              <w:left w:val="nil"/>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0.665</w:t>
            </w:r>
          </w:p>
        </w:tc>
        <w:tc>
          <w:tcPr>
            <w:tcW w:w="935" w:type="dxa"/>
            <w:tcBorders>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.572</w:t>
            </w:r>
          </w:p>
        </w:tc>
        <w:tc>
          <w:tcPr>
            <w:tcW w:w="1158" w:type="dxa"/>
            <w:tcBorders>
              <w:lef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w:t>
            </w:r>
            <w:r>
              <w:rPr>
                <w:sz w:val="18"/>
                <w:szCs w:val="18"/>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47" w:type="dxa"/>
            <w:tcBorders>
              <w:top w:val="nil"/>
              <w:left w:val="nil"/>
              <w:bottom w:val="single" w:color="auto" w:sz="12" w:space="0"/>
              <w:right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sz w:val="18"/>
                <w:szCs w:val="18"/>
              </w:rPr>
              <w:t>F</w:t>
            </w:r>
            <w:r>
              <w:rPr>
                <w:rFonts w:hint="eastAsia"/>
                <w:sz w:val="18"/>
                <w:szCs w:val="18"/>
              </w:rPr>
              <w:t>检验</w:t>
            </w:r>
          </w:p>
        </w:tc>
        <w:tc>
          <w:tcPr>
            <w:tcW w:w="918" w:type="dxa"/>
            <w:tcBorders>
              <w:top w:val="nil"/>
              <w:left w:val="single" w:color="000000" w:themeColor="text1" w:sz="4" w:space="0"/>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8.6</w:t>
            </w:r>
            <w:r>
              <w:rPr>
                <w:rFonts w:hint="eastAsia"/>
                <w:sz w:val="18"/>
                <w:szCs w:val="18"/>
              </w:rPr>
              <w:t>17</w:t>
            </w:r>
            <w:r>
              <w:rPr>
                <w:sz w:val="18"/>
                <w:szCs w:val="18"/>
                <w:vertAlign w:val="superscript"/>
              </w:rPr>
              <w:t>***</w:t>
            </w:r>
          </w:p>
        </w:tc>
        <w:tc>
          <w:tcPr>
            <w:tcW w:w="932" w:type="dxa"/>
            <w:tcBorders>
              <w:top w:val="nil"/>
              <w:left w:val="nil"/>
              <w:bottom w:val="single" w:color="auto" w:sz="12"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6.5</w:t>
            </w:r>
            <w:r>
              <w:rPr>
                <w:rFonts w:hint="eastAsia"/>
                <w:sz w:val="18"/>
                <w:szCs w:val="18"/>
              </w:rPr>
              <w:t>77</w:t>
            </w:r>
            <w:r>
              <w:rPr>
                <w:sz w:val="18"/>
                <w:szCs w:val="18"/>
                <w:vertAlign w:val="superscript"/>
              </w:rPr>
              <w:t>***</w:t>
            </w:r>
          </w:p>
        </w:tc>
        <w:tc>
          <w:tcPr>
            <w:tcW w:w="900" w:type="dxa"/>
            <w:tcBorders>
              <w:top w:val="nil"/>
              <w:left w:val="single" w:color="000000" w:sz="4" w:space="0"/>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10.952</w:t>
            </w:r>
            <w:r>
              <w:rPr>
                <w:sz w:val="18"/>
                <w:szCs w:val="18"/>
                <w:vertAlign w:val="superscript"/>
              </w:rPr>
              <w:t>***</w:t>
            </w:r>
          </w:p>
        </w:tc>
        <w:tc>
          <w:tcPr>
            <w:tcW w:w="842" w:type="dxa"/>
            <w:tcBorders>
              <w:top w:val="nil"/>
              <w:left w:val="nil"/>
              <w:bottom w:val="single" w:color="auto" w:sz="12"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4.039</w:t>
            </w:r>
            <w:r>
              <w:rPr>
                <w:sz w:val="18"/>
                <w:szCs w:val="18"/>
                <w:vertAlign w:val="superscript"/>
              </w:rPr>
              <w:t>***</w:t>
            </w:r>
          </w:p>
        </w:tc>
        <w:tc>
          <w:tcPr>
            <w:tcW w:w="877" w:type="dxa"/>
            <w:tcBorders>
              <w:top w:val="nil"/>
              <w:left w:val="single" w:color="000000" w:sz="4" w:space="0"/>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11.821</w:t>
            </w:r>
            <w:r>
              <w:rPr>
                <w:sz w:val="18"/>
                <w:szCs w:val="18"/>
                <w:vertAlign w:val="superscript"/>
              </w:rPr>
              <w:t>***</w:t>
            </w:r>
          </w:p>
        </w:tc>
        <w:tc>
          <w:tcPr>
            <w:tcW w:w="865" w:type="dxa"/>
            <w:tcBorders>
              <w:top w:val="nil"/>
              <w:left w:val="nil"/>
              <w:bottom w:val="single" w:color="auto" w:sz="12"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4.661</w:t>
            </w:r>
            <w:r>
              <w:rPr>
                <w:sz w:val="18"/>
                <w:szCs w:val="18"/>
                <w:vertAlign w:val="superscript"/>
              </w:rPr>
              <w:t>***</w:t>
            </w:r>
          </w:p>
        </w:tc>
        <w:tc>
          <w:tcPr>
            <w:tcW w:w="935" w:type="dxa"/>
            <w:tcBorders>
              <w:top w:val="nil"/>
              <w:left w:val="single" w:color="000000" w:sz="4" w:space="0"/>
              <w:bottom w:val="single" w:color="auto"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w:t>
            </w:r>
            <w:r>
              <w:rPr>
                <w:sz w:val="18"/>
                <w:szCs w:val="18"/>
              </w:rPr>
              <w:t>1.5</w:t>
            </w:r>
            <w:r>
              <w:rPr>
                <w:rFonts w:hint="eastAsia"/>
                <w:sz w:val="18"/>
                <w:szCs w:val="18"/>
              </w:rPr>
              <w:t>38</w:t>
            </w:r>
            <w:r>
              <w:rPr>
                <w:sz w:val="18"/>
                <w:szCs w:val="18"/>
                <w:vertAlign w:val="superscript"/>
              </w:rPr>
              <w:t>***</w:t>
            </w:r>
          </w:p>
        </w:tc>
        <w:tc>
          <w:tcPr>
            <w:tcW w:w="1158" w:type="dxa"/>
            <w:tcBorders>
              <w:top w:val="nil"/>
              <w:left w:val="nil"/>
              <w:bottom w:val="single" w:color="auto" w:sz="12"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6.237</w:t>
            </w:r>
            <w:r>
              <w:rPr>
                <w:rFonts w:hint="eastAsia"/>
                <w:sz w:val="18"/>
                <w:szCs w:val="18"/>
                <w:vertAlign w:val="superscript"/>
              </w:rPr>
              <w:t>***</w:t>
            </w:r>
          </w:p>
        </w:tc>
      </w:tr>
    </w:tbl>
    <w:p>
      <w:pPr>
        <w:adjustRightInd w:val="0"/>
        <w:ind w:firstLine="332" w:firstLineChars="200"/>
        <w:rPr>
          <w:rFonts w:ascii="楷体" w:hAnsi="楷体" w:eastAsia="楷体" w:cs="楷体"/>
        </w:rPr>
      </w:pPr>
      <w:r>
        <w:rPr>
          <w:rFonts w:hint="eastAsia" w:cs="宋体"/>
          <w:sz w:val="18"/>
          <w:szCs w:val="18"/>
        </w:rPr>
        <w:t>注：①***、**和*分别表示在1%、5%和10%的水平上显著。②括号内为城市—年份聚类稳健标准误。③受单列观测值影响，分组样本数量之和略少于总样本数量。</w:t>
      </w:r>
    </w:p>
    <w:p>
      <w:pPr>
        <w:pStyle w:val="9"/>
        <w:keepNext/>
        <w:ind w:firstLine="332" w:firstLineChars="200"/>
        <w:rPr>
          <w:sz w:val="18"/>
          <w:szCs w:val="18"/>
        </w:rPr>
      </w:pPr>
      <w:r>
        <w:rPr>
          <w:rFonts w:hint="eastAsia"/>
          <w:sz w:val="18"/>
          <w:szCs w:val="18"/>
        </w:rPr>
        <w:t>附表</w:t>
      </w:r>
      <w:r>
        <w:rPr>
          <w:rFonts w:ascii="Times New Roman" w:hAnsi="Times New Roman" w:cs="Times New Roman"/>
          <w:sz w:val="18"/>
          <w:szCs w:val="18"/>
        </w:rPr>
        <w:t>1</w:t>
      </w:r>
      <w:r>
        <w:rPr>
          <w:rFonts w:hint="eastAsia" w:ascii="Times New Roman" w:hAnsi="Times New Roman" w:cs="Times New Roman"/>
          <w:sz w:val="18"/>
          <w:szCs w:val="18"/>
        </w:rPr>
        <w:t>3</w:t>
      </w:r>
      <w:r>
        <w:rPr>
          <w:rFonts w:ascii="Times New Roman" w:hAnsi="Times New Roman" w:cs="Times New Roman"/>
          <w:sz w:val="18"/>
          <w:szCs w:val="18"/>
        </w:rPr>
        <w:t xml:space="preserve">  </w:t>
      </w:r>
      <w:r>
        <w:rPr>
          <w:sz w:val="18"/>
          <w:szCs w:val="18"/>
        </w:rPr>
        <w:t xml:space="preserve">                                    </w:t>
      </w:r>
      <w:r>
        <w:rPr>
          <w:rFonts w:hint="eastAsia"/>
          <w:sz w:val="18"/>
          <w:szCs w:val="18"/>
        </w:rPr>
        <w:t>调节效应结果</w:t>
      </w:r>
    </w:p>
    <w:tbl>
      <w:tblPr>
        <w:tblStyle w:val="35"/>
        <w:tblW w:w="8597" w:type="dxa"/>
        <w:jc w:val="center"/>
        <w:tblInd w:w="-2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39"/>
        <w:gridCol w:w="1059"/>
        <w:gridCol w:w="1059"/>
        <w:gridCol w:w="1059"/>
        <w:gridCol w:w="1059"/>
        <w:gridCol w:w="2"/>
        <w:gridCol w:w="1057"/>
        <w:gridCol w:w="10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vMerge w:val="restart"/>
            <w:tcBorders>
              <w:top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调节变量</w:t>
            </w:r>
          </w:p>
        </w:tc>
        <w:tc>
          <w:tcPr>
            <w:tcW w:w="6358" w:type="dxa"/>
            <w:gridSpan w:val="7"/>
            <w:tcBorders>
              <w:top w:val="single" w:color="auto" w:sz="12" w:space="0"/>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联农带农效益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21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纵向一体化治理</w:t>
            </w:r>
          </w:p>
        </w:tc>
        <w:tc>
          <w:tcPr>
            <w:tcW w:w="21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（2）</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家庭农场发展</w:t>
            </w:r>
          </w:p>
        </w:tc>
        <w:tc>
          <w:tcPr>
            <w:tcW w:w="2120"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（3）</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政府数字治理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059"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系数</w:t>
            </w:r>
          </w:p>
        </w:tc>
        <w:tc>
          <w:tcPr>
            <w:tcW w:w="1059"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聚类标准误</w:t>
            </w:r>
          </w:p>
        </w:tc>
        <w:tc>
          <w:tcPr>
            <w:tcW w:w="1059"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系数</w:t>
            </w:r>
          </w:p>
        </w:tc>
        <w:tc>
          <w:tcPr>
            <w:tcW w:w="1059"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聚类标准误</w:t>
            </w:r>
          </w:p>
        </w:tc>
        <w:tc>
          <w:tcPr>
            <w:tcW w:w="1059"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系数</w:t>
            </w:r>
          </w:p>
        </w:tc>
        <w:tc>
          <w:tcPr>
            <w:tcW w:w="10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聚类标准误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w:t>
            </w:r>
          </w:p>
        </w:tc>
        <w:tc>
          <w:tcPr>
            <w:tcW w:w="1059"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vertAlign w:val="superscript"/>
              </w:rPr>
            </w:pPr>
            <w:r>
              <w:rPr>
                <w:rFonts w:cs="Times New Roman"/>
                <w:sz w:val="18"/>
                <w:szCs w:val="18"/>
                <w:lang w:bidi="ar"/>
              </w:rPr>
              <w:t>−</w:t>
            </w:r>
            <w:r>
              <w:rPr>
                <w:rFonts w:hint="eastAsia"/>
                <w:sz w:val="18"/>
                <w:szCs w:val="18"/>
              </w:rPr>
              <w:t>0.0</w:t>
            </w:r>
            <w:r>
              <w:rPr>
                <w:sz w:val="18"/>
                <w:szCs w:val="18"/>
              </w:rPr>
              <w:t>7</w:t>
            </w:r>
            <w:r>
              <w:rPr>
                <w:rFonts w:hint="eastAsia"/>
                <w:sz w:val="18"/>
                <w:szCs w:val="18"/>
              </w:rPr>
              <w:t>5</w:t>
            </w:r>
          </w:p>
        </w:tc>
        <w:tc>
          <w:tcPr>
            <w:tcW w:w="1059"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0.06</w:t>
            </w:r>
            <w:r>
              <w:rPr>
                <w:sz w:val="18"/>
                <w:szCs w:val="18"/>
              </w:rPr>
              <w:t>8</w:t>
            </w:r>
          </w:p>
        </w:tc>
        <w:tc>
          <w:tcPr>
            <w:tcW w:w="1059"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.040</w:t>
            </w:r>
          </w:p>
        </w:tc>
        <w:tc>
          <w:tcPr>
            <w:tcW w:w="1059"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0.0</w:t>
            </w:r>
            <w:r>
              <w:rPr>
                <w:rFonts w:hint="eastAsia"/>
                <w:sz w:val="18"/>
                <w:szCs w:val="18"/>
              </w:rPr>
              <w:t>30</w:t>
            </w:r>
          </w:p>
        </w:tc>
        <w:tc>
          <w:tcPr>
            <w:tcW w:w="1059"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w:t>
            </w:r>
            <w:r>
              <w:rPr>
                <w:sz w:val="18"/>
                <w:szCs w:val="18"/>
              </w:rPr>
              <w:t>32</w:t>
            </w:r>
          </w:p>
        </w:tc>
        <w:tc>
          <w:tcPr>
            <w:tcW w:w="1063"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w:t>
            </w:r>
            <w:r>
              <w:rPr>
                <w:sz w:val="18"/>
                <w:szCs w:val="18"/>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纵向一体化</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0.707</w:t>
            </w:r>
            <w:r>
              <w:rPr>
                <w:rFonts w:hint="eastAsia"/>
                <w:sz w:val="18"/>
                <w:szCs w:val="18"/>
                <w:vertAlign w:val="superscript"/>
              </w:rPr>
              <w:t>***</w:t>
            </w: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0.090</w:t>
            </w: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宽带中国试点×纵向一体化</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vertAlign w:val="superscript"/>
              </w:rPr>
            </w:pPr>
            <w:r>
              <w:rPr>
                <w:rFonts w:hint="eastAsia"/>
                <w:sz w:val="18"/>
                <w:szCs w:val="18"/>
              </w:rPr>
              <w:t>0.196</w:t>
            </w:r>
            <w:r>
              <w:rPr>
                <w:rFonts w:hint="eastAsia"/>
                <w:sz w:val="18"/>
                <w:szCs w:val="18"/>
                <w:vertAlign w:val="superscript"/>
              </w:rPr>
              <w:t>*</w:t>
            </w: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0.112</w:t>
            </w: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合作社</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宽带中国试点×合作社</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家庭农场</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sz w:val="18"/>
                <w:szCs w:val="18"/>
              </w:rPr>
              <w:t>0.</w:t>
            </w:r>
            <w:r>
              <w:rPr>
                <w:rFonts w:hint="eastAsia"/>
                <w:sz w:val="18"/>
                <w:szCs w:val="18"/>
              </w:rPr>
              <w:t>191</w:t>
            </w: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0.1</w:t>
            </w:r>
            <w:r>
              <w:rPr>
                <w:rFonts w:hint="eastAsia"/>
                <w:sz w:val="18"/>
                <w:szCs w:val="18"/>
              </w:rPr>
              <w:t>68</w:t>
            </w: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宽带中国试点×家庭农场</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vertAlign w:val="superscript"/>
              </w:rPr>
            </w:pPr>
            <w:r>
              <w:rPr>
                <w:rFonts w:hint="eastAsia"/>
                <w:sz w:val="18"/>
                <w:szCs w:val="18"/>
              </w:rPr>
              <w:t>0</w:t>
            </w:r>
            <w:r>
              <w:rPr>
                <w:sz w:val="18"/>
                <w:szCs w:val="18"/>
              </w:rPr>
              <w:t>.</w:t>
            </w:r>
            <w:r>
              <w:rPr>
                <w:rFonts w:hint="eastAsia"/>
                <w:sz w:val="18"/>
                <w:szCs w:val="18"/>
              </w:rPr>
              <w:t>293</w:t>
            </w:r>
            <w:r>
              <w:rPr>
                <w:sz w:val="18"/>
                <w:szCs w:val="18"/>
                <w:vertAlign w:val="superscript"/>
              </w:rPr>
              <w:t>*</w:t>
            </w: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0.</w:t>
            </w:r>
            <w:r>
              <w:rPr>
                <w:rFonts w:hint="eastAsia"/>
                <w:sz w:val="18"/>
                <w:szCs w:val="18"/>
              </w:rPr>
              <w:t>161</w:t>
            </w: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数字政府</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lang w:bidi="ar"/>
              </w:rPr>
              <w:t>−</w:t>
            </w:r>
            <w:r>
              <w:rPr>
                <w:rFonts w:hint="eastAsia"/>
                <w:sz w:val="18"/>
                <w:szCs w:val="18"/>
              </w:rPr>
              <w:t>0.00</w:t>
            </w:r>
            <w:r>
              <w:rPr>
                <w:sz w:val="18"/>
                <w:szCs w:val="18"/>
              </w:rPr>
              <w:t>3</w:t>
            </w: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w:t>
            </w:r>
            <w:r>
              <w:rPr>
                <w:sz w:val="18"/>
                <w:szCs w:val="1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宽带中国试点×数字政府</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0.041</w:t>
            </w:r>
            <w:r>
              <w:rPr>
                <w:sz w:val="18"/>
                <w:szCs w:val="18"/>
                <w:vertAlign w:val="superscript"/>
              </w:rPr>
              <w:t>*</w:t>
            </w: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0.02</w:t>
            </w:r>
            <w:r>
              <w:rPr>
                <w:sz w:val="18"/>
                <w:szCs w:val="18"/>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常数项</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vertAlign w:val="superscript"/>
              </w:rPr>
            </w:pPr>
            <w:r>
              <w:rPr>
                <w:rFonts w:hint="eastAsia"/>
                <w:sz w:val="18"/>
                <w:szCs w:val="18"/>
              </w:rPr>
              <w:t>0.750</w:t>
            </w:r>
            <w:r>
              <w:rPr>
                <w:rFonts w:hint="eastAsia"/>
                <w:sz w:val="18"/>
                <w:szCs w:val="18"/>
                <w:vertAlign w:val="superscript"/>
              </w:rPr>
              <w:t>***</w:t>
            </w: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0.070</w:t>
            </w:r>
          </w:p>
        </w:tc>
        <w:tc>
          <w:tcPr>
            <w:tcW w:w="10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.32</w:t>
            </w:r>
            <w:r>
              <w:rPr>
                <w:rFonts w:hint="eastAsia"/>
                <w:sz w:val="18"/>
                <w:szCs w:val="18"/>
              </w:rPr>
              <w:t>9</w:t>
            </w:r>
            <w:r>
              <w:rPr>
                <w:sz w:val="18"/>
                <w:szCs w:val="18"/>
                <w:vertAlign w:val="superscript"/>
              </w:rPr>
              <w:t>***</w:t>
            </w:r>
          </w:p>
        </w:tc>
        <w:tc>
          <w:tcPr>
            <w:tcW w:w="105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0.0</w:t>
            </w:r>
            <w:r>
              <w:rPr>
                <w:rFonts w:hint="eastAsia"/>
                <w:sz w:val="18"/>
                <w:szCs w:val="18"/>
              </w:rPr>
              <w:t>62</w:t>
            </w:r>
          </w:p>
        </w:tc>
        <w:tc>
          <w:tcPr>
            <w:tcW w:w="105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0.332</w:t>
            </w:r>
            <w:r>
              <w:rPr>
                <w:rFonts w:hint="eastAsia"/>
                <w:sz w:val="18"/>
                <w:szCs w:val="18"/>
                <w:vertAlign w:val="superscript"/>
              </w:rPr>
              <w:t>***</w:t>
            </w:r>
          </w:p>
        </w:tc>
        <w:tc>
          <w:tcPr>
            <w:tcW w:w="106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w:t>
            </w:r>
            <w:r>
              <w:rPr>
                <w:sz w:val="18"/>
                <w:szCs w:val="18"/>
              </w:rPr>
              <w:t>.051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控制变量</w:t>
            </w:r>
          </w:p>
        </w:tc>
        <w:tc>
          <w:tcPr>
            <w:tcW w:w="2118"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2120"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212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企业</w:t>
            </w:r>
            <w:r>
              <w:rPr>
                <w:rFonts w:hint="eastAsia"/>
                <w:sz w:val="18"/>
                <w:szCs w:val="18"/>
                <w:lang w:eastAsia="zh-CN"/>
              </w:rPr>
              <w:t>－</w:t>
            </w:r>
            <w:r>
              <w:rPr>
                <w:rFonts w:hint="eastAsia"/>
                <w:sz w:val="18"/>
                <w:szCs w:val="18"/>
              </w:rPr>
              <w:t>年份固定效应</w:t>
            </w:r>
          </w:p>
        </w:tc>
        <w:tc>
          <w:tcPr>
            <w:tcW w:w="2118" w:type="dxa"/>
            <w:gridSpan w:val="2"/>
            <w:tcBorders>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2120" w:type="dxa"/>
            <w:gridSpan w:val="3"/>
            <w:tcBorders>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2120" w:type="dxa"/>
            <w:gridSpan w:val="2"/>
            <w:tcBorders>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观测值数</w:t>
            </w:r>
          </w:p>
        </w:tc>
        <w:tc>
          <w:tcPr>
            <w:tcW w:w="2118" w:type="dxa"/>
            <w:gridSpan w:val="2"/>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1024</w:t>
            </w:r>
          </w:p>
        </w:tc>
        <w:tc>
          <w:tcPr>
            <w:tcW w:w="2120" w:type="dxa"/>
            <w:gridSpan w:val="3"/>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6</w:t>
            </w:r>
            <w:r>
              <w:rPr>
                <w:sz w:val="18"/>
                <w:szCs w:val="18"/>
              </w:rPr>
              <w:t>8</w:t>
            </w:r>
            <w:r>
              <w:rPr>
                <w:rFonts w:hint="eastAsia"/>
                <w:sz w:val="18"/>
                <w:szCs w:val="18"/>
              </w:rPr>
              <w:t>8</w:t>
            </w:r>
          </w:p>
        </w:tc>
        <w:tc>
          <w:tcPr>
            <w:tcW w:w="2120"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调整的</w:t>
            </w:r>
            <w:r>
              <w:rPr>
                <w:sz w:val="18"/>
                <w:szCs w:val="18"/>
              </w:rPr>
              <w:t>R</w:t>
            </w:r>
            <w:r>
              <w:rPr>
                <w:rFonts w:hint="eastAsia"/>
                <w:sz w:val="18"/>
                <w:szCs w:val="18"/>
                <w:vertAlign w:val="superscript"/>
              </w:rPr>
              <w:t>2</w:t>
            </w:r>
          </w:p>
        </w:tc>
        <w:tc>
          <w:tcPr>
            <w:tcW w:w="2118"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0.65</w:t>
            </w:r>
            <w:r>
              <w:rPr>
                <w:sz w:val="18"/>
                <w:szCs w:val="18"/>
              </w:rPr>
              <w:t>7</w:t>
            </w:r>
          </w:p>
        </w:tc>
        <w:tc>
          <w:tcPr>
            <w:tcW w:w="2120"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0.644</w:t>
            </w:r>
          </w:p>
        </w:tc>
        <w:tc>
          <w:tcPr>
            <w:tcW w:w="212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0.61</w:t>
            </w:r>
            <w:r>
              <w:rPr>
                <w:sz w:val="18"/>
                <w:szCs w:val="18"/>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39" w:type="dxa"/>
            <w:tcBorders>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sz w:val="18"/>
                <w:szCs w:val="18"/>
              </w:rPr>
              <w:t>F</w:t>
            </w:r>
            <w:r>
              <w:rPr>
                <w:rFonts w:hint="eastAsia"/>
                <w:sz w:val="18"/>
                <w:szCs w:val="18"/>
              </w:rPr>
              <w:t>检验</w:t>
            </w:r>
          </w:p>
        </w:tc>
        <w:tc>
          <w:tcPr>
            <w:tcW w:w="2118" w:type="dxa"/>
            <w:gridSpan w:val="2"/>
            <w:tcBorders>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14.699</w:t>
            </w:r>
            <w:r>
              <w:rPr>
                <w:rFonts w:hint="eastAsia"/>
                <w:sz w:val="18"/>
                <w:szCs w:val="18"/>
                <w:vertAlign w:val="superscript"/>
              </w:rPr>
              <w:t>***</w:t>
            </w:r>
          </w:p>
        </w:tc>
        <w:tc>
          <w:tcPr>
            <w:tcW w:w="2120" w:type="dxa"/>
            <w:gridSpan w:val="3"/>
            <w:tcBorders>
              <w:left w:val="single" w:color="auto" w:sz="4"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7.476</w:t>
            </w:r>
            <w:r>
              <w:rPr>
                <w:rFonts w:hint="eastAsia"/>
                <w:sz w:val="18"/>
                <w:szCs w:val="18"/>
                <w:vertAlign w:val="superscript"/>
              </w:rPr>
              <w:t>***</w:t>
            </w:r>
          </w:p>
        </w:tc>
        <w:tc>
          <w:tcPr>
            <w:tcW w:w="2120" w:type="dxa"/>
            <w:gridSpan w:val="2"/>
            <w:tcBorders>
              <w:left w:val="single" w:color="auto" w:sz="4"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sz w:val="18"/>
                <w:szCs w:val="18"/>
              </w:rPr>
              <w:t>9</w:t>
            </w:r>
            <w:r>
              <w:rPr>
                <w:rFonts w:hint="eastAsia"/>
                <w:sz w:val="18"/>
                <w:szCs w:val="18"/>
              </w:rPr>
              <w:t>.</w:t>
            </w:r>
            <w:r>
              <w:rPr>
                <w:sz w:val="18"/>
                <w:szCs w:val="18"/>
              </w:rPr>
              <w:t>8</w:t>
            </w:r>
            <w:r>
              <w:rPr>
                <w:rFonts w:hint="eastAsia"/>
                <w:sz w:val="18"/>
                <w:szCs w:val="18"/>
              </w:rPr>
              <w:t>27</w:t>
            </w:r>
            <w:r>
              <w:rPr>
                <w:sz w:val="18"/>
                <w:szCs w:val="18"/>
                <w:vertAlign w:val="superscript"/>
              </w:rPr>
              <w:t>***</w:t>
            </w:r>
          </w:p>
        </w:tc>
      </w:tr>
    </w:tbl>
    <w:p>
      <w:pPr>
        <w:keepNext w:val="0"/>
        <w:keepLines w:val="0"/>
        <w:pageBreakBefore w:val="0"/>
        <w:widowControl w:val="0"/>
        <w:kinsoku/>
        <w:wordWrap w:val="0"/>
        <w:overflowPunct/>
        <w:topLinePunct w:val="0"/>
        <w:autoSpaceDE/>
        <w:autoSpaceDN/>
        <w:bidi w:val="0"/>
        <w:adjustRightInd/>
        <w:snapToGrid/>
        <w:ind w:firstLine="332" w:firstLineChars="200"/>
        <w:textAlignment w:val="auto"/>
        <w:rPr>
          <w:sz w:val="18"/>
          <w:szCs w:val="18"/>
        </w:rPr>
      </w:pPr>
      <w:r>
        <w:rPr>
          <w:rFonts w:hint="eastAsia"/>
          <w:sz w:val="18"/>
          <w:szCs w:val="18"/>
        </w:rPr>
        <w:t>注：①***、**和*分别表示在1%、5%和10%的水平上显著。②括号内为城市</w:t>
      </w:r>
      <w:r>
        <w:rPr>
          <w:rFonts w:hint="eastAsia"/>
          <w:sz w:val="18"/>
          <w:szCs w:val="18"/>
          <w:lang w:eastAsia="zh-CN"/>
        </w:rPr>
        <w:t>－</w:t>
      </w:r>
      <w:r>
        <w:rPr>
          <w:rFonts w:hint="eastAsia"/>
          <w:sz w:val="18"/>
          <w:szCs w:val="18"/>
        </w:rPr>
        <w:t>年份聚类标准误。③受数据影响，提升路径分析中样本量略少于总样本数量。④家庭农场数量数据来自浙大卡特</w:t>
      </w:r>
      <w:r>
        <w:rPr>
          <w:rFonts w:cs="Times New Roman"/>
          <w:lang w:bidi="ar"/>
        </w:rPr>
        <w:t>−</w:t>
      </w:r>
      <w:r>
        <w:rPr>
          <w:rFonts w:hint="eastAsia"/>
          <w:sz w:val="18"/>
          <w:szCs w:val="18"/>
        </w:rPr>
        <w:t>企研中国涉农研究数据库（https://r.qiyandata.com/data/subject_topic?table=14322d9622e3f0baa281eba39f0d0271）。</w:t>
      </w:r>
    </w:p>
    <w:p>
      <w:pPr>
        <w:rPr>
          <w:sz w:val="18"/>
          <w:szCs w:val="18"/>
        </w:rPr>
      </w:pPr>
      <w:r>
        <w:rPr>
          <w:sz w:val="18"/>
          <w:szCs w:val="18"/>
        </w:rPr>
        <w:br w:type="page"/>
      </w:r>
    </w:p>
    <w:p>
      <w:pPr>
        <w:pStyle w:val="2"/>
        <w:keepNext w:val="0"/>
        <w:keepLines w:val="0"/>
        <w:pageBreakBefore w:val="0"/>
        <w:widowControl w:val="0"/>
        <w:kinsoku/>
        <w:wordWrap/>
        <w:overflowPunct/>
        <w:topLinePunct w:val="0"/>
        <w:autoSpaceDE/>
        <w:autoSpaceDN/>
        <w:bidi w:val="0"/>
        <w:adjustRightInd/>
        <w:snapToGrid/>
        <w:spacing w:line="240" w:lineRule="atLeast"/>
        <w:ind w:left="0" w:leftChars="0" w:firstLine="0" w:firstLineChars="0"/>
        <w:textAlignment w:val="auto"/>
        <w:rPr>
          <w:rFonts w:hint="default" w:ascii="Times New Roman" w:hAnsi="Times New Roman" w:eastAsia="黑体" w:cs="Times New Roman"/>
          <w:color w:val="auto"/>
          <w:kern w:val="2"/>
          <w:sz w:val="18"/>
          <w:szCs w:val="18"/>
          <w:lang w:val="en-US" w:eastAsia="zh-CN" w:bidi="ar-SA"/>
        </w:rPr>
      </w:pPr>
      <w:bookmarkStart w:id="3" w:name="_GoBack"/>
      <w:bookmarkEnd w:id="3"/>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刘云强等  数字经济发展提升龙头企业联农带农效益的机制与路径</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ascii="黑体" w:hAnsi="黑体" w:eastAsia="黑体" w:cs="黑体"/>
        <w:lang w:val="en-US" w:eastAsia="zh-CN"/>
      </w:rPr>
      <w:t>刘云强等  数字经济发展提升龙头企业联农带农效益的机制与路径</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5年第5期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C39E5"/>
    <w:rsid w:val="21702066"/>
    <w:rsid w:val="21750BB9"/>
    <w:rsid w:val="21D35CA0"/>
    <w:rsid w:val="22280ABD"/>
    <w:rsid w:val="2268710B"/>
    <w:rsid w:val="226B2757"/>
    <w:rsid w:val="22704CCB"/>
    <w:rsid w:val="228111AF"/>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A81F34"/>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211BF7"/>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6016C4"/>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211C8"/>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580A26"/>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25A4A"/>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6"/>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5"/>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20">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90"/>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9"/>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7"/>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4"/>
    <w:unhideWhenUsed/>
    <w:qFormat/>
    <w:uiPriority w:val="0"/>
    <w:rPr>
      <w:sz w:val="18"/>
      <w:szCs w:val="18"/>
    </w:rPr>
  </w:style>
  <w:style w:type="paragraph" w:styleId="14">
    <w:name w:val="footer"/>
    <w:basedOn w:val="1"/>
    <w:link w:val="87"/>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6"/>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1"/>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paragraph" w:styleId="19">
    <w:name w:val="Title"/>
    <w:basedOn w:val="1"/>
    <w:next w:val="1"/>
    <w:qFormat/>
    <w:uiPriority w:val="10"/>
    <w:pPr>
      <w:widowControl/>
      <w:autoSpaceDE w:val="0"/>
      <w:autoSpaceDN w:val="0"/>
      <w:spacing w:line="300" w:lineRule="auto"/>
      <w:jc w:val="center"/>
    </w:pPr>
    <w:rPr>
      <w:rFonts w:eastAsia="黑体" w:cs="Times New Roman"/>
      <w:bCs/>
      <w:szCs w:val="21"/>
    </w:rPr>
  </w:style>
  <w:style w:type="character" w:styleId="21">
    <w:name w:val="Strong"/>
    <w:basedOn w:val="20"/>
    <w:qFormat/>
    <w:uiPriority w:val="0"/>
    <w:rPr>
      <w:b/>
    </w:rPr>
  </w:style>
  <w:style w:type="character" w:styleId="22">
    <w:name w:val="page number"/>
    <w:basedOn w:val="20"/>
    <w:qFormat/>
    <w:uiPriority w:val="0"/>
  </w:style>
  <w:style w:type="character" w:styleId="23">
    <w:name w:val="FollowedHyperlink"/>
    <w:basedOn w:val="20"/>
    <w:qFormat/>
    <w:uiPriority w:val="0"/>
    <w:rPr>
      <w:color w:val="800080"/>
      <w:u w:val="none"/>
    </w:rPr>
  </w:style>
  <w:style w:type="character" w:styleId="24">
    <w:name w:val="Emphasis"/>
    <w:basedOn w:val="20"/>
    <w:qFormat/>
    <w:uiPriority w:val="0"/>
  </w:style>
  <w:style w:type="character" w:styleId="25">
    <w:name w:val="HTML Definition"/>
    <w:basedOn w:val="20"/>
    <w:qFormat/>
    <w:uiPriority w:val="0"/>
  </w:style>
  <w:style w:type="character" w:styleId="26">
    <w:name w:val="HTML Variable"/>
    <w:basedOn w:val="20"/>
    <w:qFormat/>
    <w:uiPriority w:val="0"/>
  </w:style>
  <w:style w:type="character" w:styleId="27">
    <w:name w:val="Hyperlink"/>
    <w:basedOn w:val="20"/>
    <w:unhideWhenUsed/>
    <w:qFormat/>
    <w:uiPriority w:val="0"/>
    <w:rPr>
      <w:color w:val="000000"/>
      <w:u w:val="none"/>
    </w:rPr>
  </w:style>
  <w:style w:type="character" w:styleId="28">
    <w:name w:val="HTML Code"/>
    <w:basedOn w:val="20"/>
    <w:qFormat/>
    <w:uiPriority w:val="0"/>
    <w:rPr>
      <w:rFonts w:hint="default" w:ascii="monospace" w:hAnsi="monospace" w:eastAsia="monospace" w:cs="monospace"/>
      <w:sz w:val="21"/>
      <w:szCs w:val="21"/>
    </w:rPr>
  </w:style>
  <w:style w:type="character" w:styleId="29">
    <w:name w:val="annotation reference"/>
    <w:basedOn w:val="20"/>
    <w:qFormat/>
    <w:uiPriority w:val="0"/>
    <w:rPr>
      <w:sz w:val="21"/>
      <w:szCs w:val="21"/>
    </w:rPr>
  </w:style>
  <w:style w:type="character" w:styleId="30">
    <w:name w:val="HTML Cite"/>
    <w:basedOn w:val="20"/>
    <w:qFormat/>
    <w:uiPriority w:val="0"/>
    <w:rPr>
      <w:color w:val="008000"/>
      <w:sz w:val="14"/>
      <w:szCs w:val="14"/>
    </w:rPr>
  </w:style>
  <w:style w:type="character" w:styleId="31">
    <w:name w:val="footnote reference"/>
    <w:basedOn w:val="20"/>
    <w:qFormat/>
    <w:uiPriority w:val="0"/>
    <w:rPr>
      <w:rFonts w:ascii="Calibri" w:hAnsi="Calibri" w:eastAsia="宋体"/>
      <w:vertAlign w:val="superscript"/>
    </w:rPr>
  </w:style>
  <w:style w:type="character" w:styleId="32">
    <w:name w:val="HTML Keyboard"/>
    <w:basedOn w:val="20"/>
    <w:qFormat/>
    <w:uiPriority w:val="0"/>
    <w:rPr>
      <w:rFonts w:ascii="monospace" w:hAnsi="monospace" w:eastAsia="monospace" w:cs="monospace"/>
      <w:sz w:val="21"/>
      <w:szCs w:val="21"/>
    </w:rPr>
  </w:style>
  <w:style w:type="character" w:styleId="33">
    <w:name w:val="HTML Sample"/>
    <w:basedOn w:val="20"/>
    <w:qFormat/>
    <w:uiPriority w:val="0"/>
    <w:rPr>
      <w:rFonts w:hint="default" w:ascii="monospace" w:hAnsi="monospace" w:eastAsia="monospace" w:cs="monospace"/>
      <w:sz w:val="21"/>
      <w:szCs w:val="21"/>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6">
    <w:name w:val="标题 1 字符"/>
    <w:basedOn w:val="20"/>
    <w:link w:val="4"/>
    <w:qFormat/>
    <w:uiPriority w:val="0"/>
    <w:rPr>
      <w:rFonts w:ascii="黑体" w:hAnsi="黑体" w:eastAsia="黑体" w:cs="Arial Narrow"/>
      <w:b/>
      <w:bCs/>
      <w:kern w:val="44"/>
      <w:sz w:val="24"/>
      <w:szCs w:val="32"/>
    </w:rPr>
  </w:style>
  <w:style w:type="character" w:customStyle="1" w:styleId="37">
    <w:name w:val="closeeye"/>
    <w:basedOn w:val="20"/>
    <w:qFormat/>
    <w:uiPriority w:val="0"/>
  </w:style>
  <w:style w:type="character" w:customStyle="1" w:styleId="38">
    <w:name w:val="openeye"/>
    <w:basedOn w:val="20"/>
    <w:qFormat/>
    <w:uiPriority w:val="0"/>
  </w:style>
  <w:style w:type="character" w:customStyle="1" w:styleId="39">
    <w:name w:val="remaintime"/>
    <w:basedOn w:val="20"/>
    <w:qFormat/>
    <w:uiPriority w:val="0"/>
    <w:rPr>
      <w:color w:val="000000"/>
      <w:shd w:val="clear" w:color="auto" w:fill="CACACA"/>
    </w:rPr>
  </w:style>
  <w:style w:type="character" w:customStyle="1" w:styleId="40">
    <w:name w:val="seepass"/>
    <w:basedOn w:val="20"/>
    <w:qFormat/>
    <w:uiPriority w:val="0"/>
  </w:style>
  <w:style w:type="character" w:customStyle="1" w:styleId="41">
    <w:name w:val="on"/>
    <w:basedOn w:val="20"/>
    <w:qFormat/>
    <w:uiPriority w:val="0"/>
    <w:rPr>
      <w:color w:val="FFFFFF"/>
      <w:bdr w:val="single" w:color="C9100E" w:sz="4" w:space="0"/>
      <w:shd w:val="clear" w:color="auto" w:fill="C9100E"/>
    </w:rPr>
  </w:style>
  <w:style w:type="character" w:customStyle="1" w:styleId="42">
    <w:name w:val="eyespan"/>
    <w:basedOn w:val="20"/>
    <w:qFormat/>
    <w:uiPriority w:val="0"/>
  </w:style>
  <w:style w:type="character" w:customStyle="1" w:styleId="43">
    <w:name w:val="hidepass"/>
    <w:basedOn w:val="20"/>
    <w:qFormat/>
    <w:uiPriority w:val="0"/>
  </w:style>
  <w:style w:type="character" w:customStyle="1" w:styleId="44">
    <w:name w:val="hover18"/>
    <w:basedOn w:val="20"/>
    <w:qFormat/>
    <w:uiPriority w:val="0"/>
    <w:rPr>
      <w:color w:val="FFFFFF"/>
      <w:shd w:val="clear" w:color="auto" w:fill="237EC7"/>
    </w:rPr>
  </w:style>
  <w:style w:type="character" w:customStyle="1" w:styleId="45">
    <w:name w:val="hover19"/>
    <w:basedOn w:val="20"/>
    <w:qFormat/>
    <w:uiPriority w:val="0"/>
    <w:rPr>
      <w:color w:val="FFFFFF"/>
      <w:bdr w:val="single" w:color="C9100E" w:sz="4" w:space="0"/>
      <w:shd w:val="clear" w:color="auto" w:fill="C9100E"/>
    </w:rPr>
  </w:style>
  <w:style w:type="character" w:customStyle="1" w:styleId="46">
    <w:name w:val="first-child"/>
    <w:basedOn w:val="20"/>
    <w:qFormat/>
    <w:uiPriority w:val="0"/>
  </w:style>
  <w:style w:type="character" w:customStyle="1" w:styleId="47">
    <w:name w:val="hover47"/>
    <w:basedOn w:val="20"/>
    <w:qFormat/>
    <w:uiPriority w:val="0"/>
    <w:rPr>
      <w:shd w:val="clear" w:color="auto" w:fill="1D50A2"/>
    </w:rPr>
  </w:style>
  <w:style w:type="character" w:customStyle="1" w:styleId="48">
    <w:name w:val="hover48"/>
    <w:basedOn w:val="20"/>
    <w:qFormat/>
    <w:uiPriority w:val="0"/>
    <w:rPr>
      <w:color w:val="1D50A2"/>
    </w:rPr>
  </w:style>
  <w:style w:type="character" w:customStyle="1" w:styleId="49">
    <w:name w:val="mip-carousel-current-indicator"/>
    <w:basedOn w:val="20"/>
    <w:qFormat/>
    <w:uiPriority w:val="0"/>
    <w:rPr>
      <w:shd w:val="clear" w:color="auto" w:fill="FF0000"/>
    </w:rPr>
  </w:style>
  <w:style w:type="character" w:customStyle="1" w:styleId="50">
    <w:name w:val="hover24"/>
    <w:basedOn w:val="20"/>
    <w:qFormat/>
    <w:uiPriority w:val="0"/>
    <w:rPr>
      <w:color w:val="315EFB"/>
    </w:rPr>
  </w:style>
  <w:style w:type="character" w:customStyle="1" w:styleId="51">
    <w:name w:val="hover25"/>
    <w:basedOn w:val="20"/>
    <w:qFormat/>
    <w:uiPriority w:val="0"/>
  </w:style>
  <w:style w:type="character" w:customStyle="1" w:styleId="52">
    <w:name w:val="c-icon28"/>
    <w:basedOn w:val="20"/>
    <w:qFormat/>
    <w:uiPriority w:val="0"/>
  </w:style>
  <w:style w:type="character" w:customStyle="1" w:styleId="53">
    <w:name w:val="pchide"/>
    <w:basedOn w:val="20"/>
    <w:qFormat/>
    <w:uiPriority w:val="0"/>
    <w:rPr>
      <w:color w:val="999999"/>
    </w:rPr>
  </w:style>
  <w:style w:type="character" w:customStyle="1" w:styleId="54">
    <w:name w:val="cur"/>
    <w:basedOn w:val="20"/>
    <w:qFormat/>
    <w:uiPriority w:val="0"/>
    <w:rPr>
      <w:color w:val="C40001"/>
    </w:rPr>
  </w:style>
  <w:style w:type="character" w:customStyle="1" w:styleId="55">
    <w:name w:val="cur1"/>
    <w:basedOn w:val="20"/>
    <w:qFormat/>
    <w:uiPriority w:val="0"/>
    <w:rPr>
      <w:color w:val="C40001"/>
    </w:rPr>
  </w:style>
  <w:style w:type="character" w:customStyle="1" w:styleId="56">
    <w:name w:val="zhankai"/>
    <w:basedOn w:val="20"/>
    <w:qFormat/>
    <w:uiPriority w:val="0"/>
  </w:style>
  <w:style w:type="character" w:customStyle="1" w:styleId="57">
    <w:name w:val="p90"/>
    <w:basedOn w:val="20"/>
    <w:qFormat/>
    <w:uiPriority w:val="0"/>
  </w:style>
  <w:style w:type="character" w:customStyle="1" w:styleId="58">
    <w:name w:val="last-child"/>
    <w:basedOn w:val="20"/>
    <w:qFormat/>
    <w:uiPriority w:val="0"/>
  </w:style>
  <w:style w:type="character" w:customStyle="1" w:styleId="59">
    <w:name w:val="last-child1"/>
    <w:basedOn w:val="20"/>
    <w:qFormat/>
    <w:uiPriority w:val="0"/>
  </w:style>
  <w:style w:type="character" w:customStyle="1" w:styleId="60">
    <w:name w:val="hover10"/>
    <w:basedOn w:val="20"/>
    <w:qFormat/>
    <w:uiPriority w:val="0"/>
    <w:rPr>
      <w:color w:val="C40001"/>
    </w:rPr>
  </w:style>
  <w:style w:type="character" w:customStyle="1" w:styleId="61">
    <w:name w:val="index-module_accountauthentication_3bwix"/>
    <w:basedOn w:val="20"/>
    <w:qFormat/>
    <w:uiPriority w:val="0"/>
  </w:style>
  <w:style w:type="character" w:customStyle="1" w:styleId="62">
    <w:name w:val="m01"/>
    <w:basedOn w:val="20"/>
    <w:qFormat/>
    <w:uiPriority w:val="0"/>
  </w:style>
  <w:style w:type="character" w:customStyle="1" w:styleId="63">
    <w:name w:val="m011"/>
    <w:basedOn w:val="20"/>
    <w:qFormat/>
    <w:uiPriority w:val="0"/>
  </w:style>
  <w:style w:type="character" w:customStyle="1" w:styleId="64">
    <w:name w:val="name"/>
    <w:basedOn w:val="20"/>
    <w:qFormat/>
    <w:uiPriority w:val="0"/>
    <w:rPr>
      <w:color w:val="6A6A6A"/>
      <w:u w:val="single"/>
    </w:rPr>
  </w:style>
  <w:style w:type="character" w:customStyle="1" w:styleId="65">
    <w:name w:val="more4"/>
    <w:basedOn w:val="20"/>
    <w:qFormat/>
    <w:uiPriority w:val="0"/>
    <w:rPr>
      <w:color w:val="666666"/>
      <w:sz w:val="14"/>
      <w:szCs w:val="14"/>
    </w:rPr>
  </w:style>
  <w:style w:type="character" w:customStyle="1" w:styleId="66">
    <w:name w:val="dates"/>
    <w:basedOn w:val="20"/>
    <w:qFormat/>
    <w:uiPriority w:val="0"/>
  </w:style>
  <w:style w:type="character" w:customStyle="1" w:styleId="67">
    <w:name w:val="bg02"/>
    <w:basedOn w:val="20"/>
    <w:qFormat/>
    <w:uiPriority w:val="0"/>
  </w:style>
  <w:style w:type="character" w:customStyle="1" w:styleId="68">
    <w:name w:val="tabg"/>
    <w:basedOn w:val="20"/>
    <w:qFormat/>
    <w:uiPriority w:val="0"/>
    <w:rPr>
      <w:color w:val="FFFFFF"/>
      <w:sz w:val="21"/>
      <w:szCs w:val="21"/>
    </w:rPr>
  </w:style>
  <w:style w:type="character" w:customStyle="1" w:styleId="69">
    <w:name w:val="bg01"/>
    <w:basedOn w:val="20"/>
    <w:qFormat/>
    <w:uiPriority w:val="0"/>
  </w:style>
  <w:style w:type="character" w:customStyle="1" w:styleId="70">
    <w:name w:val="font2"/>
    <w:basedOn w:val="20"/>
    <w:qFormat/>
    <w:uiPriority w:val="0"/>
  </w:style>
  <w:style w:type="character" w:customStyle="1" w:styleId="71">
    <w:name w:val="font3"/>
    <w:basedOn w:val="20"/>
    <w:qFormat/>
    <w:uiPriority w:val="0"/>
  </w:style>
  <w:style w:type="character" w:customStyle="1" w:styleId="72">
    <w:name w:val="laypage_curr"/>
    <w:basedOn w:val="20"/>
    <w:qFormat/>
    <w:uiPriority w:val="0"/>
    <w:rPr>
      <w:color w:val="FFFDF4"/>
      <w:shd w:val="clear" w:color="auto" w:fill="0B67A6"/>
    </w:rPr>
  </w:style>
  <w:style w:type="character" w:customStyle="1" w:styleId="73">
    <w:name w:val="place"/>
    <w:basedOn w:val="20"/>
    <w:qFormat/>
    <w:uiPriority w:val="0"/>
  </w:style>
  <w:style w:type="character" w:customStyle="1" w:styleId="74">
    <w:name w:val="place1"/>
    <w:basedOn w:val="20"/>
    <w:qFormat/>
    <w:uiPriority w:val="0"/>
  </w:style>
  <w:style w:type="character" w:customStyle="1" w:styleId="75">
    <w:name w:val="place2"/>
    <w:basedOn w:val="20"/>
    <w:qFormat/>
    <w:uiPriority w:val="0"/>
  </w:style>
  <w:style w:type="character" w:customStyle="1" w:styleId="76">
    <w:name w:val="place3"/>
    <w:basedOn w:val="20"/>
    <w:qFormat/>
    <w:uiPriority w:val="0"/>
    <w:rPr>
      <w:rFonts w:ascii="微软雅黑" w:hAnsi="微软雅黑" w:eastAsia="微软雅黑" w:cs="微软雅黑"/>
      <w:color w:val="888888"/>
      <w:sz w:val="20"/>
      <w:szCs w:val="20"/>
    </w:rPr>
  </w:style>
  <w:style w:type="character" w:customStyle="1" w:styleId="77">
    <w:name w:val="noline"/>
    <w:basedOn w:val="20"/>
    <w:qFormat/>
    <w:uiPriority w:val="0"/>
  </w:style>
  <w:style w:type="character" w:customStyle="1" w:styleId="78">
    <w:name w:val="font"/>
    <w:basedOn w:val="20"/>
    <w:qFormat/>
    <w:uiPriority w:val="0"/>
  </w:style>
  <w:style w:type="character" w:customStyle="1" w:styleId="79">
    <w:name w:val="font1"/>
    <w:basedOn w:val="20"/>
    <w:qFormat/>
    <w:uiPriority w:val="0"/>
  </w:style>
  <w:style w:type="character" w:customStyle="1" w:styleId="80">
    <w:name w:val="gwds_nopic"/>
    <w:basedOn w:val="20"/>
    <w:qFormat/>
    <w:uiPriority w:val="0"/>
  </w:style>
  <w:style w:type="character" w:customStyle="1" w:styleId="81">
    <w:name w:val="gwds_nopic1"/>
    <w:basedOn w:val="20"/>
    <w:qFormat/>
    <w:uiPriority w:val="0"/>
  </w:style>
  <w:style w:type="character" w:customStyle="1" w:styleId="82">
    <w:name w:val="gwds_nopic2"/>
    <w:basedOn w:val="20"/>
    <w:qFormat/>
    <w:uiPriority w:val="0"/>
  </w:style>
  <w:style w:type="character" w:customStyle="1" w:styleId="83">
    <w:name w:val="hover20"/>
    <w:basedOn w:val="20"/>
    <w:qFormat/>
    <w:uiPriority w:val="0"/>
    <w:rPr>
      <w:color w:val="015293"/>
    </w:rPr>
  </w:style>
  <w:style w:type="paragraph" w:customStyle="1" w:styleId="84">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5">
    <w:name w:val="引文"/>
    <w:basedOn w:val="1"/>
    <w:qFormat/>
    <w:uiPriority w:val="0"/>
    <w:pPr>
      <w:spacing w:line="288" w:lineRule="auto"/>
      <w:ind w:left="200" w:hanging="200" w:hangingChars="200"/>
    </w:pPr>
  </w:style>
  <w:style w:type="character" w:customStyle="1" w:styleId="86">
    <w:name w:val="页眉 字符"/>
    <w:basedOn w:val="20"/>
    <w:link w:val="16"/>
    <w:qFormat/>
    <w:uiPriority w:val="0"/>
    <w:rPr>
      <w:rFonts w:asciiTheme="minorHAnsi" w:hAnsiTheme="minorHAnsi" w:eastAsiaTheme="minorEastAsia" w:cstheme="minorBidi"/>
      <w:kern w:val="2"/>
      <w:sz w:val="18"/>
      <w:szCs w:val="18"/>
    </w:rPr>
  </w:style>
  <w:style w:type="character" w:customStyle="1" w:styleId="87">
    <w:name w:val="页脚 字符"/>
    <w:basedOn w:val="20"/>
    <w:link w:val="14"/>
    <w:qFormat/>
    <w:uiPriority w:val="99"/>
    <w:rPr>
      <w:rFonts w:asciiTheme="minorHAnsi" w:hAnsiTheme="minorHAnsi" w:eastAsiaTheme="minorEastAsia" w:cstheme="minorBidi"/>
      <w:kern w:val="2"/>
      <w:sz w:val="18"/>
      <w:szCs w:val="18"/>
    </w:rPr>
  </w:style>
  <w:style w:type="paragraph" w:customStyle="1" w:styleId="8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9">
    <w:name w:val="批注文字 字符"/>
    <w:basedOn w:val="20"/>
    <w:link w:val="8"/>
    <w:qFormat/>
    <w:uiPriority w:val="0"/>
  </w:style>
  <w:style w:type="character" w:customStyle="1" w:styleId="90">
    <w:name w:val="批注主题 字符"/>
    <w:basedOn w:val="89"/>
    <w:link w:val="7"/>
    <w:qFormat/>
    <w:uiPriority w:val="0"/>
    <w:rPr>
      <w:rFonts w:asciiTheme="minorHAnsi" w:hAnsiTheme="minorHAnsi" w:eastAsiaTheme="minorEastAsia" w:cstheme="minorBidi"/>
      <w:b/>
      <w:bCs/>
      <w:kern w:val="2"/>
      <w:sz w:val="21"/>
      <w:szCs w:val="24"/>
    </w:rPr>
  </w:style>
  <w:style w:type="character" w:customStyle="1" w:styleId="91">
    <w:name w:val="脚注文本 字符"/>
    <w:basedOn w:val="20"/>
    <w:link w:val="17"/>
    <w:qFormat/>
    <w:uiPriority w:val="0"/>
    <w:rPr>
      <w:rFonts w:asciiTheme="minorHAnsi" w:hAnsiTheme="minorHAnsi" w:eastAsiaTheme="minorEastAsia" w:cstheme="minorBidi"/>
      <w:kern w:val="2"/>
      <w:sz w:val="18"/>
      <w:szCs w:val="24"/>
    </w:rPr>
  </w:style>
  <w:style w:type="paragraph" w:customStyle="1" w:styleId="92">
    <w:name w:val="列表段落1"/>
    <w:basedOn w:val="1"/>
    <w:qFormat/>
    <w:uiPriority w:val="99"/>
    <w:pPr>
      <w:ind w:firstLine="420" w:firstLineChars="200"/>
    </w:pPr>
  </w:style>
  <w:style w:type="character" w:customStyle="1" w:styleId="93">
    <w:name w:val="font21"/>
    <w:basedOn w:val="20"/>
    <w:qFormat/>
    <w:uiPriority w:val="0"/>
    <w:rPr>
      <w:rFonts w:hint="eastAsia" w:ascii="宋体" w:hAnsi="宋体" w:eastAsia="宋体" w:cs="宋体"/>
      <w:color w:val="000000"/>
      <w:sz w:val="18"/>
      <w:szCs w:val="18"/>
      <w:u w:val="none"/>
    </w:rPr>
  </w:style>
  <w:style w:type="character" w:customStyle="1" w:styleId="94">
    <w:name w:val="MTEquationSection"/>
    <w:basedOn w:val="20"/>
    <w:qFormat/>
    <w:uiPriority w:val="0"/>
    <w:rPr>
      <w:rFonts w:ascii="黑体" w:hAnsi="黑体" w:eastAsia="黑体"/>
      <w:vanish/>
      <w:color w:val="FF0000"/>
    </w:rPr>
  </w:style>
  <w:style w:type="character" w:customStyle="1" w:styleId="95">
    <w:name w:val="dt-editor__word"/>
    <w:qFormat/>
    <w:uiPriority w:val="0"/>
  </w:style>
  <w:style w:type="table" w:customStyle="1" w:styleId="96">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7">
    <w:name w:val="List Paragraph"/>
    <w:basedOn w:val="1"/>
    <w:qFormat/>
    <w:uiPriority w:val="99"/>
    <w:pPr>
      <w:ind w:firstLine="420" w:firstLineChars="200"/>
    </w:pPr>
  </w:style>
  <w:style w:type="paragraph" w:customStyle="1" w:styleId="98">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9">
    <w:name w:val="MTDisplayEquation"/>
    <w:basedOn w:val="100"/>
    <w:next w:val="1"/>
    <w:link w:val="101"/>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100">
    <w:name w:val="公式"/>
    <w:basedOn w:val="1"/>
    <w:unhideWhenUsed/>
    <w:qFormat/>
    <w:uiPriority w:val="0"/>
    <w:pPr>
      <w:tabs>
        <w:tab w:val="right" w:pos="10103"/>
      </w:tabs>
      <w:spacing w:line="360" w:lineRule="auto"/>
      <w:jc w:val="center"/>
    </w:pPr>
  </w:style>
  <w:style w:type="character" w:customStyle="1" w:styleId="101">
    <w:name w:val="MTDisplayEquation 字符"/>
    <w:basedOn w:val="20"/>
    <w:link w:val="99"/>
    <w:qFormat/>
    <w:uiPriority w:val="0"/>
    <w:rPr>
      <w:rFonts w:ascii="Times New Roman" w:hAnsi="Times New Roman" w:eastAsia="宋体" w:cs="Times New Roman"/>
      <w:i/>
      <w:iCs/>
      <w:kern w:val="2"/>
      <w:sz w:val="21"/>
      <w:szCs w:val="22"/>
    </w:rPr>
  </w:style>
  <w:style w:type="character" w:customStyle="1" w:styleId="102">
    <w:name w:val="未处理的提及1"/>
    <w:basedOn w:val="20"/>
    <w:semiHidden/>
    <w:unhideWhenUsed/>
    <w:qFormat/>
    <w:uiPriority w:val="99"/>
    <w:rPr>
      <w:color w:val="605E5C"/>
      <w:shd w:val="clear" w:color="auto" w:fill="E1DFDD"/>
    </w:rPr>
  </w:style>
  <w:style w:type="paragraph" w:customStyle="1" w:styleId="103">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4">
    <w:name w:val="批注框文本 字符"/>
    <w:basedOn w:val="20"/>
    <w:link w:val="13"/>
    <w:qFormat/>
    <w:uiPriority w:val="0"/>
    <w:rPr>
      <w:rFonts w:asciiTheme="minorHAnsi" w:hAnsiTheme="minorHAnsi" w:eastAsiaTheme="minorEastAsia" w:cstheme="minorBidi"/>
      <w:kern w:val="2"/>
      <w:sz w:val="18"/>
      <w:szCs w:val="18"/>
    </w:rPr>
  </w:style>
  <w:style w:type="character" w:customStyle="1" w:styleId="105">
    <w:name w:val="标题 2 字符"/>
    <w:basedOn w:val="20"/>
    <w:link w:val="5"/>
    <w:qFormat/>
    <w:uiPriority w:val="0"/>
    <w:rPr>
      <w:rFonts w:ascii="宋体" w:hAnsi="宋体" w:eastAsiaTheme="minorEastAsia"/>
      <w:b/>
      <w:bCs/>
      <w:sz w:val="28"/>
      <w:szCs w:val="36"/>
    </w:rPr>
  </w:style>
  <w:style w:type="character" w:customStyle="1" w:styleId="106">
    <w:name w:val="未处理的提及2"/>
    <w:basedOn w:val="20"/>
    <w:semiHidden/>
    <w:unhideWhenUsed/>
    <w:qFormat/>
    <w:uiPriority w:val="99"/>
    <w:rPr>
      <w:color w:val="605E5C"/>
      <w:shd w:val="clear" w:color="auto" w:fill="E1DFDD"/>
    </w:rPr>
  </w:style>
  <w:style w:type="character" w:customStyle="1" w:styleId="107">
    <w:name w:val="正文文本 字符"/>
    <w:basedOn w:val="20"/>
    <w:link w:val="10"/>
    <w:qFormat/>
    <w:uiPriority w:val="99"/>
    <w:rPr>
      <w:rFonts w:asciiTheme="minorHAnsi" w:hAnsiTheme="minorHAnsi" w:eastAsiaTheme="minorEastAsia" w:cstheme="minorBidi"/>
      <w:kern w:val="2"/>
      <w:sz w:val="18"/>
      <w:szCs w:val="24"/>
    </w:rPr>
  </w:style>
  <w:style w:type="paragraph" w:customStyle="1" w:styleId="108">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9">
    <w:name w:val="Unresolved Mention"/>
    <w:basedOn w:val="20"/>
    <w:semiHidden/>
    <w:unhideWhenUsed/>
    <w:qFormat/>
    <w:uiPriority w:val="99"/>
    <w:rPr>
      <w:color w:val="605E5C"/>
      <w:shd w:val="clear" w:color="auto" w:fill="E1DFDD"/>
    </w:rPr>
  </w:style>
  <w:style w:type="paragraph" w:customStyle="1" w:styleId="110">
    <w:name w:val="3"/>
    <w:basedOn w:val="1"/>
    <w:next w:val="92"/>
    <w:qFormat/>
    <w:uiPriority w:val="34"/>
    <w:pPr>
      <w:ind w:firstLine="420" w:firstLineChars="200"/>
    </w:pPr>
    <w:rPr>
      <w:rFonts w:ascii="等线" w:hAnsi="等线" w:eastAsia="等线"/>
    </w:rPr>
  </w:style>
  <w:style w:type="paragraph" w:customStyle="1" w:styleId="111">
    <w:name w:val="4正文"/>
    <w:basedOn w:val="1"/>
    <w:qFormat/>
    <w:uiPriority w:val="0"/>
    <w:pPr>
      <w:spacing w:line="400" w:lineRule="exact"/>
    </w:pPr>
    <w:rPr>
      <w:rFonts w:ascii="Times New Roman" w:hAnsi="Times New Roman" w:cs="Times New Roman"/>
      <w:szCs w:val="24"/>
    </w:rPr>
  </w:style>
  <w:style w:type="table" w:customStyle="1" w:styleId="112">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3">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4">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5">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6">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7">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8">
    <w:name w:val="无格式表格 21"/>
    <w:basedOn w:val="34"/>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 w:type="paragraph" w:customStyle="1" w:styleId="119">
    <w:name w:val="居中"/>
    <w:qFormat/>
    <w:uiPriority w:val="0"/>
    <w:pPr>
      <w:tabs>
        <w:tab w:val="center" w:pos="4309"/>
      </w:tabs>
      <w:spacing w:beforeLines="0" w:line="240" w:lineRule="atLeast"/>
      <w:ind w:firstLine="392" w:firstLineChars="200"/>
    </w:pPr>
    <w:rPr>
      <w:rFonts w:hint="default" w:asciiTheme="minorAscii" w:hAnsiTheme="minorAscii" w:eastAsiaTheme="minorEastAsia" w:cstheme="minorBidi"/>
      <w:color w:val="auto"/>
    </w:rPr>
  </w:style>
  <w:style w:type="table" w:customStyle="1" w:styleId="120">
    <w:name w:val="网格表 21"/>
    <w:basedOn w:val="34"/>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Layout w:type="fixed"/>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121">
    <w:name w:val="引用 字符"/>
    <w:basedOn w:val="20"/>
    <w:link w:val="122"/>
    <w:qFormat/>
    <w:uiPriority w:val="29"/>
    <w:rPr>
      <w:rFonts w:eastAsia="楷体"/>
      <w:b/>
      <w:iCs/>
      <w:color w:val="404040" w:themeColor="text1" w:themeTint="BF"/>
      <w14:textFill>
        <w14:solidFill>
          <w14:schemeClr w14:val="tx1">
            <w14:lumMod w14:val="75000"/>
            <w14:lumOff w14:val="25000"/>
          </w14:schemeClr>
        </w14:solidFill>
      </w14:textFill>
    </w:rPr>
  </w:style>
  <w:style w:type="paragraph" w:styleId="122">
    <w:name w:val="Quote"/>
    <w:basedOn w:val="1"/>
    <w:next w:val="1"/>
    <w:link w:val="121"/>
    <w:qFormat/>
    <w:uiPriority w:val="29"/>
    <w:pPr>
      <w:spacing w:before="200" w:after="160"/>
      <w:ind w:left="864" w:right="864"/>
      <w:jc w:val="center"/>
    </w:pPr>
    <w:rPr>
      <w:rFonts w:eastAsia="楷体"/>
      <w:b/>
      <w:iCs/>
      <w:color w:val="404040" w:themeColor="text1" w:themeTint="BF"/>
      <w14:textFill>
        <w14:solidFill>
          <w14:schemeClr w14:val="tx1">
            <w14:lumMod w14:val="75000"/>
            <w14:lumOff w14:val="25000"/>
          </w14:schemeClr>
        </w14:solidFill>
      </w14:textFill>
    </w:rPr>
  </w:style>
  <w:style w:type="paragraph" w:customStyle="1" w:styleId="123">
    <w:name w:val="书目3"/>
    <w:basedOn w:val="1"/>
    <w:next w:val="1"/>
    <w:unhideWhenUsed/>
    <w:qFormat/>
    <w:uiPriority w:val="37"/>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1</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2025-05-20T01:58:15Z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