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6CBCD2" w14:textId="77777777" w:rsidR="00161770" w:rsidRDefault="0037446A" w:rsidP="00175BA0">
      <w:pPr>
        <w:ind w:firstLine="420"/>
        <w:jc w:val="center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回归结果截图</w:t>
      </w:r>
    </w:p>
    <w:p w14:paraId="4E5AF6CA" w14:textId="77777777" w:rsidR="00161770" w:rsidRDefault="0037446A">
      <w:pPr>
        <w:rPr>
          <w:rFonts w:ascii="黑体" w:eastAsia="黑体" w:hAnsi="黑体" w:cs="黑体"/>
        </w:rPr>
      </w:pPr>
      <w:r>
        <w:rPr>
          <w:rFonts w:ascii="黑体" w:eastAsia="黑体" w:hAnsi="黑体" w:cs="黑体" w:hint="eastAsia"/>
        </w:rPr>
        <w:t>（一）模型设定检验</w:t>
      </w:r>
    </w:p>
    <w:p w14:paraId="7C6C7607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t>1.</w:t>
      </w:r>
      <w:r>
        <w:rPr>
          <w:rFonts w:ascii="Times New Roman" w:hAnsi="Times New Roman" w:hint="eastAsia"/>
        </w:rPr>
        <w:t>豪斯</w:t>
      </w:r>
      <w:proofErr w:type="gramStart"/>
      <w:r>
        <w:rPr>
          <w:rFonts w:ascii="Times New Roman" w:hAnsi="Times New Roman" w:hint="eastAsia"/>
        </w:rPr>
        <w:t>曼</w:t>
      </w:r>
      <w:proofErr w:type="gramEnd"/>
      <w:r>
        <w:rPr>
          <w:rFonts w:ascii="Times New Roman" w:hAnsi="Times New Roman" w:hint="eastAsia"/>
        </w:rPr>
        <w:t>检验</w:t>
      </w:r>
    </w:p>
    <w:p w14:paraId="2D181EC0" w14:textId="77777777" w:rsidR="00161770" w:rsidRDefault="0037446A">
      <w:r>
        <w:rPr>
          <w:noProof/>
        </w:rPr>
        <w:drawing>
          <wp:inline distT="0" distB="0" distL="114300" distR="114300">
            <wp:extent cx="4330700" cy="3910330"/>
            <wp:effectExtent l="0" t="0" r="3175" b="4445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330700" cy="3910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46BE94" w14:textId="77777777" w:rsidR="00161770" w:rsidRDefault="0037446A">
      <w:r>
        <w:rPr>
          <w:noProof/>
        </w:rPr>
        <w:drawing>
          <wp:inline distT="0" distB="0" distL="114300" distR="114300">
            <wp:extent cx="4476750" cy="3691255"/>
            <wp:effectExtent l="0" t="0" r="0" b="4445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3691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3E71B8" w14:textId="77777777" w:rsidR="00161770" w:rsidRDefault="0037446A">
      <w:r>
        <w:rPr>
          <w:noProof/>
        </w:rPr>
        <w:lastRenderedPageBreak/>
        <w:drawing>
          <wp:inline distT="0" distB="0" distL="114300" distR="114300">
            <wp:extent cx="4963160" cy="3853180"/>
            <wp:effectExtent l="0" t="0" r="8890" b="4445"/>
            <wp:docPr id="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63160" cy="385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B75DF0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br w:type="page"/>
      </w:r>
    </w:p>
    <w:p w14:paraId="34965062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lastRenderedPageBreak/>
        <w:t>2.</w:t>
      </w:r>
      <w:r>
        <w:rPr>
          <w:rFonts w:ascii="Times New Roman" w:hAnsi="Times New Roman" w:hint="eastAsia"/>
        </w:rPr>
        <w:t>平行趋势检验</w:t>
      </w:r>
    </w:p>
    <w:p w14:paraId="484E8933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114300" distR="114300">
            <wp:extent cx="4669790" cy="5540375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rcRect l="190" r="47865"/>
                    <a:stretch>
                      <a:fillRect/>
                    </a:stretch>
                  </pic:blipFill>
                  <pic:spPr>
                    <a:xfrm>
                      <a:off x="0" y="0"/>
                      <a:ext cx="4669790" cy="554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A82802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br w:type="page"/>
      </w:r>
    </w:p>
    <w:p w14:paraId="49A5FA09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lastRenderedPageBreak/>
        <w:t>平行趋势图（正文中所展示以同样数据在</w:t>
      </w:r>
      <w:r>
        <w:rPr>
          <w:rFonts w:ascii="Times New Roman" w:hAnsi="Times New Roman" w:hint="eastAsia"/>
        </w:rPr>
        <w:t>origin</w:t>
      </w:r>
      <w:r>
        <w:rPr>
          <w:rFonts w:ascii="Times New Roman" w:hAnsi="Times New Roman" w:hint="eastAsia"/>
        </w:rPr>
        <w:t>中绘制）</w:t>
      </w:r>
    </w:p>
    <w:p w14:paraId="6137C928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114300" distR="114300">
            <wp:extent cx="5029200" cy="365760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857FBD" w14:textId="77777777" w:rsidR="00161770" w:rsidRDefault="00161770">
      <w:pPr>
        <w:rPr>
          <w:rFonts w:ascii="Times New Roman" w:hAnsi="Times New Roman"/>
        </w:rPr>
      </w:pPr>
    </w:p>
    <w:p w14:paraId="1164FC1E" w14:textId="77777777" w:rsidR="00161770" w:rsidRDefault="0037446A">
      <w:pPr>
        <w:rPr>
          <w:rFonts w:ascii="黑体" w:eastAsia="黑体" w:hAnsi="黑体" w:cs="黑体"/>
        </w:rPr>
      </w:pPr>
      <w:r>
        <w:rPr>
          <w:rFonts w:ascii="黑体" w:eastAsia="黑体" w:hAnsi="黑体" w:cs="黑体" w:hint="eastAsia"/>
        </w:rPr>
        <w:t>（二）基准回归</w:t>
      </w:r>
    </w:p>
    <w:p w14:paraId="16952BBA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t>基准回归第（</w:t>
      </w:r>
      <w:r>
        <w:rPr>
          <w:rFonts w:ascii="Times New Roman" w:hAnsi="Times New Roman" w:hint="eastAsia"/>
        </w:rPr>
        <w:t>1</w:t>
      </w:r>
      <w:r>
        <w:rPr>
          <w:rFonts w:ascii="Times New Roman" w:hAnsi="Times New Roman" w:hint="eastAsia"/>
        </w:rPr>
        <w:t>）列</w:t>
      </w:r>
    </w:p>
    <w:p w14:paraId="145556CD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114300" distR="114300">
            <wp:extent cx="5274310" cy="4211955"/>
            <wp:effectExtent l="0" t="0" r="254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11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8AEB66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lastRenderedPageBreak/>
        <w:t>基准回归第（</w:t>
      </w:r>
      <w:r>
        <w:rPr>
          <w:rFonts w:ascii="Times New Roman" w:hAnsi="Times New Roman" w:hint="eastAsia"/>
        </w:rPr>
        <w:t>2</w:t>
      </w:r>
      <w:r>
        <w:rPr>
          <w:rFonts w:ascii="Times New Roman" w:hAnsi="Times New Roman" w:hint="eastAsia"/>
        </w:rPr>
        <w:t>）列</w:t>
      </w:r>
    </w:p>
    <w:p w14:paraId="63E362AF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114300" distR="114300">
            <wp:extent cx="5272405" cy="3808730"/>
            <wp:effectExtent l="0" t="0" r="4445" b="12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808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F16A2F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t>基准回归第（</w:t>
      </w:r>
      <w:r>
        <w:rPr>
          <w:rFonts w:ascii="Times New Roman" w:hAnsi="Times New Roman" w:hint="eastAsia"/>
        </w:rPr>
        <w:t>3</w:t>
      </w:r>
      <w:r>
        <w:rPr>
          <w:rFonts w:ascii="Times New Roman" w:hAnsi="Times New Roman" w:hint="eastAsia"/>
        </w:rPr>
        <w:t>）列</w:t>
      </w:r>
    </w:p>
    <w:p w14:paraId="192031DD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114300" distR="114300">
            <wp:extent cx="4892675" cy="3817620"/>
            <wp:effectExtent l="0" t="0" r="3175" b="19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92675" cy="381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864A5D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t>基准回归第（</w:t>
      </w:r>
      <w:r>
        <w:rPr>
          <w:rFonts w:ascii="Times New Roman" w:hAnsi="Times New Roman" w:hint="eastAsia"/>
        </w:rPr>
        <w:t>4</w:t>
      </w:r>
      <w:r>
        <w:rPr>
          <w:rFonts w:ascii="Times New Roman" w:hAnsi="Times New Roman" w:hint="eastAsia"/>
        </w:rPr>
        <w:t>）列</w:t>
      </w:r>
    </w:p>
    <w:p w14:paraId="299F53A4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lastRenderedPageBreak/>
        <w:drawing>
          <wp:inline distT="0" distB="0" distL="114300" distR="114300">
            <wp:extent cx="4504690" cy="4106545"/>
            <wp:effectExtent l="0" t="0" r="635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04690" cy="410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5CC5AD" w14:textId="77777777" w:rsidR="00161770" w:rsidRDefault="00161770">
      <w:pPr>
        <w:rPr>
          <w:rFonts w:ascii="Times New Roman" w:hAnsi="Times New Roman"/>
        </w:rPr>
      </w:pPr>
    </w:p>
    <w:p w14:paraId="43443757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t>基准回归第（</w:t>
      </w:r>
      <w:r>
        <w:rPr>
          <w:rFonts w:ascii="Times New Roman" w:hAnsi="Times New Roman" w:hint="eastAsia"/>
        </w:rPr>
        <w:t>5</w:t>
      </w:r>
      <w:r>
        <w:rPr>
          <w:rFonts w:ascii="Times New Roman" w:hAnsi="Times New Roman" w:hint="eastAsia"/>
        </w:rPr>
        <w:t>）列</w:t>
      </w:r>
    </w:p>
    <w:p w14:paraId="365D9D82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114300" distR="114300">
            <wp:extent cx="4578985" cy="4114800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78985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F7CC13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lastRenderedPageBreak/>
        <w:t>基准回归第（</w:t>
      </w:r>
      <w:r>
        <w:rPr>
          <w:rFonts w:ascii="Times New Roman" w:hAnsi="Times New Roman" w:hint="eastAsia"/>
        </w:rPr>
        <w:t>6</w:t>
      </w:r>
      <w:r>
        <w:rPr>
          <w:rFonts w:ascii="Times New Roman" w:hAnsi="Times New Roman" w:hint="eastAsia"/>
        </w:rPr>
        <w:t>）列</w:t>
      </w:r>
    </w:p>
    <w:p w14:paraId="10FCE824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114300" distR="114300">
            <wp:extent cx="4281170" cy="3973830"/>
            <wp:effectExtent l="0" t="0" r="5080" b="762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281170" cy="397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395298" w14:textId="77777777" w:rsidR="00161770" w:rsidRDefault="0037446A">
      <w:pPr>
        <w:rPr>
          <w:rFonts w:ascii="黑体" w:eastAsia="黑体" w:hAnsi="黑体" w:cs="黑体"/>
        </w:rPr>
      </w:pPr>
      <w:r>
        <w:rPr>
          <w:rFonts w:ascii="黑体" w:eastAsia="黑体" w:hAnsi="黑体" w:cs="黑体" w:hint="eastAsia"/>
        </w:rPr>
        <w:t>（三）内生性检验</w:t>
      </w:r>
    </w:p>
    <w:p w14:paraId="2182A06E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t>工具变量法一阶段结果</w:t>
      </w:r>
    </w:p>
    <w:p w14:paraId="029B5E14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114300" distR="114300">
            <wp:extent cx="3986530" cy="3942715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8"/>
                    <a:srcRect r="44810"/>
                    <a:stretch>
                      <a:fillRect/>
                    </a:stretch>
                  </pic:blipFill>
                  <pic:spPr>
                    <a:xfrm>
                      <a:off x="0" y="0"/>
                      <a:ext cx="3986530" cy="394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31012B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lastRenderedPageBreak/>
        <w:t>工具变量法二阶段结果</w:t>
      </w:r>
    </w:p>
    <w:p w14:paraId="3222CAD9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114300" distR="114300">
            <wp:extent cx="4586605" cy="6814185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9"/>
                    <a:srcRect r="43490"/>
                    <a:stretch>
                      <a:fillRect/>
                    </a:stretch>
                  </pic:blipFill>
                  <pic:spPr>
                    <a:xfrm>
                      <a:off x="0" y="0"/>
                      <a:ext cx="4586605" cy="681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CEE51B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br w:type="page"/>
      </w:r>
    </w:p>
    <w:p w14:paraId="1C99DA64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lastRenderedPageBreak/>
        <w:t>排除遗漏变量</w:t>
      </w:r>
    </w:p>
    <w:p w14:paraId="1F3F835A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114300" distR="114300">
            <wp:extent cx="4301490" cy="417195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0"/>
                    <a:srcRect r="39210"/>
                    <a:stretch>
                      <a:fillRect/>
                    </a:stretch>
                  </pic:blipFill>
                  <pic:spPr>
                    <a:xfrm>
                      <a:off x="0" y="0"/>
                      <a:ext cx="4301490" cy="417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D05237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br w:type="page"/>
      </w:r>
    </w:p>
    <w:p w14:paraId="1CEF6B6E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lastRenderedPageBreak/>
        <w:t>PSM</w:t>
      </w:r>
      <w:r>
        <w:rPr>
          <w:rFonts w:ascii="Times New Roman" w:hAnsi="Times New Roman" w:hint="eastAsia"/>
        </w:rPr>
        <w:t>方法</w:t>
      </w:r>
    </w:p>
    <w:p w14:paraId="164D4969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114300" distR="114300">
            <wp:extent cx="5229860" cy="4843780"/>
            <wp:effectExtent l="0" t="0" r="8890" b="444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29860" cy="4843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89B689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br w:type="page"/>
      </w:r>
    </w:p>
    <w:p w14:paraId="24526F6A" w14:textId="77777777" w:rsidR="00161770" w:rsidRDefault="0037446A">
      <w:pPr>
        <w:rPr>
          <w:rFonts w:ascii="黑体" w:eastAsia="黑体" w:hAnsi="黑体" w:cs="黑体"/>
        </w:rPr>
      </w:pPr>
      <w:r>
        <w:rPr>
          <w:rFonts w:ascii="黑体" w:eastAsia="黑体" w:hAnsi="黑体" w:cs="黑体" w:hint="eastAsia"/>
        </w:rPr>
        <w:lastRenderedPageBreak/>
        <w:t>（四）稳健性检验</w:t>
      </w:r>
    </w:p>
    <w:p w14:paraId="6DB543C7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t>安慰剂（政策时间提前</w:t>
      </w:r>
      <w:r>
        <w:rPr>
          <w:rFonts w:ascii="Times New Roman" w:hAnsi="Times New Roman" w:hint="eastAsia"/>
        </w:rPr>
        <w:t>1</w:t>
      </w:r>
      <w:r>
        <w:rPr>
          <w:rFonts w:ascii="Times New Roman" w:hAnsi="Times New Roman" w:hint="eastAsia"/>
        </w:rPr>
        <w:t>年）</w:t>
      </w:r>
    </w:p>
    <w:p w14:paraId="08E48E3A" w14:textId="77777777" w:rsidR="00161770" w:rsidRDefault="0037446A">
      <w:pPr>
        <w:rPr>
          <w:rFonts w:ascii="Times New Roman" w:hAnsi="Times New Roman"/>
        </w:rPr>
      </w:pPr>
      <w:r>
        <w:rPr>
          <w:noProof/>
        </w:rPr>
        <w:drawing>
          <wp:inline distT="0" distB="0" distL="114300" distR="114300">
            <wp:extent cx="5269230" cy="4838065"/>
            <wp:effectExtent l="0" t="0" r="7620" b="635"/>
            <wp:docPr id="3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838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2387B8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br w:type="page"/>
      </w:r>
    </w:p>
    <w:p w14:paraId="066F6033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lastRenderedPageBreak/>
        <w:t>安慰剂（政策时间提前</w:t>
      </w:r>
      <w:r>
        <w:rPr>
          <w:rFonts w:ascii="Times New Roman" w:hAnsi="Times New Roman" w:hint="eastAsia"/>
        </w:rPr>
        <w:t>2</w:t>
      </w:r>
      <w:r>
        <w:rPr>
          <w:rFonts w:ascii="Times New Roman" w:hAnsi="Times New Roman" w:hint="eastAsia"/>
        </w:rPr>
        <w:t>年）</w:t>
      </w:r>
    </w:p>
    <w:p w14:paraId="4956D3D9" w14:textId="77777777" w:rsidR="00161770" w:rsidRDefault="0037446A">
      <w:pPr>
        <w:rPr>
          <w:rFonts w:ascii="Times New Roman" w:hAnsi="Times New Roman"/>
        </w:rPr>
      </w:pPr>
      <w:r>
        <w:rPr>
          <w:noProof/>
        </w:rPr>
        <w:drawing>
          <wp:inline distT="0" distB="0" distL="114300" distR="114300">
            <wp:extent cx="5272405" cy="4834255"/>
            <wp:effectExtent l="0" t="0" r="4445" b="4445"/>
            <wp:docPr id="4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83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E0CA4A" w14:textId="77777777" w:rsidR="00161770" w:rsidRDefault="00161770">
      <w:pPr>
        <w:rPr>
          <w:rFonts w:ascii="Times New Roman" w:hAnsi="Times New Roman"/>
        </w:rPr>
      </w:pPr>
    </w:p>
    <w:p w14:paraId="674A9680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t>随机实验组（</w:t>
      </w:r>
      <w:proofErr w:type="spellStart"/>
      <w:r>
        <w:rPr>
          <w:rFonts w:ascii="Times New Roman" w:hAnsi="Times New Roman" w:hint="eastAsia"/>
        </w:rPr>
        <w:t>stata</w:t>
      </w:r>
      <w:proofErr w:type="spellEnd"/>
      <w:r>
        <w:rPr>
          <w:rFonts w:ascii="Times New Roman" w:hAnsi="Times New Roman" w:hint="eastAsia"/>
        </w:rPr>
        <w:t>绘制，正文中所示图为相同数据在</w:t>
      </w:r>
      <w:r>
        <w:rPr>
          <w:rFonts w:ascii="Times New Roman" w:hAnsi="Times New Roman" w:hint="eastAsia"/>
        </w:rPr>
        <w:t>origin</w:t>
      </w:r>
      <w:r>
        <w:rPr>
          <w:rFonts w:ascii="Times New Roman" w:hAnsi="Times New Roman" w:hint="eastAsia"/>
        </w:rPr>
        <w:t>绘制）</w:t>
      </w:r>
    </w:p>
    <w:p w14:paraId="40C709AF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114300" distR="114300">
            <wp:extent cx="5273675" cy="3164205"/>
            <wp:effectExtent l="0" t="0" r="3175" b="762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16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380480" w14:textId="77777777" w:rsidR="00161770" w:rsidRDefault="00161770">
      <w:pPr>
        <w:rPr>
          <w:rFonts w:ascii="Times New Roman" w:hAnsi="Times New Roman"/>
        </w:rPr>
      </w:pPr>
    </w:p>
    <w:p w14:paraId="768FF235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t>使用区域层面数据测度数字经济</w:t>
      </w:r>
    </w:p>
    <w:p w14:paraId="255FB64A" w14:textId="77777777" w:rsidR="00161770" w:rsidRDefault="0037446A">
      <w:pPr>
        <w:rPr>
          <w:rFonts w:ascii="Times New Roman" w:hAnsi="Times New Roman"/>
        </w:rPr>
      </w:pPr>
      <w:r>
        <w:rPr>
          <w:noProof/>
        </w:rPr>
        <w:drawing>
          <wp:inline distT="0" distB="0" distL="114300" distR="114300">
            <wp:extent cx="4902200" cy="4396740"/>
            <wp:effectExtent l="0" t="0" r="3175" b="3810"/>
            <wp:docPr id="4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902200" cy="439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FF3393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br w:type="page"/>
      </w:r>
    </w:p>
    <w:p w14:paraId="1B80D34B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lastRenderedPageBreak/>
        <w:t>使用原始数据进行回归</w:t>
      </w:r>
    </w:p>
    <w:p w14:paraId="18A79486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114300" distR="114300">
            <wp:extent cx="5048250" cy="4784725"/>
            <wp:effectExtent l="0" t="0" r="0" b="6350"/>
            <wp:docPr id="3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478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9F7367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br w:type="page"/>
      </w:r>
    </w:p>
    <w:p w14:paraId="2E2B71CF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lastRenderedPageBreak/>
        <w:t>异质性处理效应</w:t>
      </w:r>
    </w:p>
    <w:p w14:paraId="58B2DB0B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114300" distR="114300">
            <wp:extent cx="5348605" cy="7083425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7"/>
                    <a:srcRect r="42931"/>
                    <a:stretch>
                      <a:fillRect/>
                    </a:stretch>
                  </pic:blipFill>
                  <pic:spPr>
                    <a:xfrm>
                      <a:off x="0" y="0"/>
                      <a:ext cx="5348605" cy="708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E8A568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t>动态平均处理效应</w:t>
      </w:r>
    </w:p>
    <w:p w14:paraId="3FB839F4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lastRenderedPageBreak/>
        <w:drawing>
          <wp:inline distT="0" distB="0" distL="114300" distR="114300">
            <wp:extent cx="4702810" cy="314579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8"/>
                    <a:srcRect r="42292"/>
                    <a:stretch>
                      <a:fillRect/>
                    </a:stretch>
                  </pic:blipFill>
                  <pic:spPr>
                    <a:xfrm>
                      <a:off x="0" y="0"/>
                      <a:ext cx="4702810" cy="3145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7CABC9" w14:textId="77777777" w:rsidR="00161770" w:rsidRDefault="0037446A">
      <w:pPr>
        <w:rPr>
          <w:rFonts w:ascii="黑体" w:eastAsia="黑体" w:hAnsi="黑体" w:cs="黑体"/>
        </w:rPr>
      </w:pPr>
      <w:r>
        <w:rPr>
          <w:rFonts w:ascii="黑体" w:eastAsia="黑体" w:hAnsi="黑体" w:cs="黑体" w:hint="eastAsia"/>
        </w:rPr>
        <w:t>（五）作用机制</w:t>
      </w:r>
    </w:p>
    <w:p w14:paraId="3009CB13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t>资产专用性视角交易成本作用机制</w:t>
      </w:r>
    </w:p>
    <w:p w14:paraId="18A3238F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114300" distR="114300">
            <wp:extent cx="5249545" cy="2948305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9"/>
                    <a:srcRect r="31264"/>
                    <a:stretch>
                      <a:fillRect/>
                    </a:stretch>
                  </pic:blipFill>
                  <pic:spPr>
                    <a:xfrm>
                      <a:off x="0" y="0"/>
                      <a:ext cx="5249545" cy="2948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B1DD78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br w:type="page"/>
      </w:r>
    </w:p>
    <w:p w14:paraId="0B8EE4A9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lastRenderedPageBreak/>
        <w:t>资产专用性视角企业投资作用机制</w:t>
      </w:r>
    </w:p>
    <w:p w14:paraId="257211E3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114300" distR="114300">
            <wp:extent cx="5226050" cy="274574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30"/>
                    <a:srcRect r="32626"/>
                    <a:stretch>
                      <a:fillRect/>
                    </a:stretch>
                  </pic:blipFill>
                  <pic:spPr>
                    <a:xfrm>
                      <a:off x="0" y="0"/>
                      <a:ext cx="5226050" cy="274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B592F9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t>交易不确定性视角交易成本作用机制</w:t>
      </w:r>
    </w:p>
    <w:p w14:paraId="31862A7F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114300" distR="114300">
            <wp:extent cx="5202555" cy="2663190"/>
            <wp:effectExtent l="0" t="0" r="0" b="381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31"/>
                    <a:srcRect r="33976"/>
                    <a:stretch>
                      <a:fillRect/>
                    </a:stretch>
                  </pic:blipFill>
                  <pic:spPr>
                    <a:xfrm>
                      <a:off x="0" y="0"/>
                      <a:ext cx="5202555" cy="2663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B7B858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t>交易不确定性视角长期合作作用机制</w:t>
      </w:r>
    </w:p>
    <w:p w14:paraId="642AECC7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114300" distR="114300">
            <wp:extent cx="5027930" cy="257048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32"/>
                    <a:srcRect r="33892"/>
                    <a:stretch>
                      <a:fillRect/>
                    </a:stretch>
                  </pic:blipFill>
                  <pic:spPr>
                    <a:xfrm>
                      <a:off x="0" y="0"/>
                      <a:ext cx="5027930" cy="257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1753C6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lastRenderedPageBreak/>
        <w:t>高交易频率视角交易成本作用机制</w:t>
      </w:r>
    </w:p>
    <w:p w14:paraId="6923A053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114300" distR="114300">
            <wp:extent cx="5164455" cy="2552700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33"/>
                    <a:srcRect r="31626"/>
                    <a:stretch>
                      <a:fillRect/>
                    </a:stretch>
                  </pic:blipFill>
                  <pic:spPr>
                    <a:xfrm>
                      <a:off x="0" y="0"/>
                      <a:ext cx="5164455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660EF4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t>高交易频率视角交易成本作用机制</w:t>
      </w:r>
    </w:p>
    <w:p w14:paraId="75058301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114300" distR="114300">
            <wp:extent cx="5149850" cy="2823210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34"/>
                    <a:srcRect r="35422"/>
                    <a:stretch>
                      <a:fillRect/>
                    </a:stretch>
                  </pic:blipFill>
                  <pic:spPr>
                    <a:xfrm>
                      <a:off x="0" y="0"/>
                      <a:ext cx="5149850" cy="282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D4EA1D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br w:type="page"/>
      </w:r>
    </w:p>
    <w:p w14:paraId="35414976" w14:textId="77777777" w:rsidR="00161770" w:rsidRDefault="0037446A">
      <w:pPr>
        <w:rPr>
          <w:rFonts w:ascii="黑体" w:eastAsia="黑体" w:hAnsi="黑体" w:cs="黑体"/>
        </w:rPr>
      </w:pPr>
      <w:r>
        <w:rPr>
          <w:rFonts w:ascii="黑体" w:eastAsia="黑体" w:hAnsi="黑体" w:cs="黑体" w:hint="eastAsia"/>
        </w:rPr>
        <w:lastRenderedPageBreak/>
        <w:t>（六）异质性</w:t>
      </w:r>
    </w:p>
    <w:p w14:paraId="4E8C632B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t>低垄断</w:t>
      </w:r>
    </w:p>
    <w:p w14:paraId="636AE1DD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114300" distR="114300">
            <wp:extent cx="4064000" cy="368427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35"/>
                    <a:srcRect r="36146"/>
                    <a:stretch>
                      <a:fillRect/>
                    </a:stretch>
                  </pic:blipFill>
                  <pic:spPr>
                    <a:xfrm>
                      <a:off x="0" y="0"/>
                      <a:ext cx="4064000" cy="368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2B4292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t>高垄断</w:t>
      </w:r>
    </w:p>
    <w:p w14:paraId="69565D85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114300" distR="114300">
            <wp:extent cx="4641215" cy="4282440"/>
            <wp:effectExtent l="0" t="0" r="6985" b="381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641215" cy="428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1242B5" w14:textId="77777777" w:rsidR="00161770" w:rsidRDefault="00161770">
      <w:pPr>
        <w:rPr>
          <w:rFonts w:ascii="Times New Roman" w:hAnsi="Times New Roman"/>
        </w:rPr>
      </w:pPr>
    </w:p>
    <w:p w14:paraId="601DC8A6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t>第一产业</w:t>
      </w:r>
    </w:p>
    <w:p w14:paraId="786A21A7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114300" distR="114300">
            <wp:extent cx="4453255" cy="4137660"/>
            <wp:effectExtent l="0" t="0" r="4445" b="571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453255" cy="4137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9E4600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t>二、三产业</w:t>
      </w:r>
    </w:p>
    <w:p w14:paraId="7046E541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114300" distR="114300">
            <wp:extent cx="4289425" cy="3919855"/>
            <wp:effectExtent l="0" t="0" r="6350" b="444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289425" cy="391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1A0ABB" w14:textId="77777777" w:rsidR="00161770" w:rsidRDefault="00161770">
      <w:pPr>
        <w:rPr>
          <w:rFonts w:ascii="Times New Roman" w:hAnsi="Times New Roman"/>
        </w:rPr>
      </w:pPr>
    </w:p>
    <w:p w14:paraId="6A6EF2E7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t>小规模</w:t>
      </w:r>
    </w:p>
    <w:p w14:paraId="2408A4F0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114300" distR="114300">
            <wp:extent cx="4556760" cy="4120515"/>
            <wp:effectExtent l="0" t="0" r="5715" b="381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556760" cy="4120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F7FE4B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br w:type="page"/>
      </w:r>
    </w:p>
    <w:p w14:paraId="0068F3B2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lastRenderedPageBreak/>
        <w:t>大规模</w:t>
      </w:r>
    </w:p>
    <w:p w14:paraId="72964DA2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114300" distR="114300">
            <wp:extent cx="5262245" cy="4944745"/>
            <wp:effectExtent l="0" t="0" r="5080" b="825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4944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C70E3B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br w:type="page"/>
      </w:r>
    </w:p>
    <w:p w14:paraId="53817150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lastRenderedPageBreak/>
        <w:t>上市时间</w:t>
      </w:r>
      <w:r>
        <w:rPr>
          <w:rFonts w:ascii="Times New Roman" w:hAnsi="Times New Roman" w:hint="eastAsia"/>
        </w:rPr>
        <w:t>10</w:t>
      </w:r>
      <w:r>
        <w:rPr>
          <w:rFonts w:ascii="Times New Roman" w:hAnsi="Times New Roman" w:hint="eastAsia"/>
        </w:rPr>
        <w:t>年以内</w:t>
      </w:r>
    </w:p>
    <w:p w14:paraId="262CA1C6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114300" distR="114300">
            <wp:extent cx="5299710" cy="4817110"/>
            <wp:effectExtent l="0" t="0" r="5715" b="254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99710" cy="4817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83ABD7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br w:type="page"/>
      </w:r>
    </w:p>
    <w:p w14:paraId="2DE79C01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lastRenderedPageBreak/>
        <w:t>上市</w:t>
      </w:r>
      <w:r>
        <w:rPr>
          <w:rFonts w:ascii="Times New Roman" w:hAnsi="Times New Roman" w:hint="eastAsia"/>
        </w:rPr>
        <w:t>时间</w:t>
      </w:r>
      <w:r>
        <w:rPr>
          <w:rFonts w:ascii="Times New Roman" w:hAnsi="Times New Roman" w:hint="eastAsia"/>
        </w:rPr>
        <w:t>10</w:t>
      </w:r>
      <w:r>
        <w:rPr>
          <w:rFonts w:ascii="Times New Roman" w:hAnsi="Times New Roman" w:hint="eastAsia"/>
        </w:rPr>
        <w:t>年以上</w:t>
      </w:r>
    </w:p>
    <w:p w14:paraId="50DD6610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114300" distR="114300">
            <wp:extent cx="4360545" cy="3938905"/>
            <wp:effectExtent l="0" t="0" r="1905" b="444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360545" cy="393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DEC2BB" w14:textId="77777777" w:rsidR="00161770" w:rsidRDefault="0037446A">
      <w:pPr>
        <w:rPr>
          <w:rFonts w:ascii="黑体" w:eastAsia="黑体" w:hAnsi="黑体" w:cs="黑体"/>
        </w:rPr>
      </w:pPr>
      <w:r>
        <w:rPr>
          <w:rFonts w:ascii="黑体" w:eastAsia="黑体" w:hAnsi="黑体" w:cs="黑体" w:hint="eastAsia"/>
        </w:rPr>
        <w:t>（七）提升路径</w:t>
      </w:r>
    </w:p>
    <w:p w14:paraId="7A6F56CD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t>纵向一体化</w:t>
      </w:r>
    </w:p>
    <w:p w14:paraId="55844630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114300" distR="114300">
            <wp:extent cx="4377690" cy="4212590"/>
            <wp:effectExtent l="0" t="0" r="3810" b="698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377690" cy="421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F2504C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lastRenderedPageBreak/>
        <w:t>家庭农场</w:t>
      </w:r>
    </w:p>
    <w:p w14:paraId="62DA613A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114300" distR="114300">
            <wp:extent cx="5440680" cy="5229225"/>
            <wp:effectExtent l="0" t="0" r="762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440680" cy="522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723E58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br w:type="page"/>
      </w:r>
    </w:p>
    <w:p w14:paraId="4AE2FBA6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lastRenderedPageBreak/>
        <w:t>数字政府</w:t>
      </w:r>
    </w:p>
    <w:p w14:paraId="5AC8FC5D" w14:textId="77777777" w:rsidR="00161770" w:rsidRDefault="0037446A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114300" distR="114300">
            <wp:extent cx="5262245" cy="5093970"/>
            <wp:effectExtent l="0" t="0" r="5080" b="190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509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6177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445">
      <wne:macro wne:macroName="MATHTYPECOMMANDS.UILIB.MTCOMMAND_EDITEQUATIONINPLACE"/>
    </wne:keymap>
    <wne:keymap wne:kcmPrimary="044F">
      <wne:macro wne:macroName="MATHTYPECOMMANDS.UILIB.MTCOMMAND_EDITEQUATIONOPEN"/>
    </wne:keymap>
    <wne:keymap wne:kcmPrimary="0451">
      <wne:macro wne:macroName="MATHTYPECOMMANDS.UILIB.MTCOMMAND_INSERTDISPEQN"/>
    </wne:keymap>
    <wne:keymap wne:kcmPrimary="04DC">
      <wne:macro wne:macroName="MATHTYPECOMMANDS.UILIB.MTCOMMAND_TEXTOGGLE"/>
    </wne:keymap>
    <wne:keymap wne:kcmPrimary="0551">
      <wne:macro wne:macroName="MATHTYPECOMMANDS.UILIB.MTCOMMAND_INSERTRIGHTNUMBEREDDISPEQN"/>
    </wne:keymap>
    <wne:keymap wne:kcmPrimary="0651">
      <wne:macro wne:macroName="MATHTYPECOMMANDS.UILIB.MTCOMMAND_INSERTINLINEEQN"/>
    </wne:keymap>
    <wne:keymap wne:kcmPrimary="0751">
      <wne:macro wne:macroName="MATHTYPECOMMANDS.UILIB.MTCOMMAND_INSERTLEFTNUMBEREDDISPEQN"/>
    </wne:keymap>
  </wne:keymap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E07CCE" w14:textId="77777777" w:rsidR="0037446A" w:rsidRDefault="0037446A" w:rsidP="008B5A5F">
      <w:r>
        <w:separator/>
      </w:r>
    </w:p>
  </w:endnote>
  <w:endnote w:type="continuationSeparator" w:id="0">
    <w:p w14:paraId="125472FC" w14:textId="77777777" w:rsidR="0037446A" w:rsidRDefault="0037446A" w:rsidP="008B5A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9AF0B3" w14:textId="77777777" w:rsidR="0037446A" w:rsidRDefault="0037446A" w:rsidP="008B5A5F">
      <w:r>
        <w:separator/>
      </w:r>
    </w:p>
  </w:footnote>
  <w:footnote w:type="continuationSeparator" w:id="0">
    <w:p w14:paraId="62AAC327" w14:textId="77777777" w:rsidR="0037446A" w:rsidRDefault="0037446A" w:rsidP="008B5A5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61770"/>
    <w:rsid w:val="00161770"/>
    <w:rsid w:val="00175BA0"/>
    <w:rsid w:val="0037446A"/>
    <w:rsid w:val="008B5A5F"/>
    <w:rsid w:val="064E6EC7"/>
    <w:rsid w:val="08C83031"/>
    <w:rsid w:val="0E7C50F6"/>
    <w:rsid w:val="0E92007A"/>
    <w:rsid w:val="1115272B"/>
    <w:rsid w:val="11603F53"/>
    <w:rsid w:val="11DC5CCF"/>
    <w:rsid w:val="13EC7D20"/>
    <w:rsid w:val="15E1177E"/>
    <w:rsid w:val="16976668"/>
    <w:rsid w:val="1AC217DA"/>
    <w:rsid w:val="1D967A3C"/>
    <w:rsid w:val="1DEF6D8A"/>
    <w:rsid w:val="1E2E7011"/>
    <w:rsid w:val="1E8374C0"/>
    <w:rsid w:val="21135059"/>
    <w:rsid w:val="21896F86"/>
    <w:rsid w:val="268D2491"/>
    <w:rsid w:val="26B746E3"/>
    <w:rsid w:val="293D30B2"/>
    <w:rsid w:val="32EE540A"/>
    <w:rsid w:val="34B8243A"/>
    <w:rsid w:val="36087076"/>
    <w:rsid w:val="3DA2751D"/>
    <w:rsid w:val="3DF53AF1"/>
    <w:rsid w:val="461D76B3"/>
    <w:rsid w:val="4E4D0DDF"/>
    <w:rsid w:val="4FB54E8E"/>
    <w:rsid w:val="50463D38"/>
    <w:rsid w:val="55BB7F1E"/>
    <w:rsid w:val="575B631B"/>
    <w:rsid w:val="59C2119E"/>
    <w:rsid w:val="5BF22FC6"/>
    <w:rsid w:val="5FD54FA2"/>
    <w:rsid w:val="63A93590"/>
    <w:rsid w:val="65150451"/>
    <w:rsid w:val="66826F24"/>
    <w:rsid w:val="66A6409B"/>
    <w:rsid w:val="67CA4DF7"/>
    <w:rsid w:val="6B625A72"/>
    <w:rsid w:val="6CE64481"/>
    <w:rsid w:val="70A97C9F"/>
    <w:rsid w:val="73D2750D"/>
    <w:rsid w:val="752477AA"/>
    <w:rsid w:val="7A574C10"/>
    <w:rsid w:val="7ABF1251"/>
    <w:rsid w:val="7F0974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CC37B8E"/>
  <w15:docId w15:val="{8C105B73-F342-4759-9C22-00895F1A13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B5A5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rsid w:val="008B5A5F"/>
    <w:rPr>
      <w:kern w:val="2"/>
      <w:sz w:val="18"/>
      <w:szCs w:val="18"/>
    </w:rPr>
  </w:style>
  <w:style w:type="paragraph" w:styleId="a5">
    <w:name w:val="footer"/>
    <w:basedOn w:val="a"/>
    <w:link w:val="a6"/>
    <w:rsid w:val="008B5A5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rsid w:val="008B5A5F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emf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emf"/><Relationship Id="rId42" Type="http://schemas.openxmlformats.org/officeDocument/2006/relationships/image" Target="media/image36.png"/><Relationship Id="rId47" Type="http://schemas.openxmlformats.org/officeDocument/2006/relationships/theme" Target="theme/theme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emf"/><Relationship Id="rId1" Type="http://schemas.microsoft.com/office/2006/relationships/keyMapCustomizations" Target="customizations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emf"/><Relationship Id="rId32" Type="http://schemas.openxmlformats.org/officeDocument/2006/relationships/image" Target="media/image26.emf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emf"/><Relationship Id="rId36" Type="http://schemas.openxmlformats.org/officeDocument/2006/relationships/image" Target="media/image30.png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31" Type="http://schemas.openxmlformats.org/officeDocument/2006/relationships/image" Target="media/image25.emf"/><Relationship Id="rId44" Type="http://schemas.openxmlformats.org/officeDocument/2006/relationships/image" Target="media/image38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emf"/><Relationship Id="rId30" Type="http://schemas.openxmlformats.org/officeDocument/2006/relationships/image" Target="media/image24.emf"/><Relationship Id="rId35" Type="http://schemas.openxmlformats.org/officeDocument/2006/relationships/image" Target="media/image29.emf"/><Relationship Id="rId43" Type="http://schemas.openxmlformats.org/officeDocument/2006/relationships/image" Target="media/image37.png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emf"/><Relationship Id="rId38" Type="http://schemas.openxmlformats.org/officeDocument/2006/relationships/image" Target="media/image32.png"/><Relationship Id="rId46" Type="http://schemas.openxmlformats.org/officeDocument/2006/relationships/fontTable" Target="fontTable.xml"/><Relationship Id="rId20" Type="http://schemas.openxmlformats.org/officeDocument/2006/relationships/image" Target="media/image14.emf"/><Relationship Id="rId41" Type="http://schemas.openxmlformats.org/officeDocument/2006/relationships/image" Target="media/image35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26</Pages>
  <Words>87</Words>
  <Characters>500</Characters>
  <Application>Microsoft Office Word</Application>
  <DocSecurity>0</DocSecurity>
  <Lines>4</Lines>
  <Paragraphs>1</Paragraphs>
  <ScaleCrop>false</ScaleCrop>
  <Company/>
  <LinksUpToDate>false</LinksUpToDate>
  <CharactersWithSpaces>586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作者</cp:lastModifiedBy>
  <cp:revision>4</cp:revision>
  <dcterms:created xsi:type="dcterms:W3CDTF">2025-03-24T16:08:00Z</dcterms:created>
  <dcterms:modified xsi:type="dcterms:W3CDTF">2025-04-11T07:02:00Z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B363FB1B2F28414A97385785AE745F98_12</vt:lpwstr>
  </property>
  <property fmtid="{D5CDD505-2E9C-101B-9397-08002B2CF9AE}" pid="4" name="KSOTemplateDocerSaveRecord">
    <vt:lpwstr>eyJoZGlkIjoiYWFkNmNiMDlkMDUyMDFkOTI4OGZkZTA5Y2UxMzk4MGUiLCJ1c2VySWQiOiIxNjUzODI1MDc4In0=</vt:lpwstr>
  </property>
</Properties>
</file>