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eastAsia" w:ascii="黑体" w:hAnsi="黑体" w:eastAsia="黑体" w:cs="黑体"/>
          <w:sz w:val="28"/>
          <w:szCs w:val="28"/>
          <w14:ligatures w14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widowControl/>
        <w:jc w:val="left"/>
        <w:rPr>
          <w:rFonts w:ascii="Times New Roman" w:hAnsi="Times New Roman" w:eastAsia="宋体" w:cs="Times New Roman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center" w:pos="4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textAlignment w:val="auto"/>
        <w:rPr>
          <w:rFonts w:ascii="Times New Roman Regular" w:hAnsi="Times New Roman Regular" w:eastAsia="宋体" w:cs="Times New Roman Regular"/>
          <w:color w:val="000000"/>
          <w:szCs w:val="21"/>
        </w:rPr>
      </w:pPr>
      <w:r>
        <w:rPr>
          <w:rFonts w:ascii="Times New Roman Regular" w:hAnsi="Times New Roman Regular" w:eastAsia="黑体" w:cs="Times New Roman Regular"/>
          <w:color w:val="000000"/>
          <w:sz w:val="18"/>
          <w:szCs w:val="18"/>
        </w:rPr>
        <w:t>表</w:t>
      </w:r>
      <w:r>
        <w:rPr>
          <w:rFonts w:hint="eastAsia" w:ascii="Times New Roman Regular" w:hAnsi="Times New Roman Regular" w:eastAsia="黑体" w:cs="Times New Roman Regular"/>
          <w:color w:val="000000"/>
          <w:sz w:val="18"/>
          <w:szCs w:val="18"/>
          <w:lang w:val="en-US" w:eastAsia="zh-CN"/>
        </w:rPr>
        <w:t xml:space="preserve">1                                  </w:t>
      </w:r>
      <w:r>
        <w:rPr>
          <w:rFonts w:ascii="Times New Roman Regular" w:hAnsi="Times New Roman Regular" w:eastAsia="黑体" w:cs="Times New Roman Regular"/>
          <w:color w:val="000000"/>
          <w:sz w:val="18"/>
          <w:szCs w:val="18"/>
        </w:rPr>
        <w:t>稳健性检验结果</w:t>
      </w:r>
      <w:r>
        <w:rPr>
          <w:rFonts w:hint="eastAsia" w:ascii="Times New Roman Regular" w:hAnsi="Times New Roman Regular" w:eastAsia="黑体" w:cs="Times New Roman Regular"/>
          <w:color w:val="000000"/>
          <w:sz w:val="18"/>
          <w:szCs w:val="18"/>
        </w:rPr>
        <w:t>（一）</w:t>
      </w:r>
    </w:p>
    <w:tbl>
      <w:tblPr>
        <w:tblStyle w:val="34"/>
        <w:tblW w:w="8596" w:type="dxa"/>
        <w:tblInd w:w="98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1419"/>
        <w:gridCol w:w="1794"/>
        <w:gridCol w:w="1794"/>
        <w:gridCol w:w="1794"/>
        <w:gridCol w:w="1795"/>
      </w:tblGrid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vMerge w:val="restart"/>
            <w:tcBorders>
              <w:top w:val="single" w:color="000000" w:sz="12" w:space="0"/>
              <w:left w:val="nil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变量</w:t>
            </w:r>
          </w:p>
        </w:tc>
        <w:tc>
          <w:tcPr>
            <w:tcW w:w="7177" w:type="dxa"/>
            <w:gridSpan w:val="4"/>
            <w:tcBorders>
              <w:top w:val="single" w:color="000000" w:sz="12" w:space="0"/>
              <w:left w:val="single" w:color="000000" w:sz="2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被解释变量：农户收入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vMerge w:val="continue"/>
            <w:tcBorders>
              <w:left w:val="nil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single" w:color="000000" w:sz="4" w:space="0"/>
              <w:left w:val="single" w:color="000000" w:sz="2" w:space="0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179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179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79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vMerge w:val="continue"/>
            <w:tcBorders>
              <w:left w:val="nil"/>
              <w:bottom w:val="single" w:color="auto" w:sz="4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4" w:type="dxa"/>
            <w:tcBorders>
              <w:top w:val="nil"/>
              <w:left w:val="single" w:color="000000" w:sz="2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替换被</w:t>
            </w:r>
            <w:r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解释变量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</w:rPr>
              <w:t>替换核心解释变量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</w:rPr>
              <w:t>替换</w:t>
            </w:r>
            <w:r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</w:rPr>
              <w:t>为平衡面板样本</w:t>
            </w:r>
          </w:p>
        </w:tc>
        <w:tc>
          <w:tcPr>
            <w:tcW w:w="17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剔除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受</w:t>
            </w:r>
            <w:r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疫情影响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年份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tcBorders>
              <w:top w:val="single" w:color="auto" w:sz="4" w:space="0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返乡创业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强度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0.0034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794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0.012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794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071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795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0.00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40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tcBorders>
              <w:top w:val="nil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94" w:type="dxa"/>
            <w:tcBorders>
              <w:lef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0.00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0.003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（0.00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29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795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（0.00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16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tcBorders>
              <w:top w:val="nil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794" w:type="dxa"/>
            <w:tcBorders>
              <w:lef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95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tcBorders>
              <w:top w:val="nil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年份固定效应</w:t>
            </w:r>
          </w:p>
        </w:tc>
        <w:tc>
          <w:tcPr>
            <w:tcW w:w="1794" w:type="dxa"/>
            <w:tcBorders>
              <w:lef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95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tcBorders>
              <w:top w:val="nil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农户固定效应</w:t>
            </w:r>
          </w:p>
        </w:tc>
        <w:tc>
          <w:tcPr>
            <w:tcW w:w="1794" w:type="dxa"/>
            <w:tcBorders>
              <w:lef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sz w:val="18"/>
                <w:szCs w:val="18"/>
              </w:rPr>
              <w:t>未控制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95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tcBorders>
              <w:top w:val="nil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村庄固定效应</w:t>
            </w:r>
          </w:p>
        </w:tc>
        <w:tc>
          <w:tcPr>
            <w:tcW w:w="1794" w:type="dxa"/>
            <w:tcBorders>
              <w:lef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sz w:val="18"/>
                <w:szCs w:val="18"/>
              </w:rPr>
              <w:t>未控制</w:t>
            </w:r>
          </w:p>
        </w:tc>
        <w:tc>
          <w:tcPr>
            <w:tcW w:w="1794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sz w:val="18"/>
                <w:szCs w:val="18"/>
              </w:rPr>
              <w:t>未控制</w:t>
            </w:r>
          </w:p>
        </w:tc>
        <w:tc>
          <w:tcPr>
            <w:tcW w:w="1795" w:type="dxa"/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sz w:val="18"/>
                <w:szCs w:val="18"/>
              </w:rPr>
              <w:t>未控制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tcBorders>
              <w:top w:val="single" w:color="000000" w:sz="4" w:space="0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179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3747</w:t>
            </w:r>
          </w:p>
        </w:tc>
        <w:tc>
          <w:tcPr>
            <w:tcW w:w="179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kern w:val="0"/>
                <w:sz w:val="18"/>
                <w:szCs w:val="18"/>
                <w:lang w:bidi="ar"/>
              </w:rPr>
              <w:t>7277</w:t>
            </w:r>
          </w:p>
        </w:tc>
        <w:tc>
          <w:tcPr>
            <w:tcW w:w="179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77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795" w:type="dxa"/>
            <w:tcBorders>
              <w:top w:val="single" w:color="000000" w:sz="4" w:space="0"/>
              <w:left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16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7387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</w:trPr>
        <w:tc>
          <w:tcPr>
            <w:tcW w:w="1419" w:type="dxa"/>
            <w:tcBorders>
              <w:top w:val="nil"/>
              <w:bottom w:val="single" w:color="000000" w:sz="12" w:space="0"/>
              <w:right w:val="single" w:color="000000" w:sz="4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R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794" w:type="dxa"/>
            <w:tcBorders>
              <w:top w:val="nil"/>
              <w:left w:val="single" w:color="000000" w:sz="4" w:space="0"/>
              <w:bottom w:val="single" w:color="000000" w:sz="12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0.4924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0.1</w:t>
            </w:r>
            <w:r>
              <w:rPr>
                <w:rFonts w:ascii="Times New Roman Regular" w:hAnsi="Times New Roman Regular" w:eastAsia="Times New Roman Regular" w:cs="Times New Roman Regular"/>
                <w:color w:val="000000"/>
                <w:kern w:val="0"/>
                <w:sz w:val="18"/>
                <w:szCs w:val="18"/>
                <w:lang w:bidi="ar"/>
              </w:rPr>
              <w:t>584</w:t>
            </w:r>
          </w:p>
        </w:tc>
        <w:tc>
          <w:tcPr>
            <w:tcW w:w="179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0.1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922</w:t>
            </w:r>
          </w:p>
        </w:tc>
        <w:tc>
          <w:tcPr>
            <w:tcW w:w="1795" w:type="dxa"/>
            <w:tcBorders>
              <w:top w:val="nil"/>
              <w:left w:val="nil"/>
              <w:bottom w:val="single" w:color="000000" w:sz="12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2526</w:t>
            </w:r>
          </w:p>
        </w:tc>
      </w:tr>
    </w:tbl>
    <w:p>
      <w:pPr>
        <w:autoSpaceDE w:val="0"/>
        <w:autoSpaceDN w:val="0"/>
        <w:adjustRightInd w:val="0"/>
        <w:spacing w:line="240" w:lineRule="atLeast"/>
        <w:ind w:firstLine="332" w:firstLineChars="200"/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</w:pP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注：①***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val="en-US" w:eastAsia="zh-CN" w:bidi="ar"/>
        </w:rPr>
        <w:t>和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**分别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表示1%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val="en-US" w:eastAsia="zh-CN" w:bidi="ar"/>
        </w:rPr>
        <w:t>和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5%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的显著性水平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。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②括号内数字是聚类到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村庄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层面的稳健标准误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。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③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（1）列中的控制变量为村庄层面的控制变量，其余列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val="en-US" w:eastAsia="zh-CN" w:bidi="ar"/>
        </w:rPr>
        <w:t>的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控制变量与基准回归一致。</w:t>
      </w:r>
    </w:p>
    <w:p>
      <w:pPr>
        <w:pStyle w:val="124"/>
        <w:rPr>
          <w:rFonts w:hint="eastAsia" w:eastAsia="黑体"/>
          <w:color w:val="auto"/>
          <w:lang w:val="en-US" w:eastAsia="zh-CN"/>
        </w:rPr>
      </w:pPr>
    </w:p>
    <w:p>
      <w:pPr>
        <w:pStyle w:val="124"/>
        <w:rPr>
          <w:rFonts w:hint="eastAsia" w:eastAsia="黑体"/>
          <w:color w:val="auto"/>
          <w:lang w:val="en-US" w:eastAsia="zh-CN"/>
        </w:rPr>
      </w:pPr>
    </w:p>
    <w:p>
      <w:pPr>
        <w:tabs>
          <w:tab w:val="left" w:pos="420"/>
          <w:tab w:val="center" w:pos="4410"/>
        </w:tabs>
        <w:spacing w:line="240" w:lineRule="atLeast"/>
        <w:rPr>
          <w:rFonts w:ascii="Times New Roman Regular" w:hAnsi="Times New Roman Regular" w:eastAsia="宋体" w:cs="Times New Roman Regular"/>
          <w:color w:val="000000"/>
          <w:szCs w:val="21"/>
        </w:rPr>
      </w:pPr>
      <w:r>
        <w:rPr>
          <w:rFonts w:hint="eastAsia" w:ascii="Times New Roman Regular" w:hAnsi="Times New Roman Regular" w:eastAsia="黑体" w:cs="Times New Roman Regular"/>
          <w:color w:val="000000"/>
          <w:sz w:val="18"/>
          <w:szCs w:val="18"/>
          <w:lang w:val="en-US" w:eastAsia="zh-CN"/>
        </w:rPr>
        <w:tab/>
      </w:r>
      <w:r>
        <w:rPr>
          <w:rFonts w:ascii="Times New Roman Regular" w:hAnsi="Times New Roman Regular" w:eastAsia="黑体" w:cs="Times New Roman Regular"/>
          <w:color w:val="000000"/>
          <w:sz w:val="18"/>
          <w:szCs w:val="18"/>
        </w:rPr>
        <w:t>表</w:t>
      </w:r>
      <w:r>
        <w:rPr>
          <w:rFonts w:hint="eastAsia" w:ascii="Times New Roman Regular" w:hAnsi="Times New Roman Regular" w:eastAsia="黑体" w:cs="Times New Roman Regular"/>
          <w:color w:val="000000"/>
          <w:sz w:val="18"/>
          <w:szCs w:val="18"/>
          <w:lang w:val="en-US" w:eastAsia="zh-CN"/>
        </w:rPr>
        <w:t>2</w:t>
      </w:r>
      <w:r>
        <w:rPr>
          <w:rFonts w:ascii="Times New Roman Regular" w:hAnsi="Times New Roman Regular" w:eastAsia="黑体" w:cs="Times New Roman Regular"/>
          <w:color w:val="000000"/>
          <w:sz w:val="18"/>
          <w:szCs w:val="18"/>
        </w:rPr>
        <w:t xml:space="preserve"> </w:t>
      </w:r>
      <w:r>
        <w:rPr>
          <w:rFonts w:hint="eastAsia" w:ascii="Times New Roman Regular" w:hAnsi="Times New Roman Regular" w:eastAsia="黑体" w:cs="Times New Roman Regular"/>
          <w:color w:val="000000"/>
          <w:sz w:val="18"/>
          <w:szCs w:val="18"/>
        </w:rPr>
        <w:tab/>
      </w:r>
      <w:r>
        <w:rPr>
          <w:rFonts w:ascii="Times New Roman Regular" w:hAnsi="Times New Roman Regular" w:eastAsia="黑体" w:cs="Times New Roman Regular"/>
          <w:color w:val="000000"/>
          <w:sz w:val="18"/>
          <w:szCs w:val="18"/>
        </w:rPr>
        <w:t>稳健性检验结果（</w:t>
      </w:r>
      <w:r>
        <w:rPr>
          <w:rFonts w:hint="eastAsia" w:ascii="Times New Roman Regular" w:hAnsi="Times New Roman Regular" w:eastAsia="黑体" w:cs="Times New Roman Regular"/>
          <w:color w:val="000000"/>
          <w:sz w:val="18"/>
          <w:szCs w:val="18"/>
        </w:rPr>
        <w:t>二</w:t>
      </w:r>
      <w:r>
        <w:rPr>
          <w:rFonts w:ascii="Times New Roman Regular" w:hAnsi="Times New Roman Regular" w:eastAsia="黑体" w:cs="Times New Roman Regular"/>
          <w:color w:val="000000"/>
          <w:sz w:val="18"/>
          <w:szCs w:val="18"/>
        </w:rPr>
        <w:t>）</w:t>
      </w:r>
    </w:p>
    <w:tbl>
      <w:tblPr>
        <w:tblStyle w:val="34"/>
        <w:tblW w:w="8665" w:type="dxa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61"/>
        <w:gridCol w:w="1731"/>
        <w:gridCol w:w="1777"/>
        <w:gridCol w:w="1708"/>
        <w:gridCol w:w="1788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7" w:hRule="atLeast"/>
        </w:trPr>
        <w:tc>
          <w:tcPr>
            <w:tcW w:w="1661" w:type="dxa"/>
            <w:vMerge w:val="restart"/>
            <w:tcBorders>
              <w:top w:val="single" w:color="000000" w:sz="12" w:space="0"/>
              <w:left w:val="nil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变量</w:t>
            </w:r>
          </w:p>
        </w:tc>
        <w:tc>
          <w:tcPr>
            <w:tcW w:w="7004" w:type="dxa"/>
            <w:gridSpan w:val="4"/>
            <w:tcBorders>
              <w:top w:val="single" w:color="000000" w:sz="12" w:space="0"/>
              <w:left w:val="single" w:color="000000" w:sz="2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被解释变量：农户收入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7" w:hRule="atLeast"/>
        </w:trPr>
        <w:tc>
          <w:tcPr>
            <w:tcW w:w="1661" w:type="dxa"/>
            <w:vMerge w:val="continue"/>
            <w:tcBorders>
              <w:left w:val="nil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2" w:space="0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177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170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78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7" w:hRule="atLeast"/>
        </w:trPr>
        <w:tc>
          <w:tcPr>
            <w:tcW w:w="1661" w:type="dxa"/>
            <w:vMerge w:val="continue"/>
            <w:tcBorders>
              <w:left w:val="nil"/>
              <w:bottom w:val="single" w:color="auto" w:sz="4" w:space="0"/>
              <w:right w:val="single" w:color="000000" w:sz="2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731" w:type="dxa"/>
            <w:tcBorders>
              <w:top w:val="single" w:color="000000" w:sz="4" w:space="0"/>
              <w:left w:val="single" w:color="000000" w:sz="2" w:space="0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加入时间与村庄层面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控制变</w:t>
            </w:r>
            <w:bookmarkStart w:id="1" w:name="_GoBack"/>
            <w:bookmarkEnd w:id="1"/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量交互项</w:t>
            </w:r>
          </w:p>
        </w:tc>
        <w:tc>
          <w:tcPr>
            <w:tcW w:w="1777" w:type="dxa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left="0" w:leftChars="0" w:firstLine="0"/>
              <w:jc w:val="center"/>
              <w:textAlignment w:val="auto"/>
              <w:rPr>
                <w:rFonts w:ascii="仿宋_GB2312" w:hAnsi="Calibri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加入时间三项式与村庄层面控制变量交互项</w:t>
            </w:r>
          </w:p>
        </w:tc>
        <w:tc>
          <w:tcPr>
            <w:tcW w:w="1708" w:type="dxa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</w:rPr>
              <w:t>加入时间与村庄层面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</w:rPr>
              <w:t>前定控制变量交互项</w:t>
            </w:r>
          </w:p>
        </w:tc>
        <w:tc>
          <w:tcPr>
            <w:tcW w:w="1788" w:type="dxa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考虑返乡创业强度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bidi="ar"/>
              </w:rPr>
              <w:t>农户增收效应的滞后性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7" w:hRule="atLeast"/>
        </w:trPr>
        <w:tc>
          <w:tcPr>
            <w:tcW w:w="1661" w:type="dxa"/>
            <w:tcBorders>
              <w:top w:val="single" w:color="auto" w:sz="4" w:space="0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返乡创业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强度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034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777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036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708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0.0034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788" w:type="dxa"/>
            <w:tcBorders>
              <w:top w:val="single" w:color="auto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0.0019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7" w:hRule="atLeast"/>
        </w:trPr>
        <w:tc>
          <w:tcPr>
            <w:tcW w:w="1661" w:type="dxa"/>
            <w:tcBorders>
              <w:top w:val="nil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1" w:type="dxa"/>
            <w:tcBorders>
              <w:lef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（0.00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16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1777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（0.0016）</w:t>
            </w:r>
          </w:p>
        </w:tc>
        <w:tc>
          <w:tcPr>
            <w:tcW w:w="1708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（0.0016）</w:t>
            </w:r>
          </w:p>
        </w:tc>
        <w:tc>
          <w:tcPr>
            <w:tcW w:w="1788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（0.0005）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7" w:hRule="atLeast"/>
        </w:trPr>
        <w:tc>
          <w:tcPr>
            <w:tcW w:w="1661" w:type="dxa"/>
            <w:tcBorders>
              <w:top w:val="nil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731" w:type="dxa"/>
            <w:tcBorders>
              <w:lef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77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08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88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7" w:hRule="atLeast"/>
        </w:trPr>
        <w:tc>
          <w:tcPr>
            <w:tcW w:w="1661" w:type="dxa"/>
            <w:tcBorders>
              <w:top w:val="nil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年份和农户固定效应</w:t>
            </w:r>
          </w:p>
        </w:tc>
        <w:tc>
          <w:tcPr>
            <w:tcW w:w="1731" w:type="dxa"/>
            <w:tcBorders>
              <w:lef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77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08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  <w:tc>
          <w:tcPr>
            <w:tcW w:w="1788" w:type="dxa"/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 Regular" w:hAnsi="Times New Roman Regular" w:eastAsia="宋体" w:cs="Times New Roman Regular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7" w:hRule="atLeast"/>
        </w:trPr>
        <w:tc>
          <w:tcPr>
            <w:tcW w:w="1661" w:type="dxa"/>
            <w:tcBorders>
              <w:top w:val="single" w:color="000000" w:sz="4" w:space="0"/>
              <w:bottom w:val="nil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观测值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7277</w:t>
            </w:r>
          </w:p>
        </w:tc>
        <w:tc>
          <w:tcPr>
            <w:tcW w:w="177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7277</w:t>
            </w:r>
          </w:p>
        </w:tc>
        <w:tc>
          <w:tcPr>
            <w:tcW w:w="170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20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7277</w:t>
            </w:r>
          </w:p>
        </w:tc>
        <w:tc>
          <w:tcPr>
            <w:tcW w:w="1788" w:type="dxa"/>
            <w:tcBorders>
              <w:top w:val="single" w:color="000000" w:sz="4" w:space="0"/>
              <w:left w:val="nil"/>
              <w:bottom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171493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7" w:hRule="atLeast"/>
        </w:trPr>
        <w:tc>
          <w:tcPr>
            <w:tcW w:w="1661" w:type="dxa"/>
            <w:tcBorders>
              <w:top w:val="nil"/>
              <w:bottom w:val="single" w:color="000000" w:sz="12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R</w:t>
            </w: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12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0.1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621</w:t>
            </w:r>
          </w:p>
        </w:tc>
        <w:tc>
          <w:tcPr>
            <w:tcW w:w="177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0.1</w:t>
            </w: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606</w:t>
            </w:r>
          </w:p>
        </w:tc>
        <w:tc>
          <w:tcPr>
            <w:tcW w:w="1708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  <w:t>0.1621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000000" w:sz="12" w:space="0"/>
            </w:tcBorders>
            <w:shd w:val="clear" w:color="auto" w:fill="FFFFFF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 Regular" w:hAnsi="Times New Roman Regular" w:eastAsia="宋体" w:cs="Times New Roman Regular"/>
                <w:color w:val="000000"/>
                <w:kern w:val="0"/>
                <w:sz w:val="18"/>
                <w:szCs w:val="18"/>
                <w:lang w:bidi="ar"/>
              </w:rPr>
              <w:t>0.1184</w:t>
            </w:r>
          </w:p>
        </w:tc>
      </w:tr>
    </w:tbl>
    <w:p>
      <w:pPr>
        <w:autoSpaceDE w:val="0"/>
        <w:autoSpaceDN w:val="0"/>
        <w:adjustRightInd w:val="0"/>
        <w:spacing w:line="240" w:lineRule="atLeast"/>
        <w:ind w:firstLine="332" w:firstLineChars="200"/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val="en-US" w:eastAsia="zh-CN" w:bidi="ar"/>
        </w:rPr>
      </w:pP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注：①***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、**分别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表示1%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、5%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的显著性水平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。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②括号内数字是聚类到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村庄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层面的稳健标准误</w:t>
      </w:r>
      <w:r>
        <w:rPr>
          <w:rFonts w:hint="eastAsia" w:ascii="Times New Roman Regular" w:hAnsi="Times New Roman Regular" w:eastAsia="宋体" w:cs="Times New Roman Regular"/>
          <w:kern w:val="0"/>
          <w:sz w:val="18"/>
          <w:szCs w:val="18"/>
          <w:lang w:bidi="ar"/>
        </w:rPr>
        <w:t>。</w:t>
      </w:r>
      <w:r>
        <w:rPr>
          <w:rFonts w:ascii="Times New Roman Regular" w:hAnsi="Times New Roman Regular" w:eastAsia="宋体" w:cs="Times New Roman Regular"/>
          <w:kern w:val="0"/>
          <w:sz w:val="18"/>
          <w:szCs w:val="18"/>
          <w:lang w:bidi="ar"/>
        </w:rPr>
        <w:t>③控制变量与基准回归一致。</w:t>
      </w:r>
    </w:p>
    <w:p>
      <w:pPr>
        <w:ind w:firstLine="452" w:firstLineChars="200"/>
        <w:rPr>
          <w:rFonts w:cs="黑体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eastAsia="黑体" w:cs="Times New Roman"/>
        <w:lang w:val="en-US" w:eastAsia="zh-CN"/>
      </w:rPr>
    </w:pPr>
    <w:r>
      <w:rPr>
        <w:rFonts w:hint="eastAsia" w:eastAsia="黑体" w:cs="Times New Roman"/>
        <w:lang w:val="en-US" w:eastAsia="zh-CN"/>
      </w:rPr>
      <w:t>郑兆峰、高鸣：返乡创业强度如何影响创业者家乡其他农户收入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</w:t>
    </w:r>
    <w:r>
      <w:rPr>
        <w:rFonts w:hint="eastAsia" w:ascii="黑体" w:hAnsi="黑体" w:eastAsia="黑体" w:cs="黑体"/>
        <w:lang w:val="en-US" w:eastAsia="zh-CN"/>
      </w:rPr>
      <w:t>郑兆峰、高鸣：返乡创业强度如何影响创业者家乡其他农户收入</w:t>
    </w:r>
    <w:r>
      <w:rPr>
        <w:rFonts w:hint="eastAsia" w:cs="Times New Roman"/>
        <w:lang w:val="en-US" w:eastAsia="zh-CN"/>
      </w:rPr>
      <w:t xml:space="preserve">   </w:t>
    </w:r>
    <w:r>
      <w:rPr>
        <w:rFonts w:ascii="Times New Roman" w:hAnsi="Times New Roman" w:eastAsia="黑体" w:cs="Times New Roman"/>
      </w:rPr>
      <w:t>202</w:t>
    </w:r>
    <w:r>
      <w:rPr>
        <w:rFonts w:hint="eastAsia" w:eastAsia="黑体" w:cs="Times New Roman"/>
        <w:lang w:val="en-US" w:eastAsia="zh-CN"/>
      </w:rPr>
      <w:t>5年第5期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8EA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0DC60C3"/>
    <w:rsid w:val="213C39E5"/>
    <w:rsid w:val="21702066"/>
    <w:rsid w:val="21750BB9"/>
    <w:rsid w:val="21D35CA0"/>
    <w:rsid w:val="22280ABD"/>
    <w:rsid w:val="2268710B"/>
    <w:rsid w:val="226B2757"/>
    <w:rsid w:val="22704CCB"/>
    <w:rsid w:val="228111AF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1E265F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A81F34"/>
    <w:rsid w:val="37DD1AAE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6016C4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EE86DC8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EC024B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211C8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580A26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25A4A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AF056D5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5E1653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9E76DA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6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5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90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9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7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4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1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9">
    <w:name w:val="Title"/>
    <w:basedOn w:val="1"/>
    <w:next w:val="1"/>
    <w:qFormat/>
    <w:uiPriority w:val="10"/>
    <w:pPr>
      <w:widowControl/>
      <w:autoSpaceDE w:val="0"/>
      <w:autoSpaceDN w:val="0"/>
      <w:spacing w:line="300" w:lineRule="auto"/>
      <w:jc w:val="center"/>
    </w:pPr>
    <w:rPr>
      <w:rFonts w:eastAsia="黑体" w:cs="Times New Roman"/>
      <w:bCs/>
      <w:szCs w:val="21"/>
    </w:rPr>
  </w:style>
  <w:style w:type="character" w:styleId="21">
    <w:name w:val="Strong"/>
    <w:basedOn w:val="20"/>
    <w:qFormat/>
    <w:uiPriority w:val="0"/>
    <w:rPr>
      <w:b/>
    </w:rPr>
  </w:style>
  <w:style w:type="character" w:styleId="22">
    <w:name w:val="page number"/>
    <w:basedOn w:val="20"/>
    <w:qFormat/>
    <w:uiPriority w:val="0"/>
  </w:style>
  <w:style w:type="character" w:styleId="23">
    <w:name w:val="FollowedHyperlink"/>
    <w:basedOn w:val="20"/>
    <w:qFormat/>
    <w:uiPriority w:val="0"/>
    <w:rPr>
      <w:color w:val="800080"/>
      <w:u w:val="none"/>
    </w:rPr>
  </w:style>
  <w:style w:type="character" w:styleId="24">
    <w:name w:val="Emphasis"/>
    <w:basedOn w:val="20"/>
    <w:qFormat/>
    <w:uiPriority w:val="0"/>
  </w:style>
  <w:style w:type="character" w:styleId="25">
    <w:name w:val="HTML Definition"/>
    <w:basedOn w:val="20"/>
    <w:qFormat/>
    <w:uiPriority w:val="0"/>
  </w:style>
  <w:style w:type="character" w:styleId="26">
    <w:name w:val="HTML Variable"/>
    <w:basedOn w:val="20"/>
    <w:qFormat/>
    <w:uiPriority w:val="0"/>
  </w:style>
  <w:style w:type="character" w:styleId="27">
    <w:name w:val="Hyperlink"/>
    <w:basedOn w:val="20"/>
    <w:unhideWhenUsed/>
    <w:qFormat/>
    <w:uiPriority w:val="0"/>
    <w:rPr>
      <w:color w:val="000000"/>
      <w:u w:val="none"/>
    </w:rPr>
  </w:style>
  <w:style w:type="character" w:styleId="28">
    <w:name w:val="HTML Code"/>
    <w:basedOn w:val="20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9">
    <w:name w:val="annotation reference"/>
    <w:basedOn w:val="20"/>
    <w:qFormat/>
    <w:uiPriority w:val="0"/>
    <w:rPr>
      <w:sz w:val="21"/>
      <w:szCs w:val="21"/>
    </w:rPr>
  </w:style>
  <w:style w:type="character" w:styleId="30">
    <w:name w:val="HTML Cite"/>
    <w:basedOn w:val="20"/>
    <w:qFormat/>
    <w:uiPriority w:val="0"/>
    <w:rPr>
      <w:color w:val="008000"/>
      <w:sz w:val="14"/>
      <w:szCs w:val="14"/>
    </w:rPr>
  </w:style>
  <w:style w:type="character" w:styleId="31">
    <w:name w:val="footnote reference"/>
    <w:basedOn w:val="20"/>
    <w:qFormat/>
    <w:uiPriority w:val="0"/>
    <w:rPr>
      <w:rFonts w:ascii="Calibri" w:hAnsi="Calibri" w:eastAsia="宋体"/>
      <w:vertAlign w:val="superscript"/>
    </w:rPr>
  </w:style>
  <w:style w:type="character" w:styleId="32">
    <w:name w:val="HTML Keyboard"/>
    <w:basedOn w:val="20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3">
    <w:name w:val="HTML Sample"/>
    <w:basedOn w:val="20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6">
    <w:name w:val="标题 1 字符"/>
    <w:basedOn w:val="20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7">
    <w:name w:val="closeeye"/>
    <w:basedOn w:val="20"/>
    <w:qFormat/>
    <w:uiPriority w:val="0"/>
  </w:style>
  <w:style w:type="character" w:customStyle="1" w:styleId="38">
    <w:name w:val="openeye"/>
    <w:basedOn w:val="20"/>
    <w:qFormat/>
    <w:uiPriority w:val="0"/>
  </w:style>
  <w:style w:type="character" w:customStyle="1" w:styleId="39">
    <w:name w:val="remaintime"/>
    <w:basedOn w:val="20"/>
    <w:qFormat/>
    <w:uiPriority w:val="0"/>
    <w:rPr>
      <w:color w:val="000000"/>
      <w:shd w:val="clear" w:color="auto" w:fill="CACACA"/>
    </w:rPr>
  </w:style>
  <w:style w:type="character" w:customStyle="1" w:styleId="40">
    <w:name w:val="seepass"/>
    <w:basedOn w:val="20"/>
    <w:qFormat/>
    <w:uiPriority w:val="0"/>
  </w:style>
  <w:style w:type="character" w:customStyle="1" w:styleId="41">
    <w:name w:val="on"/>
    <w:basedOn w:val="20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2">
    <w:name w:val="eyespan"/>
    <w:basedOn w:val="20"/>
    <w:qFormat/>
    <w:uiPriority w:val="0"/>
  </w:style>
  <w:style w:type="character" w:customStyle="1" w:styleId="43">
    <w:name w:val="hidepass"/>
    <w:basedOn w:val="20"/>
    <w:qFormat/>
    <w:uiPriority w:val="0"/>
  </w:style>
  <w:style w:type="character" w:customStyle="1" w:styleId="44">
    <w:name w:val="hover18"/>
    <w:basedOn w:val="20"/>
    <w:qFormat/>
    <w:uiPriority w:val="0"/>
    <w:rPr>
      <w:color w:val="FFFFFF"/>
      <w:shd w:val="clear" w:color="auto" w:fill="237EC7"/>
    </w:rPr>
  </w:style>
  <w:style w:type="character" w:customStyle="1" w:styleId="45">
    <w:name w:val="hover19"/>
    <w:basedOn w:val="20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6">
    <w:name w:val="first-child"/>
    <w:basedOn w:val="20"/>
    <w:qFormat/>
    <w:uiPriority w:val="0"/>
  </w:style>
  <w:style w:type="character" w:customStyle="1" w:styleId="47">
    <w:name w:val="hover47"/>
    <w:basedOn w:val="20"/>
    <w:qFormat/>
    <w:uiPriority w:val="0"/>
    <w:rPr>
      <w:shd w:val="clear" w:color="auto" w:fill="1D50A2"/>
    </w:rPr>
  </w:style>
  <w:style w:type="character" w:customStyle="1" w:styleId="48">
    <w:name w:val="hover48"/>
    <w:basedOn w:val="20"/>
    <w:qFormat/>
    <w:uiPriority w:val="0"/>
    <w:rPr>
      <w:color w:val="1D50A2"/>
    </w:rPr>
  </w:style>
  <w:style w:type="character" w:customStyle="1" w:styleId="49">
    <w:name w:val="mip-carousel-current-indicator"/>
    <w:basedOn w:val="20"/>
    <w:qFormat/>
    <w:uiPriority w:val="0"/>
    <w:rPr>
      <w:shd w:val="clear" w:color="auto" w:fill="FF0000"/>
    </w:rPr>
  </w:style>
  <w:style w:type="character" w:customStyle="1" w:styleId="50">
    <w:name w:val="hover24"/>
    <w:basedOn w:val="20"/>
    <w:qFormat/>
    <w:uiPriority w:val="0"/>
    <w:rPr>
      <w:color w:val="315EFB"/>
    </w:rPr>
  </w:style>
  <w:style w:type="character" w:customStyle="1" w:styleId="51">
    <w:name w:val="hover25"/>
    <w:basedOn w:val="20"/>
    <w:qFormat/>
    <w:uiPriority w:val="0"/>
  </w:style>
  <w:style w:type="character" w:customStyle="1" w:styleId="52">
    <w:name w:val="c-icon28"/>
    <w:basedOn w:val="20"/>
    <w:qFormat/>
    <w:uiPriority w:val="0"/>
  </w:style>
  <w:style w:type="character" w:customStyle="1" w:styleId="53">
    <w:name w:val="pchide"/>
    <w:basedOn w:val="20"/>
    <w:qFormat/>
    <w:uiPriority w:val="0"/>
    <w:rPr>
      <w:color w:val="999999"/>
    </w:rPr>
  </w:style>
  <w:style w:type="character" w:customStyle="1" w:styleId="54">
    <w:name w:val="cur"/>
    <w:basedOn w:val="20"/>
    <w:qFormat/>
    <w:uiPriority w:val="0"/>
    <w:rPr>
      <w:color w:val="C40001"/>
    </w:rPr>
  </w:style>
  <w:style w:type="character" w:customStyle="1" w:styleId="55">
    <w:name w:val="cur1"/>
    <w:basedOn w:val="20"/>
    <w:qFormat/>
    <w:uiPriority w:val="0"/>
    <w:rPr>
      <w:color w:val="C40001"/>
    </w:rPr>
  </w:style>
  <w:style w:type="character" w:customStyle="1" w:styleId="56">
    <w:name w:val="zhankai"/>
    <w:basedOn w:val="20"/>
    <w:qFormat/>
    <w:uiPriority w:val="0"/>
  </w:style>
  <w:style w:type="character" w:customStyle="1" w:styleId="57">
    <w:name w:val="p90"/>
    <w:basedOn w:val="20"/>
    <w:qFormat/>
    <w:uiPriority w:val="0"/>
  </w:style>
  <w:style w:type="character" w:customStyle="1" w:styleId="58">
    <w:name w:val="last-child"/>
    <w:basedOn w:val="20"/>
    <w:qFormat/>
    <w:uiPriority w:val="0"/>
  </w:style>
  <w:style w:type="character" w:customStyle="1" w:styleId="59">
    <w:name w:val="last-child1"/>
    <w:basedOn w:val="20"/>
    <w:qFormat/>
    <w:uiPriority w:val="0"/>
  </w:style>
  <w:style w:type="character" w:customStyle="1" w:styleId="60">
    <w:name w:val="hover10"/>
    <w:basedOn w:val="20"/>
    <w:qFormat/>
    <w:uiPriority w:val="0"/>
    <w:rPr>
      <w:color w:val="C40001"/>
    </w:rPr>
  </w:style>
  <w:style w:type="character" w:customStyle="1" w:styleId="61">
    <w:name w:val="index-module_accountauthentication_3bwix"/>
    <w:basedOn w:val="20"/>
    <w:qFormat/>
    <w:uiPriority w:val="0"/>
  </w:style>
  <w:style w:type="character" w:customStyle="1" w:styleId="62">
    <w:name w:val="m01"/>
    <w:basedOn w:val="20"/>
    <w:qFormat/>
    <w:uiPriority w:val="0"/>
  </w:style>
  <w:style w:type="character" w:customStyle="1" w:styleId="63">
    <w:name w:val="m011"/>
    <w:basedOn w:val="20"/>
    <w:qFormat/>
    <w:uiPriority w:val="0"/>
  </w:style>
  <w:style w:type="character" w:customStyle="1" w:styleId="64">
    <w:name w:val="name"/>
    <w:basedOn w:val="20"/>
    <w:qFormat/>
    <w:uiPriority w:val="0"/>
    <w:rPr>
      <w:color w:val="6A6A6A"/>
      <w:u w:val="single"/>
    </w:rPr>
  </w:style>
  <w:style w:type="character" w:customStyle="1" w:styleId="65">
    <w:name w:val="more4"/>
    <w:basedOn w:val="20"/>
    <w:qFormat/>
    <w:uiPriority w:val="0"/>
    <w:rPr>
      <w:color w:val="666666"/>
      <w:sz w:val="14"/>
      <w:szCs w:val="14"/>
    </w:rPr>
  </w:style>
  <w:style w:type="character" w:customStyle="1" w:styleId="66">
    <w:name w:val="dates"/>
    <w:basedOn w:val="20"/>
    <w:qFormat/>
    <w:uiPriority w:val="0"/>
  </w:style>
  <w:style w:type="character" w:customStyle="1" w:styleId="67">
    <w:name w:val="bg02"/>
    <w:basedOn w:val="20"/>
    <w:qFormat/>
    <w:uiPriority w:val="0"/>
  </w:style>
  <w:style w:type="character" w:customStyle="1" w:styleId="68">
    <w:name w:val="tabg"/>
    <w:basedOn w:val="20"/>
    <w:qFormat/>
    <w:uiPriority w:val="0"/>
    <w:rPr>
      <w:color w:val="FFFFFF"/>
      <w:sz w:val="21"/>
      <w:szCs w:val="21"/>
    </w:rPr>
  </w:style>
  <w:style w:type="character" w:customStyle="1" w:styleId="69">
    <w:name w:val="bg01"/>
    <w:basedOn w:val="20"/>
    <w:qFormat/>
    <w:uiPriority w:val="0"/>
  </w:style>
  <w:style w:type="character" w:customStyle="1" w:styleId="70">
    <w:name w:val="font2"/>
    <w:basedOn w:val="20"/>
    <w:qFormat/>
    <w:uiPriority w:val="0"/>
  </w:style>
  <w:style w:type="character" w:customStyle="1" w:styleId="71">
    <w:name w:val="font3"/>
    <w:basedOn w:val="20"/>
    <w:qFormat/>
    <w:uiPriority w:val="0"/>
  </w:style>
  <w:style w:type="character" w:customStyle="1" w:styleId="72">
    <w:name w:val="laypage_curr"/>
    <w:basedOn w:val="20"/>
    <w:qFormat/>
    <w:uiPriority w:val="0"/>
    <w:rPr>
      <w:color w:val="FFFDF4"/>
      <w:shd w:val="clear" w:color="auto" w:fill="0B67A6"/>
    </w:rPr>
  </w:style>
  <w:style w:type="character" w:customStyle="1" w:styleId="73">
    <w:name w:val="place"/>
    <w:basedOn w:val="20"/>
    <w:qFormat/>
    <w:uiPriority w:val="0"/>
  </w:style>
  <w:style w:type="character" w:customStyle="1" w:styleId="74">
    <w:name w:val="place1"/>
    <w:basedOn w:val="20"/>
    <w:qFormat/>
    <w:uiPriority w:val="0"/>
  </w:style>
  <w:style w:type="character" w:customStyle="1" w:styleId="75">
    <w:name w:val="place2"/>
    <w:basedOn w:val="20"/>
    <w:qFormat/>
    <w:uiPriority w:val="0"/>
  </w:style>
  <w:style w:type="character" w:customStyle="1" w:styleId="76">
    <w:name w:val="place3"/>
    <w:basedOn w:val="20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7">
    <w:name w:val="noline"/>
    <w:basedOn w:val="20"/>
    <w:qFormat/>
    <w:uiPriority w:val="0"/>
  </w:style>
  <w:style w:type="character" w:customStyle="1" w:styleId="78">
    <w:name w:val="font"/>
    <w:basedOn w:val="20"/>
    <w:qFormat/>
    <w:uiPriority w:val="0"/>
  </w:style>
  <w:style w:type="character" w:customStyle="1" w:styleId="79">
    <w:name w:val="font1"/>
    <w:basedOn w:val="20"/>
    <w:qFormat/>
    <w:uiPriority w:val="0"/>
  </w:style>
  <w:style w:type="character" w:customStyle="1" w:styleId="80">
    <w:name w:val="gwds_nopic"/>
    <w:basedOn w:val="20"/>
    <w:qFormat/>
    <w:uiPriority w:val="0"/>
  </w:style>
  <w:style w:type="character" w:customStyle="1" w:styleId="81">
    <w:name w:val="gwds_nopic1"/>
    <w:basedOn w:val="20"/>
    <w:qFormat/>
    <w:uiPriority w:val="0"/>
  </w:style>
  <w:style w:type="character" w:customStyle="1" w:styleId="82">
    <w:name w:val="gwds_nopic2"/>
    <w:basedOn w:val="20"/>
    <w:qFormat/>
    <w:uiPriority w:val="0"/>
  </w:style>
  <w:style w:type="character" w:customStyle="1" w:styleId="83">
    <w:name w:val="hover20"/>
    <w:basedOn w:val="20"/>
    <w:qFormat/>
    <w:uiPriority w:val="0"/>
    <w:rPr>
      <w:color w:val="015293"/>
    </w:rPr>
  </w:style>
  <w:style w:type="paragraph" w:customStyle="1" w:styleId="84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5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6">
    <w:name w:val="页眉 字符"/>
    <w:basedOn w:val="20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7">
    <w:name w:val="页脚 字符"/>
    <w:basedOn w:val="20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9">
    <w:name w:val="批注文字 字符"/>
    <w:basedOn w:val="20"/>
    <w:link w:val="8"/>
    <w:qFormat/>
    <w:uiPriority w:val="0"/>
  </w:style>
  <w:style w:type="character" w:customStyle="1" w:styleId="90">
    <w:name w:val="批注主题 字符"/>
    <w:basedOn w:val="89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1">
    <w:name w:val="脚注文本 字符"/>
    <w:basedOn w:val="20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2">
    <w:name w:val="列表段落1"/>
    <w:basedOn w:val="1"/>
    <w:qFormat/>
    <w:uiPriority w:val="99"/>
    <w:pPr>
      <w:ind w:firstLine="420" w:firstLineChars="200"/>
    </w:pPr>
  </w:style>
  <w:style w:type="character" w:customStyle="1" w:styleId="93">
    <w:name w:val="font21"/>
    <w:basedOn w:val="2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4">
    <w:name w:val="MTEquationSection"/>
    <w:basedOn w:val="20"/>
    <w:qFormat/>
    <w:uiPriority w:val="0"/>
    <w:rPr>
      <w:rFonts w:ascii="黑体" w:hAnsi="黑体" w:eastAsia="黑体"/>
      <w:vanish/>
      <w:color w:val="FF0000"/>
    </w:rPr>
  </w:style>
  <w:style w:type="character" w:customStyle="1" w:styleId="95">
    <w:name w:val="dt-editor__word"/>
    <w:qFormat/>
    <w:uiPriority w:val="0"/>
  </w:style>
  <w:style w:type="table" w:customStyle="1" w:styleId="96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7">
    <w:name w:val="List Paragraph"/>
    <w:basedOn w:val="1"/>
    <w:qFormat/>
    <w:uiPriority w:val="99"/>
    <w:pPr>
      <w:ind w:firstLine="420" w:firstLineChars="200"/>
    </w:pPr>
  </w:style>
  <w:style w:type="paragraph" w:customStyle="1" w:styleId="98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9">
    <w:name w:val="MTDisplayEquation"/>
    <w:basedOn w:val="100"/>
    <w:next w:val="1"/>
    <w:link w:val="101"/>
    <w:qFormat/>
    <w:uiPriority w:val="0"/>
    <w:pPr>
      <w:tabs>
        <w:tab w:val="center" w:pos="4320"/>
        <w:tab w:val="right" w:pos="8620"/>
        <w:tab w:val="right" w:pos="10103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paragraph" w:customStyle="1" w:styleId="100">
    <w:name w:val="公式"/>
    <w:basedOn w:val="1"/>
    <w:unhideWhenUsed/>
    <w:qFormat/>
    <w:uiPriority w:val="0"/>
    <w:pPr>
      <w:tabs>
        <w:tab w:val="right" w:pos="10103"/>
      </w:tabs>
      <w:spacing w:line="360" w:lineRule="auto"/>
      <w:jc w:val="center"/>
    </w:pPr>
  </w:style>
  <w:style w:type="character" w:customStyle="1" w:styleId="101">
    <w:name w:val="MTDisplayEquation 字符"/>
    <w:basedOn w:val="20"/>
    <w:link w:val="99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2">
    <w:name w:val="未处理的提及1"/>
    <w:basedOn w:val="2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3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4">
    <w:name w:val="批注框文本 字符"/>
    <w:basedOn w:val="20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5">
    <w:name w:val="标题 2 字符"/>
    <w:basedOn w:val="20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6">
    <w:name w:val="未处理的提及2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7">
    <w:name w:val="正文文本 字符"/>
    <w:basedOn w:val="20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9">
    <w:name w:val="Unresolved Mention"/>
    <w:basedOn w:val="20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0">
    <w:name w:val="3"/>
    <w:basedOn w:val="1"/>
    <w:next w:val="92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11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2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3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4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5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6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paragraph" w:customStyle="1" w:styleId="117">
    <w:name w:val="正文-公1"/>
    <w:basedOn w:val="1"/>
    <w:qFormat/>
    <w:uiPriority w:val="0"/>
    <w:pPr>
      <w:framePr w:hSpace="181" w:wrap="notBeside" w:vAnchor="text" w:hAnchor="margin" w:xAlign="center" w:y="63"/>
      <w:spacing w:line="300" w:lineRule="exact"/>
      <w:ind w:firstLine="0" w:firstLineChars="0"/>
      <w:jc w:val="center"/>
    </w:pPr>
    <w:rPr>
      <w:rFonts w:ascii="宋体" w:hAnsi="宋体" w:cs="Times New Roman"/>
      <w:b/>
      <w:bCs/>
      <w:sz w:val="18"/>
      <w:szCs w:val="18"/>
    </w:rPr>
  </w:style>
  <w:style w:type="table" w:customStyle="1" w:styleId="118">
    <w:name w:val="无格式表格 21"/>
    <w:basedOn w:val="34"/>
    <w:qFormat/>
    <w:uiPriority w:val="0"/>
    <w:tblPr>
      <w:tblBorders>
        <w:top w:val="single" w:color="7E7E7E" w:sz="4" w:space="0"/>
        <w:bottom w:val="single" w:color="7E7E7E" w:sz="4" w:space="0"/>
      </w:tblBorders>
      <w:tblLayout w:type="fixed"/>
    </w:tblPr>
    <w:tblStylePr w:type="firstRow">
      <w:rPr>
        <w:b/>
        <w:bCs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2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7E7E7E" w:sz="4" w:space="0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9">
    <w:name w:val="居中"/>
    <w:qFormat/>
    <w:uiPriority w:val="0"/>
    <w:pPr>
      <w:tabs>
        <w:tab w:val="center" w:pos="4309"/>
      </w:tabs>
      <w:spacing w:beforeLines="0" w:line="240" w:lineRule="atLeast"/>
      <w:ind w:firstLine="392" w:firstLineChars="200"/>
    </w:pPr>
    <w:rPr>
      <w:rFonts w:hint="default" w:asciiTheme="minorAscii" w:hAnsiTheme="minorAscii" w:eastAsiaTheme="minorEastAsia" w:cstheme="minorBidi"/>
      <w:color w:val="auto"/>
    </w:rPr>
  </w:style>
  <w:style w:type="table" w:customStyle="1" w:styleId="120">
    <w:name w:val="网格表 21"/>
    <w:basedOn w:val="34"/>
    <w:qFormat/>
    <w:uiPriority w:val="47"/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Layout w:type="fixed"/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121">
    <w:name w:val="引用 字符"/>
    <w:basedOn w:val="20"/>
    <w:link w:val="122"/>
    <w:qFormat/>
    <w:uiPriority w:val="29"/>
    <w:rPr>
      <w:rFonts w:eastAsia="楷体"/>
      <w:b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22">
    <w:name w:val="Quote"/>
    <w:basedOn w:val="1"/>
    <w:next w:val="1"/>
    <w:link w:val="121"/>
    <w:qFormat/>
    <w:uiPriority w:val="29"/>
    <w:pPr>
      <w:spacing w:before="200" w:after="160"/>
      <w:ind w:left="864" w:right="864"/>
      <w:jc w:val="center"/>
    </w:pPr>
    <w:rPr>
      <w:rFonts w:eastAsia="楷体"/>
      <w:b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23">
    <w:name w:val="书目3"/>
    <w:basedOn w:val="1"/>
    <w:next w:val="1"/>
    <w:unhideWhenUsed/>
    <w:qFormat/>
    <w:uiPriority w:val="37"/>
  </w:style>
  <w:style w:type="paragraph" w:customStyle="1" w:styleId="124">
    <w:name w:val="数据来源"/>
    <w:basedOn w:val="18"/>
    <w:qFormat/>
    <w:uiPriority w:val="0"/>
    <w:pPr>
      <w:adjustRightInd w:val="0"/>
      <w:snapToGrid w:val="0"/>
      <w:spacing w:before="0" w:beforeAutospacing="0" w:after="0" w:afterAutospacing="0"/>
      <w:ind w:firstLine="332"/>
      <w:jc w:val="both"/>
    </w:pPr>
    <w:rPr>
      <w:rFonts w:ascii="Times New Roman" w:hAnsi="Times New Roman" w:cs="Times New Roman"/>
      <w:kern w:val="2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2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deng</cp:lastModifiedBy>
  <cp:lastPrinted>2023-06-28T09:19:00Z</cp:lastPrinted>
  <dcterms:modified xsi:type="dcterms:W3CDTF">2025-05-19T07:54:19Z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