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lef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kern w:val="2"/>
          <w:sz w:val="21"/>
          <w:szCs w:val="21"/>
          <w:highlight w:val="none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center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lang w:val="en-US" w:eastAsia="zh-CN" w:bidi="ar-SA"/>
        </w:rPr>
        <w:t>附  录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44"/>
          <w:szCs w:val="44"/>
          <w:highlight w:val="none"/>
          <w:shd w:val="clear" w:color="auto" w:fill="FFFFFF"/>
          <w:vertAlign w:val="superscript"/>
          <w:lang w:val="en-US" w:eastAsia="zh-CN" w:bidi="ar-SA"/>
        </w:rPr>
        <w:footnoteReference w:id="0" w:customMarkFollows="1"/>
        <w:t>*</w:t>
      </w:r>
    </w:p>
    <w:p>
      <w:pPr>
        <w:jc w:val="both"/>
        <w:rPr>
          <w:rFonts w:hint="default" w:ascii="Times New Roman Regular" w:hAnsi="Times New Roman Regular" w:eastAsia="黑体" w:cs="Times New Roman Regular"/>
          <w:sz w:val="21"/>
          <w:szCs w:val="21"/>
          <w14:ligatures w14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32"/>
          <w:highlight w:val="none"/>
        </w:rPr>
        <w:t>附录A：</w:t>
      </w:r>
      <w:r>
        <w:rPr>
          <w:rFonts w:hint="eastAsia" w:ascii="Times New Roman" w:hAnsi="Times New Roman" w:eastAsia="黑体" w:cs="Times New Roman"/>
          <w:sz w:val="24"/>
          <w:szCs w:val="32"/>
          <w:highlight w:val="none"/>
          <w:lang w:val="en-US" w:eastAsia="zh-CN"/>
        </w:rPr>
        <w:t>粮改饲政策对种植结构调整影</w:t>
      </w:r>
      <w:bookmarkStart w:id="1" w:name="_GoBack"/>
      <w:bookmarkEnd w:id="1"/>
      <w:r>
        <w:rPr>
          <w:rFonts w:hint="eastAsia" w:ascii="Times New Roman" w:hAnsi="Times New Roman" w:eastAsia="黑体" w:cs="Times New Roman"/>
          <w:sz w:val="24"/>
          <w:szCs w:val="32"/>
          <w:highlight w:val="none"/>
          <w:lang w:val="en-US" w:eastAsia="zh-CN"/>
        </w:rPr>
        <w:t>响的</w:t>
      </w:r>
      <w:r>
        <w:rPr>
          <w:rFonts w:hint="eastAsia" w:ascii="Times New Roman" w:hAnsi="Times New Roman" w:eastAsia="黑体" w:cs="Times New Roman"/>
          <w:sz w:val="24"/>
          <w:szCs w:val="32"/>
          <w:highlight w:val="none"/>
        </w:rPr>
        <w:t>异质性稳健估计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jc w:val="center"/>
        <w:textAlignment w:val="auto"/>
      </w:pPr>
      <w:r>
        <w:drawing>
          <wp:inline distT="0" distB="0" distL="0" distR="0">
            <wp:extent cx="5418455" cy="3694430"/>
            <wp:effectExtent l="0" t="0" r="10795" b="1270"/>
            <wp:docPr id="1379372229" name="图片 2" descr="图片包含 图表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372229" name="图片 2" descr="图片包含 图表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8455" cy="369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0" w:firstLineChars="0"/>
        <w:jc w:val="center"/>
        <w:textAlignment w:val="auto"/>
        <w:rPr>
          <w:rFonts w:ascii="Times New Roman" w:hAnsi="Times New Roman" w:eastAsia="黑体"/>
          <w:sz w:val="18"/>
        </w:rPr>
      </w:pPr>
      <w:r>
        <w:rPr>
          <w:rFonts w:ascii="Times New Roman" w:hAnsi="Times New Roman" w:eastAsia="黑体"/>
          <w:sz w:val="18"/>
        </w:rPr>
        <w:t>图</w:t>
      </w:r>
      <w:r>
        <w:rPr>
          <w:rFonts w:hint="eastAsia" w:ascii="Times New Roman" w:hAnsi="Times New Roman" w:eastAsia="黑体"/>
          <w:sz w:val="18"/>
          <w:lang w:val="en-US" w:eastAsia="zh-CN"/>
        </w:rPr>
        <w:t>1</w:t>
      </w:r>
      <w:r>
        <w:rPr>
          <w:rFonts w:ascii="Times New Roman" w:hAnsi="Times New Roman" w:eastAsia="黑体"/>
          <w:sz w:val="18"/>
        </w:rPr>
        <w:t xml:space="preserve">  </w:t>
      </w:r>
      <w:r>
        <w:rPr>
          <w:rFonts w:hint="eastAsia" w:ascii="Times New Roman" w:hAnsi="Times New Roman" w:eastAsia="黑体"/>
          <w:sz w:val="18"/>
        </w:rPr>
        <w:t>异质性处理效应稳健估量的估计结果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332" w:firstLineChars="200"/>
        <w:textAlignment w:val="auto"/>
        <w:rPr>
          <w:rFonts w:hint="eastAsia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注：纵坐标为模型（</w:t>
      </w:r>
      <w:r>
        <w:rPr>
          <w:rFonts w:hint="eastAsia" w:ascii="Times New Roman" w:hAnsi="Times New Roman" w:eastAsia="宋体"/>
          <w:sz w:val="18"/>
          <w:szCs w:val="18"/>
        </w:rPr>
        <w:t>2</w:t>
      </w:r>
      <w:r>
        <w:rPr>
          <w:rFonts w:hint="eastAsia" w:ascii="宋体" w:hAnsi="宋体" w:eastAsia="宋体"/>
          <w:sz w:val="18"/>
          <w:szCs w:val="18"/>
        </w:rPr>
        <w:t>）估计的不同时期的系数，</w:t>
      </w:r>
      <w:r>
        <w:rPr>
          <w:rFonts w:ascii="宋体" w:hAnsi="宋体" w:eastAsia="宋体"/>
          <w:sz w:val="18"/>
          <w:szCs w:val="18"/>
        </w:rPr>
        <w:t>横坐标为相对时间，</w:t>
      </w:r>
      <w:r>
        <w:rPr>
          <w:rFonts w:hint="eastAsia" w:ascii="宋体" w:hAnsi="宋体" w:eastAsia="宋体"/>
          <w:sz w:val="18"/>
          <w:szCs w:val="18"/>
        </w:rPr>
        <w:t>横坐标为数据年份减去政策实施第一年的年份，虚线为</w:t>
      </w:r>
      <w:r>
        <w:rPr>
          <w:rFonts w:hint="eastAsia" w:ascii="Times New Roman" w:hAnsi="Times New Roman" w:eastAsia="宋体"/>
          <w:sz w:val="18"/>
          <w:szCs w:val="18"/>
        </w:rPr>
        <w:t>9</w:t>
      </w:r>
      <w:r>
        <w:rPr>
          <w:rFonts w:ascii="Times New Roman" w:hAnsi="Times New Roman" w:eastAsia="宋体"/>
          <w:sz w:val="18"/>
          <w:szCs w:val="18"/>
        </w:rPr>
        <w:t>5</w:t>
      </w:r>
      <w:r>
        <w:rPr>
          <w:rFonts w:ascii="宋体" w:hAnsi="宋体" w:eastAsia="宋体"/>
          <w:sz w:val="18"/>
          <w:szCs w:val="18"/>
        </w:rPr>
        <w:t>%</w:t>
      </w:r>
      <w:r>
        <w:rPr>
          <w:rFonts w:hint="eastAsia" w:ascii="宋体" w:hAnsi="宋体" w:eastAsia="宋体"/>
          <w:sz w:val="18"/>
          <w:szCs w:val="18"/>
        </w:rPr>
        <w:t>的置信区间。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Times New Roman" w:hAnsi="Times New Roman" w:eastAsia="黑体" w:cs="Times New Roman"/>
          <w:position w:val="-12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32"/>
          <w:highlight w:val="none"/>
        </w:rPr>
        <w:t>附录</w:t>
      </w:r>
      <w:r>
        <w:rPr>
          <w:rFonts w:hint="eastAsia" w:ascii="Times New Roman" w:hAnsi="Times New Roman" w:eastAsia="黑体" w:cs="Times New Roman"/>
          <w:sz w:val="24"/>
          <w:szCs w:val="32"/>
          <w:highlight w:val="none"/>
          <w:lang w:val="en-US" w:eastAsia="zh-CN"/>
        </w:rPr>
        <w:t>B</w:t>
      </w:r>
      <w:r>
        <w:rPr>
          <w:rFonts w:hint="eastAsia" w:ascii="Times New Roman" w:hAnsi="Times New Roman" w:eastAsia="黑体" w:cs="Times New Roman"/>
          <w:sz w:val="24"/>
          <w:szCs w:val="32"/>
          <w:highlight w:val="none"/>
        </w:rPr>
        <w:t>：</w:t>
      </w:r>
      <w:r>
        <w:rPr>
          <w:rFonts w:hint="eastAsia" w:ascii="Times New Roman" w:hAnsi="Times New Roman" w:eastAsia="黑体" w:cs="Times New Roman"/>
          <w:sz w:val="24"/>
          <w:szCs w:val="32"/>
          <w:highlight w:val="none"/>
          <w:lang w:val="en-US" w:eastAsia="zh-CN"/>
        </w:rPr>
        <w:t>青贮玉米种植对成本收益影响的模型设定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92" w:firstLineChars="200"/>
        <w:textAlignment w:val="auto"/>
        <w:rPr>
          <w:rFonts w:hint="default" w:ascii="宋体" w:hAnsi="宋体" w:eastAsia="宋体"/>
          <w:position w:val="-12"/>
          <w:szCs w:val="21"/>
          <w:lang w:val="en-US" w:eastAsia="zh-CN"/>
        </w:rPr>
      </w:pPr>
      <w:r>
        <w:rPr>
          <w:rFonts w:hint="eastAsia" w:ascii="宋体" w:hAnsi="宋体" w:eastAsia="宋体"/>
          <w:position w:val="-12"/>
          <w:szCs w:val="21"/>
          <w:lang w:val="en-US" w:eastAsia="zh-CN"/>
        </w:rPr>
        <w:t>青贮玉米种植对成本和收益影响的模型基本一致，统一设定模型如下：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4" w:beforeLines="50" w:after="184" w:afterLines="50" w:line="240" w:lineRule="atLeast"/>
        <w:ind w:firstLine="0" w:firstLineChars="0"/>
        <w:jc w:val="right"/>
        <w:textAlignment w:val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宋体" w:cs="Times New Roman"/>
          <w:position w:val="-12"/>
        </w:rPr>
        <w:object>
          <v:shape id="_x0000_i1068" o:spt="75" type="#_x0000_t75" style="height:18.2pt;width:197.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DSMT4" ShapeID="_x0000_i1068" DrawAspect="Content" ObjectID="_1468075725" r:id="rId10">
            <o:LockedField>false</o:LockedField>
          </o:OLEObject>
        </w:object>
      </w:r>
      <w:r>
        <w:rPr>
          <w:rFonts w:ascii="Times New Roman" w:hAnsi="Times New Roman" w:eastAsia="宋体" w:cs="Times New Roman"/>
        </w:rPr>
        <w:t xml:space="preserve">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ascii="Times New Roman" w:hAnsi="Times New Roman" w:eastAsia="宋体" w:cs="Times New Roman"/>
        </w:rPr>
        <w:t xml:space="preserve"> </w:t>
      </w:r>
      <w:r>
        <w:rPr>
          <w:rFonts w:ascii="Times" w:hAnsi="Times" w:eastAsia="宋体"/>
        </w:rPr>
        <w:t>（1）</w:t>
      </w:r>
    </w:p>
    <w:p>
      <w:pPr>
        <w:keepNext w:val="0"/>
        <w:keepLines w:val="0"/>
        <w:pageBreakBefore w:val="0"/>
        <w:widowControl w:val="0"/>
        <w:tabs>
          <w:tab w:val="left" w:pos="779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firstLine="392" w:firstLineChars="200"/>
        <w:textAlignment w:val="auto"/>
        <w:rPr>
          <w:rFonts w:ascii="宋体" w:hAnsi="宋体" w:eastAsia="宋体"/>
          <w:position w:val="-12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77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92" w:firstLineChars="200"/>
        <w:textAlignment w:val="auto"/>
        <w:rPr>
          <w:rFonts w:hint="eastAsia" w:ascii="宋体" w:hAnsi="宋体" w:eastAsia="宋体"/>
          <w:szCs w:val="21"/>
        </w:rPr>
      </w:pPr>
      <w:r>
        <w:rPr>
          <w:rFonts w:ascii="宋体" w:hAnsi="宋体" w:eastAsia="宋体"/>
          <w:position w:val="-12"/>
          <w:szCs w:val="21"/>
        </w:rPr>
        <w:object>
          <v:shape id="_x0000_i1082" o:spt="75" type="#_x0000_t75" style="height:18pt;width:15pt;" o:ole="t" filled="f" o:preferrelative="t" stroked="f" coordsize="21600,21600"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82" DrawAspect="Content" ObjectID="_1468075726" r:id="rId12">
            <o:LockedField>false</o:LockedField>
          </o:OLEObject>
        </w:object>
      </w:r>
      <w:r>
        <w:rPr>
          <w:rFonts w:ascii="宋体" w:hAnsi="宋体" w:eastAsia="宋体"/>
          <w:szCs w:val="21"/>
        </w:rPr>
        <w:t>表示第</w:t>
      </w:r>
      <w:r>
        <w:rPr>
          <w:rFonts w:ascii="宋体" w:hAnsi="宋体" w:eastAsia="宋体"/>
          <w:position w:val="-6"/>
          <w:szCs w:val="21"/>
        </w:rPr>
        <w:object>
          <v:shape id="_x0000_i1070" o:spt="75" type="#_x0000_t75" style="height:13pt;width:6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f"/>
            <w10:wrap type="none"/>
            <w10:anchorlock/>
          </v:shape>
          <o:OLEObject Type="Embed" ProgID="Equation.DSMT4" ShapeID="_x0000_i1070" DrawAspect="Content" ObjectID="_1468075727" r:id="rId14">
            <o:LockedField>false</o:LockedField>
          </o:OLEObject>
        </w:object>
      </w:r>
      <w:r>
        <w:rPr>
          <w:rFonts w:ascii="宋体" w:hAnsi="宋体" w:eastAsia="宋体"/>
          <w:szCs w:val="21"/>
        </w:rPr>
        <w:t>个农户种植</w:t>
      </w:r>
      <w:r>
        <w:rPr>
          <w:rFonts w:hint="eastAsia" w:ascii="宋体" w:hAnsi="宋体" w:eastAsia="宋体"/>
          <w:szCs w:val="21"/>
        </w:rPr>
        <w:t>第</w:t>
      </w:r>
      <w:r>
        <w:rPr>
          <w:rFonts w:hint="eastAsia" w:ascii="宋体" w:hAnsi="宋体" w:eastAsia="宋体"/>
          <w:position w:val="-6"/>
          <w:szCs w:val="21"/>
        </w:rPr>
        <w:object>
          <v:shape id="_x0000_i1071" o:spt="75" type="#_x0000_t75" style="height:13.2pt;width:9.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f"/>
            <w10:wrap type="none"/>
            <w10:anchorlock/>
          </v:shape>
          <o:OLEObject Type="Embed" ProgID="Equation.DSMT4" ShapeID="_x0000_i1071" DrawAspect="Content" ObjectID="_1468075728" r:id="rId16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种</w:t>
      </w:r>
      <w:r>
        <w:rPr>
          <w:rFonts w:ascii="宋体" w:hAnsi="宋体" w:eastAsia="宋体"/>
          <w:szCs w:val="21"/>
        </w:rPr>
        <w:t>作物</w:t>
      </w:r>
      <w:r>
        <w:rPr>
          <w:rFonts w:hint="eastAsia" w:ascii="宋体" w:hAnsi="宋体" w:eastAsia="宋体"/>
          <w:szCs w:val="21"/>
        </w:rPr>
        <w:t>的</w:t>
      </w:r>
      <w:r>
        <w:rPr>
          <w:rFonts w:hint="eastAsia" w:ascii="宋体" w:hAnsi="宋体" w:eastAsia="宋体"/>
          <w:szCs w:val="21"/>
          <w:lang w:val="en-US" w:eastAsia="zh-CN"/>
        </w:rPr>
        <w:t>成本收益，具体指收入、资金投入和劳动力投入三个变量</w:t>
      </w:r>
      <w:r>
        <w:rPr>
          <w:rFonts w:hint="eastAsia" w:ascii="宋体" w:hAnsi="宋体" w:eastAsia="宋体"/>
          <w:szCs w:val="21"/>
        </w:rPr>
        <w:t>，</w:t>
      </w:r>
      <w:r>
        <w:rPr>
          <w:rFonts w:hint="eastAsia" w:ascii="宋体" w:hAnsi="宋体" w:eastAsia="宋体"/>
          <w:position w:val="-6"/>
          <w:szCs w:val="21"/>
        </w:rPr>
        <w:object>
          <v:shape id="_x0000_i1072" o:spt="75" type="#_x0000_t75" style="height:13.95pt;width:8.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f"/>
            <w10:wrap type="none"/>
            <w10:anchorlock/>
          </v:shape>
          <o:OLEObject Type="Embed" ProgID="Equation.DSMT4" ShapeID="_x0000_i1072" DrawAspect="Content" ObjectID="_1468075729" r:id="rId18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取值为</w:t>
      </w:r>
      <w:r>
        <w:rPr>
          <w:rFonts w:hint="default" w:ascii="Times New Roman" w:hAnsi="Times New Roman" w:eastAsia="宋体" w:cs="Times New Roman"/>
          <w:szCs w:val="21"/>
        </w:rPr>
        <w:t>1</w:t>
      </w:r>
      <w:r>
        <w:rPr>
          <w:rFonts w:hint="eastAsia" w:ascii="宋体" w:hAnsi="宋体" w:eastAsia="宋体"/>
          <w:szCs w:val="21"/>
        </w:rPr>
        <w:t>和</w:t>
      </w:r>
      <w:r>
        <w:rPr>
          <w:rFonts w:hint="default" w:ascii="Times New Roman" w:hAnsi="Times New Roman" w:eastAsia="宋体" w:cs="Times New Roman"/>
          <w:szCs w:val="21"/>
        </w:rPr>
        <w:t>2</w:t>
      </w:r>
      <w:r>
        <w:rPr>
          <w:rFonts w:hint="eastAsia" w:ascii="宋体" w:hAnsi="宋体" w:eastAsia="宋体"/>
          <w:szCs w:val="21"/>
        </w:rPr>
        <w:t>，分别表示籽粒玉米和青贮玉米，</w:t>
      </w:r>
      <w:r>
        <w:rPr>
          <w:rFonts w:ascii="宋体" w:hAnsi="宋体" w:eastAsia="宋体"/>
          <w:i/>
          <w:iCs/>
          <w:position w:val="-12"/>
          <w:szCs w:val="21"/>
        </w:rPr>
        <w:object>
          <v:shape id="_x0000_i1073" o:spt="75" type="#_x0000_t75" style="height:18pt;width:1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f"/>
            <w10:wrap type="none"/>
            <w10:anchorlock/>
          </v:shape>
          <o:OLEObject Type="Embed" ProgID="Equation.DSMT4" ShapeID="_x0000_i1073" DrawAspect="Content" ObjectID="_1468075730" r:id="rId19">
            <o:LockedField>false</o:LockedField>
          </o:OLEObject>
        </w:object>
      </w:r>
      <w:r>
        <w:rPr>
          <w:rFonts w:ascii="宋体" w:hAnsi="宋体" w:eastAsia="宋体"/>
          <w:szCs w:val="21"/>
        </w:rPr>
        <w:t>是模型中的关键变量，表示第</w:t>
      </w:r>
      <w:r>
        <w:rPr>
          <w:rFonts w:ascii="宋体" w:hAnsi="宋体" w:eastAsia="宋体"/>
          <w:position w:val="-6"/>
          <w:szCs w:val="21"/>
        </w:rPr>
        <w:object>
          <v:shape id="_x0000_i1074" o:spt="75" type="#_x0000_t75" style="height:13pt;width:6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f"/>
            <w10:wrap type="none"/>
            <w10:anchorlock/>
          </v:shape>
          <o:OLEObject Type="Embed" ProgID="Equation.DSMT4" ShapeID="_x0000_i1074" DrawAspect="Content" ObjectID="_1468075731" r:id="rId21">
            <o:LockedField>false</o:LockedField>
          </o:OLEObject>
        </w:object>
      </w:r>
      <w:r>
        <w:rPr>
          <w:rFonts w:ascii="宋体" w:hAnsi="宋体" w:eastAsia="宋体"/>
          <w:szCs w:val="21"/>
        </w:rPr>
        <w:t>个农户</w:t>
      </w:r>
      <w:r>
        <w:rPr>
          <w:rFonts w:hint="eastAsia" w:ascii="宋体" w:hAnsi="宋体" w:eastAsia="宋体"/>
          <w:szCs w:val="21"/>
        </w:rPr>
        <w:t>种植第</w:t>
      </w:r>
      <w:r>
        <w:rPr>
          <w:rFonts w:hint="eastAsia" w:ascii="宋体" w:hAnsi="宋体" w:eastAsia="宋体"/>
          <w:position w:val="-6"/>
          <w:szCs w:val="21"/>
        </w:rPr>
        <w:object>
          <v:shape id="_x0000_i1075" o:spt="75" type="#_x0000_t75" style="height:13.95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f"/>
            <w10:wrap type="none"/>
            <w10:anchorlock/>
          </v:shape>
          <o:OLEObject Type="Embed" ProgID="Equation.DSMT4" ShapeID="_x0000_i1075" DrawAspect="Content" ObjectID="_1468075732" r:id="rId22">
            <o:LockedField>false</o:LockedField>
          </o:OLEObject>
        </w:object>
      </w:r>
      <w:r>
        <w:rPr>
          <w:rFonts w:ascii="宋体" w:hAnsi="宋体" w:eastAsia="宋体"/>
          <w:szCs w:val="21"/>
        </w:rPr>
        <w:t>种作物是否为青贮玉米</w:t>
      </w:r>
      <w:r>
        <w:rPr>
          <w:rFonts w:hint="eastAsia" w:ascii="宋体" w:hAnsi="宋体" w:eastAsia="宋体"/>
          <w:szCs w:val="21"/>
        </w:rPr>
        <w:t>；</w:t>
      </w:r>
      <w:r>
        <w:rPr>
          <w:rFonts w:hint="eastAsia" w:ascii="宋体" w:hAnsi="宋体" w:eastAsia="宋体"/>
          <w:i w:val="0"/>
          <w:iCs w:val="0"/>
          <w:position w:val="-12"/>
          <w:szCs w:val="21"/>
          <w:vertAlign w:val="baseline"/>
          <w:lang w:val="en-US" w:eastAsia="zh-CN"/>
        </w:rPr>
        <w:object>
          <v:shape id="_x0000_i1076" o:spt="75" type="#_x0000_t75" style="height:18pt;width:1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f"/>
            <w10:wrap type="none"/>
            <w10:anchorlock/>
          </v:shape>
          <o:OLEObject Type="Embed" ProgID="Equation.DSMT4" ShapeID="_x0000_i1076" DrawAspect="Content" ObjectID="_1468075733" r:id="rId23">
            <o:LockedField>false</o:LockedField>
          </o:OLEObject>
        </w:object>
      </w:r>
      <w:r>
        <w:rPr>
          <w:rFonts w:hint="eastAsia" w:ascii="宋体" w:hAnsi="宋体" w:eastAsia="宋体"/>
          <w:i w:val="0"/>
          <w:iCs w:val="0"/>
          <w:szCs w:val="21"/>
          <w:vertAlign w:val="baseline"/>
          <w:lang w:val="en-US" w:eastAsia="zh-CN"/>
        </w:rPr>
        <w:t>表示</w:t>
      </w:r>
      <w:r>
        <w:rPr>
          <w:rFonts w:hint="eastAsia" w:ascii="宋体" w:hAnsi="宋体" w:eastAsia="宋体"/>
          <w:szCs w:val="21"/>
          <w:lang w:val="en-US" w:eastAsia="zh-CN"/>
        </w:rPr>
        <w:t>生产层面</w:t>
      </w:r>
      <w:r>
        <w:rPr>
          <w:rFonts w:ascii="宋体" w:hAnsi="宋体" w:eastAsia="宋体"/>
          <w:szCs w:val="21"/>
        </w:rPr>
        <w:t>的</w:t>
      </w:r>
      <w:r>
        <w:rPr>
          <w:rFonts w:hint="eastAsia" w:ascii="宋体" w:hAnsi="宋体" w:eastAsia="宋体"/>
          <w:szCs w:val="21"/>
        </w:rPr>
        <w:t>控制变量，表示第</w:t>
      </w:r>
      <w:r>
        <w:rPr>
          <w:rFonts w:ascii="宋体" w:hAnsi="宋体" w:eastAsia="宋体"/>
          <w:position w:val="-6"/>
          <w:szCs w:val="21"/>
        </w:rPr>
        <w:object>
          <v:shape id="_x0000_i1077" o:spt="75" type="#_x0000_t75" style="height:13pt;width:6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f"/>
            <w10:wrap type="none"/>
            <w10:anchorlock/>
          </v:shape>
          <o:OLEObject Type="Embed" ProgID="Equation.DSMT4" ShapeID="_x0000_i1077" DrawAspect="Content" ObjectID="_1468075734" r:id="rId25">
            <o:LockedField>false</o:LockedField>
          </o:OLEObject>
        </w:object>
      </w:r>
      <w:r>
        <w:rPr>
          <w:rFonts w:ascii="宋体" w:hAnsi="宋体" w:eastAsia="宋体"/>
          <w:szCs w:val="21"/>
        </w:rPr>
        <w:t>个农户</w:t>
      </w:r>
      <w:r>
        <w:rPr>
          <w:rFonts w:hint="eastAsia" w:ascii="宋体" w:hAnsi="宋体" w:eastAsia="宋体"/>
          <w:szCs w:val="21"/>
        </w:rPr>
        <w:t>种植第</w:t>
      </w:r>
      <w:r>
        <w:rPr>
          <w:rFonts w:hint="eastAsia" w:ascii="宋体" w:hAnsi="宋体" w:eastAsia="宋体"/>
          <w:position w:val="-6"/>
          <w:szCs w:val="21"/>
        </w:rPr>
        <w:object>
          <v:shape id="_x0000_i1078" o:spt="75" type="#_x0000_t75" style="height:13.95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f"/>
            <w10:wrap type="none"/>
            <w10:anchorlock/>
          </v:shape>
          <o:OLEObject Type="Embed" ProgID="Equation.DSMT4" ShapeID="_x0000_i1078" DrawAspect="Content" ObjectID="_1468075735" r:id="rId26">
            <o:LockedField>false</o:LockedField>
          </o:OLEObject>
        </w:object>
      </w:r>
      <w:r>
        <w:rPr>
          <w:rFonts w:ascii="宋体" w:hAnsi="宋体" w:eastAsia="宋体"/>
          <w:szCs w:val="21"/>
        </w:rPr>
        <w:t>种作物</w:t>
      </w:r>
      <w:r>
        <w:rPr>
          <w:rFonts w:hint="eastAsia" w:ascii="宋体" w:hAnsi="宋体" w:eastAsia="宋体"/>
          <w:szCs w:val="21"/>
          <w:lang w:val="en-US" w:eastAsia="zh-CN"/>
        </w:rPr>
        <w:t>的</w:t>
      </w:r>
      <w:r>
        <w:rPr>
          <w:rFonts w:ascii="宋体" w:hAnsi="宋体" w:eastAsia="宋体"/>
          <w:szCs w:val="21"/>
        </w:rPr>
        <w:t>灌溉条件</w:t>
      </w:r>
      <w:r>
        <w:rPr>
          <w:rFonts w:hint="eastAsia" w:ascii="宋体" w:hAnsi="宋体" w:eastAsia="宋体"/>
          <w:szCs w:val="21"/>
          <w:lang w:val="en-US" w:eastAsia="zh-CN"/>
        </w:rPr>
        <w:t>以及农户种植农作物的总</w:t>
      </w:r>
      <w:r>
        <w:rPr>
          <w:rFonts w:hint="eastAsia" w:ascii="宋体" w:hAnsi="宋体" w:eastAsia="宋体"/>
          <w:szCs w:val="21"/>
        </w:rPr>
        <w:t>播种面积</w:t>
      </w:r>
      <w:r>
        <w:rPr>
          <w:rFonts w:ascii="宋体" w:hAnsi="宋体" w:eastAsia="宋体"/>
          <w:szCs w:val="21"/>
        </w:rPr>
        <w:t>；</w:t>
      </w:r>
      <w:r>
        <w:rPr>
          <w:rFonts w:hint="eastAsia" w:ascii="宋体" w:hAnsi="宋体" w:eastAsia="宋体"/>
          <w:position w:val="-12"/>
          <w:szCs w:val="21"/>
        </w:rPr>
        <w:object>
          <v:shape id="_x0000_i1079" o:spt="75" type="#_x0000_t75" style="height:18pt;width:13pt;" o:ole="t" filled="f" o:preferrelative="t" stroked="f" coordsize="21600,21600">
            <v:path/>
            <v:fill on="f" focussize="0,0"/>
            <v:stroke on="f"/>
            <v:imagedata r:id="rId28" o:title=""/>
            <o:lock v:ext="edit" aspectratio="f"/>
            <w10:wrap type="none"/>
            <w10:anchorlock/>
          </v:shape>
          <o:OLEObject Type="Embed" ProgID="Equation.DSMT4" ShapeID="_x0000_i1079" DrawAspect="Content" ObjectID="_1468075736" r:id="rId27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表示家庭层面的控制变量，表示第</w:t>
      </w:r>
      <w:r>
        <w:rPr>
          <w:rFonts w:ascii="宋体" w:hAnsi="宋体" w:eastAsia="宋体"/>
          <w:position w:val="-6"/>
          <w:szCs w:val="21"/>
        </w:rPr>
        <w:object>
          <v:shape id="_x0000_i1080" o:spt="75" type="#_x0000_t75" style="height:13pt;width:6.9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f"/>
            <w10:wrap type="none"/>
            <w10:anchorlock/>
          </v:shape>
          <o:OLEObject Type="Embed" ProgID="Equation.DSMT4" ShapeID="_x0000_i1080" DrawAspect="Content" ObjectID="_1468075737" r:id="rId29">
            <o:LockedField>false</o:LockedField>
          </o:OLEObject>
        </w:object>
      </w:r>
      <w:r>
        <w:rPr>
          <w:rFonts w:ascii="宋体" w:hAnsi="宋体" w:eastAsia="宋体"/>
          <w:szCs w:val="21"/>
        </w:rPr>
        <w:t>个农户</w:t>
      </w:r>
      <w:r>
        <w:rPr>
          <w:rFonts w:hint="eastAsia" w:ascii="宋体" w:hAnsi="宋体" w:eastAsia="宋体"/>
          <w:szCs w:val="21"/>
        </w:rPr>
        <w:t>的</w:t>
      </w:r>
      <w:r>
        <w:rPr>
          <w:rFonts w:ascii="宋体" w:hAnsi="宋体" w:eastAsia="宋体"/>
          <w:szCs w:val="21"/>
        </w:rPr>
        <w:t>家庭人口</w:t>
      </w:r>
      <w:r>
        <w:rPr>
          <w:rFonts w:hint="eastAsia" w:ascii="宋体" w:hAnsi="宋体" w:eastAsia="宋体"/>
          <w:szCs w:val="21"/>
        </w:rPr>
        <w:t>、</w:t>
      </w:r>
      <w:r>
        <w:rPr>
          <w:rFonts w:hint="eastAsia" w:ascii="宋体" w:hAnsi="宋体" w:eastAsia="宋体"/>
          <w:szCs w:val="21"/>
          <w:lang w:val="en-US" w:eastAsia="zh-CN"/>
        </w:rPr>
        <w:t>家庭收入</w:t>
      </w:r>
      <w:r>
        <w:rPr>
          <w:rFonts w:ascii="宋体" w:hAnsi="宋体" w:eastAsia="宋体"/>
          <w:szCs w:val="21"/>
        </w:rPr>
        <w:t>；</w:t>
      </w:r>
      <w:r>
        <w:rPr>
          <w:rFonts w:ascii="宋体" w:hAnsi="宋体" w:eastAsia="宋体"/>
          <w:position w:val="-12"/>
          <w:szCs w:val="21"/>
        </w:rPr>
        <w:object>
          <v:shape id="_x0000_i1081" o:spt="75" type="#_x0000_t75" style="height:18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f"/>
            <w10:wrap type="none"/>
            <w10:anchorlock/>
          </v:shape>
          <o:OLEObject Type="Embed" ProgID="Equation.DSMT4" ShapeID="_x0000_i1081" DrawAspect="Content" ObjectID="_1468075738" r:id="rId30">
            <o:LockedField>false</o:LockedField>
          </o:OLEObject>
        </w:object>
      </w:r>
      <w:r>
        <w:rPr>
          <w:rFonts w:ascii="宋体" w:hAnsi="宋体" w:eastAsia="宋体"/>
          <w:szCs w:val="21"/>
        </w:rPr>
        <w:t>表示</w:t>
      </w:r>
      <w:r>
        <w:rPr>
          <w:rFonts w:hint="eastAsia" w:ascii="宋体" w:hAnsi="宋体" w:eastAsia="宋体"/>
          <w:szCs w:val="21"/>
        </w:rPr>
        <w:t>户主</w:t>
      </w:r>
      <w:r>
        <w:rPr>
          <w:rFonts w:ascii="宋体" w:hAnsi="宋体" w:eastAsia="宋体"/>
          <w:szCs w:val="21"/>
        </w:rPr>
        <w:t>层面的控制变量，</w:t>
      </w:r>
      <w:r>
        <w:rPr>
          <w:rFonts w:hint="eastAsia" w:ascii="宋体" w:hAnsi="宋体" w:eastAsia="宋体"/>
          <w:szCs w:val="21"/>
        </w:rPr>
        <w:t>包括</w:t>
      </w:r>
      <w:r>
        <w:rPr>
          <w:rFonts w:ascii="宋体" w:hAnsi="宋体" w:eastAsia="宋体"/>
          <w:szCs w:val="21"/>
        </w:rPr>
        <w:t>户主的</w:t>
      </w:r>
      <w:r>
        <w:rPr>
          <w:rFonts w:hint="eastAsia" w:ascii="宋体" w:hAnsi="宋体" w:eastAsia="宋体"/>
          <w:szCs w:val="21"/>
          <w:lang w:val="en-US" w:eastAsia="zh-CN"/>
        </w:rPr>
        <w:t>性别、年龄、</w:t>
      </w:r>
      <w:r>
        <w:rPr>
          <w:rFonts w:ascii="宋体" w:hAnsi="宋体" w:eastAsia="宋体"/>
          <w:szCs w:val="21"/>
        </w:rPr>
        <w:t>受教育程度、健康状况、是否为党员和非农务工情况；</w:t>
      </w:r>
      <w:r>
        <w:rPr>
          <w:rFonts w:ascii="宋体" w:hAnsi="宋体" w:eastAsia="宋体"/>
          <w:i/>
          <w:iCs/>
          <w:position w:val="-12"/>
          <w:szCs w:val="21"/>
          <w:vertAlign w:val="subscript"/>
        </w:rPr>
        <w:object>
          <v:shape id="_x0000_i1083" o:spt="75" type="#_x0000_t75" style="height:18pt;width:15pt;" o:ole="t" filled="f" o:preferrelative="t" stroked="f" coordsize="21600,21600"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83" DrawAspect="Content" ObjectID="_1468075739" r:id="rId32">
            <o:LockedField>false</o:LockedField>
          </o:OLEObject>
        </w:object>
      </w:r>
      <w:r>
        <w:rPr>
          <w:rFonts w:ascii="宋体" w:hAnsi="宋体" w:eastAsia="宋体"/>
          <w:szCs w:val="21"/>
        </w:rPr>
        <w:t>表示随机扰动项。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92" w:firstLineChars="200"/>
        <w:textAlignment w:val="auto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同时，</w:t>
      </w:r>
      <w:r>
        <w:rPr>
          <w:rFonts w:ascii="宋体" w:hAnsi="宋体" w:eastAsia="宋体"/>
          <w:szCs w:val="21"/>
        </w:rPr>
        <w:t>由于不同地区的地形和土地肥沃程度不同，作者在模型中分别控制了县级虚拟变量</w:t>
      </w:r>
      <w:r>
        <w:rPr>
          <w:rFonts w:hint="eastAsia" w:ascii="宋体" w:hAnsi="宋体" w:eastAsia="宋体"/>
          <w:szCs w:val="21"/>
        </w:rPr>
        <w:t>。另外，考虑到河南和河北调查时间不同，模型中进一步控制了时间虚拟变量。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Times New Roman" w:hAnsi="Times New Roman" w:eastAsia="黑体" w:cs="Times New Roman"/>
          <w:position w:val="-12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32"/>
          <w:highlight w:val="none"/>
        </w:rPr>
        <w:t>附录</w:t>
      </w:r>
      <w:r>
        <w:rPr>
          <w:rFonts w:hint="eastAsia" w:ascii="Times New Roman" w:hAnsi="Times New Roman" w:eastAsia="黑体" w:cs="Times New Roman"/>
          <w:sz w:val="24"/>
          <w:szCs w:val="32"/>
          <w:highlight w:val="none"/>
          <w:lang w:val="en-US" w:eastAsia="zh-CN"/>
        </w:rPr>
        <w:t>C</w:t>
      </w:r>
      <w:r>
        <w:rPr>
          <w:rFonts w:hint="eastAsia" w:ascii="Times New Roman" w:hAnsi="Times New Roman" w:eastAsia="黑体" w:cs="Times New Roman"/>
          <w:sz w:val="24"/>
          <w:szCs w:val="32"/>
          <w:highlight w:val="none"/>
        </w:rPr>
        <w:t>：</w:t>
      </w:r>
      <w:r>
        <w:rPr>
          <w:rFonts w:hint="eastAsia" w:ascii="Times New Roman" w:hAnsi="Times New Roman" w:eastAsia="黑体" w:cs="Times New Roman"/>
          <w:sz w:val="24"/>
          <w:szCs w:val="32"/>
          <w:highlight w:val="none"/>
          <w:lang w:val="en-US" w:eastAsia="zh-CN"/>
        </w:rPr>
        <w:t>青贮玉米种植对成本收益影响模型的控制变量的描述性统计</w:t>
      </w:r>
    </w:p>
    <w:p>
      <w:pPr>
        <w:spacing w:line="240" w:lineRule="atLeast"/>
        <w:ind w:firstLine="332" w:firstLineChars="200"/>
        <w:rPr>
          <w:rFonts w:hint="eastAsia" w:ascii="宋体" w:hAnsi="宋体" w:eastAsia="宋体"/>
          <w:szCs w:val="21"/>
        </w:rPr>
      </w:pPr>
      <w:r>
        <w:rPr>
          <w:rFonts w:ascii="黑体" w:hAnsi="黑体" w:eastAsia="黑体"/>
          <w:sz w:val="18"/>
          <w:szCs w:val="22"/>
          <w:shd w:val="clear" w:color="auto" w:fill="FFFFFF"/>
        </w:rPr>
        <w:t>表</w:t>
      </w:r>
      <w:r>
        <w:rPr>
          <w:rFonts w:hint="eastAsia" w:eastAsia="黑体"/>
          <w:sz w:val="18"/>
          <w:szCs w:val="22"/>
          <w:shd w:val="clear" w:color="auto" w:fill="FFFFFF"/>
          <w:lang w:val="en-US" w:eastAsia="zh-CN"/>
        </w:rPr>
        <w:t>1</w:t>
      </w:r>
      <w:r>
        <w:rPr>
          <w:rFonts w:ascii="黑体" w:hAnsi="黑体" w:eastAsia="黑体"/>
          <w:sz w:val="18"/>
          <w:szCs w:val="22"/>
          <w:shd w:val="clear" w:color="auto" w:fill="FFFFFF"/>
        </w:rPr>
        <w:t xml:space="preserve">                                 </w:t>
      </w:r>
      <w:r>
        <w:rPr>
          <w:rFonts w:hint="eastAsia" w:ascii="黑体" w:hAnsi="黑体" w:eastAsia="黑体"/>
          <w:sz w:val="18"/>
          <w:szCs w:val="22"/>
          <w:shd w:val="clear" w:color="auto" w:fill="FFFFFF"/>
        </w:rPr>
        <w:t xml:space="preserve">  </w:t>
      </w:r>
      <w:r>
        <w:rPr>
          <w:rFonts w:ascii="黑体" w:hAnsi="黑体" w:eastAsia="黑体"/>
          <w:sz w:val="18"/>
          <w:szCs w:val="22"/>
          <w:shd w:val="clear" w:color="auto" w:fill="FFFFFF"/>
        </w:rPr>
        <w:t>变量</w:t>
      </w:r>
      <w:r>
        <w:rPr>
          <w:rFonts w:hint="eastAsia" w:ascii="黑体" w:hAnsi="黑体" w:eastAsia="黑体"/>
          <w:sz w:val="18"/>
          <w:szCs w:val="22"/>
          <w:shd w:val="clear" w:color="auto" w:fill="FFFFFF"/>
        </w:rPr>
        <w:t>定义与</w:t>
      </w:r>
      <w:r>
        <w:rPr>
          <w:rFonts w:ascii="黑体" w:hAnsi="黑体" w:eastAsia="黑体"/>
          <w:sz w:val="18"/>
          <w:szCs w:val="22"/>
          <w:shd w:val="clear" w:color="auto" w:fill="FFFFFF"/>
        </w:rPr>
        <w:t>描述性统计</w:t>
      </w:r>
    </w:p>
    <w:tbl>
      <w:tblPr>
        <w:tblStyle w:val="33"/>
        <w:tblW w:w="861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120"/>
        <w:gridCol w:w="946"/>
        <w:gridCol w:w="1004"/>
        <w:gridCol w:w="9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变量名称</w:t>
            </w:r>
          </w:p>
        </w:tc>
        <w:tc>
          <w:tcPr>
            <w:tcW w:w="4120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变量定义</w:t>
            </w:r>
          </w:p>
        </w:tc>
        <w:tc>
          <w:tcPr>
            <w:tcW w:w="946" w:type="dxa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籽粒玉米</w:t>
            </w:r>
          </w:p>
        </w:tc>
        <w:tc>
          <w:tcPr>
            <w:tcW w:w="1004" w:type="dxa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青贮玉米</w:t>
            </w:r>
          </w:p>
        </w:tc>
        <w:tc>
          <w:tcPr>
            <w:tcW w:w="982" w:type="dxa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  <w:t>均值差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灌溉方式</w:t>
            </w:r>
          </w:p>
        </w:tc>
        <w:tc>
          <w:tcPr>
            <w:tcW w:w="4120" w:type="dxa"/>
            <w:tcBorders>
              <w:top w:val="single" w:color="auto" w:sz="8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color="auto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地下水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农户以地下水灌溉=1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；其他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0.818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0.722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0.096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地表水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农户以地表水灌溉=1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；其他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0.091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0.194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bidi="ar"/>
              </w:rPr>
              <w:t>−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0.104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地下水和地表水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农户以地下水和地表水灌溉=1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；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其他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0.078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0.001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雨水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农户以雨水灌溉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；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其他=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0.006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0.007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总播种面积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农户种植农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作物的播种面积（亩）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取对数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2.835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3.437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bidi="ar"/>
              </w:rPr>
              <w:t>−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0.602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家庭信息</w:t>
            </w:r>
          </w:p>
        </w:tc>
        <w:tc>
          <w:tcPr>
            <w:tcW w:w="412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家庭人口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家庭中劳动力人口在18岁以上的人数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3.068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家庭收入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家庭年收入分组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低收入组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家庭收入小于等于15000元=1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；其他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0.238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0.149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中低收入组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家庭收入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大于15000且小于等于35000元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1；其他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0.22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0.199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中收入组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家庭收入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大于35000且小于等于60000元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1；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其他=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bidi="ar"/>
              </w:rPr>
              <w:t>−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中高收入组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家庭收入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大于60000且小于等于95000元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1；其他=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0.182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高收入组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家庭收入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大于于95000元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1；其他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0.167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0.26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bidi="ar"/>
              </w:rPr>
              <w:t>−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0.092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户主信息</w:t>
            </w:r>
          </w:p>
        </w:tc>
        <w:tc>
          <w:tcPr>
            <w:tcW w:w="412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性别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男性户主=1，女性户主=0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年龄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户主年龄（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年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55.443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53.409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2.034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教育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未上学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户主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受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教育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程度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在小学以下=1，其他=0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小学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户主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受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教育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程度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为小学=1，其他=0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0.21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bidi="ar"/>
              </w:rPr>
              <w:t>−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初中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户主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受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教育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程度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为初中=1，其他=0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0.495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0.575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bidi="ar"/>
              </w:rPr>
              <w:t>−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0.079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6" w:firstLineChars="10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高中及以上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户主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受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教育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程度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为高中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  <w:lang w:val="en-US" w:eastAsia="zh-CN"/>
              </w:rPr>
              <w:t>及以上</w:t>
            </w:r>
            <w:r>
              <w:rPr>
                <w:rFonts w:hint="eastAsia" w:ascii="Times New Roman" w:hAnsi="Times New Roman" w:eastAsia="宋体" w:cs="Times New Roman"/>
                <w:sz w:val="18"/>
                <w:szCs w:val="22"/>
                <w:shd w:val="clear" w:color="auto" w:fill="FFFFFF"/>
              </w:rPr>
              <w:t>=1，其他=0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0.238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0.155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0.084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健康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户主健康=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1；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其他=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0.836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0.856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bidi="ar"/>
              </w:rPr>
              <w:t>−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党员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户主为党员=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1；其他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0.217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0.16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55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83" w:firstLineChars="50"/>
              <w:jc w:val="left"/>
              <w:textAlignment w:val="auto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户主打工</w:t>
            </w:r>
          </w:p>
        </w:tc>
        <w:tc>
          <w:tcPr>
            <w:tcW w:w="4120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户主从事非农工作=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1；其他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0.446</w:t>
            </w:r>
          </w:p>
        </w:tc>
        <w:tc>
          <w:tcPr>
            <w:tcW w:w="1004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0.514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bidi="ar"/>
              </w:rPr>
              <w:t>−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0.068</w:t>
            </w:r>
          </w:p>
        </w:tc>
      </w:tr>
    </w:tbl>
    <w:p>
      <w:pPr>
        <w:spacing w:line="240" w:lineRule="atLeast"/>
        <w:ind w:firstLine="332" w:firstLineChars="200"/>
        <w:rPr>
          <w:rFonts w:hint="eastAsia" w:ascii="宋体" w:hAnsi="宋体" w:eastAsia="宋体" w:cs="宋体"/>
          <w:sz w:val="18"/>
          <w:szCs w:val="18"/>
          <w:shd w:val="clear" w:color="auto" w:fill="FFFFFF"/>
        </w:rPr>
      </w:pPr>
      <w:r>
        <w:rPr>
          <w:rFonts w:hint="eastAsia" w:ascii="宋体" w:hAnsi="宋体" w:eastAsia="宋体" w:cs="宋体"/>
          <w:sz w:val="18"/>
          <w:szCs w:val="18"/>
          <w:shd w:val="clear" w:color="auto" w:fill="FFFFFF"/>
        </w:rPr>
        <w:t>注：①差值为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  <w:lang w:val="en-US" w:eastAsia="zh-CN"/>
        </w:rPr>
        <w:t>籽粒玉米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</w:rPr>
        <w:t>和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  <w:lang w:val="en-US" w:eastAsia="zh-CN"/>
        </w:rPr>
        <w:t>青贮玉米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</w:rPr>
        <w:t>的均值差。②</w:t>
      </w:r>
      <w:r>
        <w:rPr>
          <w:rFonts w:hint="default" w:ascii="Times New Roman" w:hAnsi="Times New Roman" w:eastAsia="宋体" w:cs="Times New Roman"/>
          <w:sz w:val="18"/>
          <w:szCs w:val="18"/>
          <w:shd w:val="clear" w:color="auto" w:fill="FFFFFF"/>
        </w:rPr>
        <w:t>***、**和*分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</w:rPr>
        <w:t>别表示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  <w:lang w:val="en-US" w:eastAsia="zh-CN"/>
        </w:rPr>
        <w:t>籽粒玉米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</w:rPr>
        <w:t>样本和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  <w:lang w:val="en-US" w:eastAsia="zh-CN"/>
        </w:rPr>
        <w:t>青贮玉米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</w:rPr>
        <w:t>样本之间差异的</w:t>
      </w:r>
      <w:r>
        <w:rPr>
          <w:rFonts w:hint="eastAsia" w:ascii="宋体" w:hAnsi="宋体" w:eastAsia="宋体" w:cs="宋体"/>
          <w:sz w:val="18"/>
          <w:szCs w:val="18"/>
        </w:rPr>
        <w:t>独立样</w:t>
      </w:r>
      <w:r>
        <w:rPr>
          <w:rFonts w:hint="default" w:ascii="Times New Roman" w:hAnsi="Times New Roman" w:eastAsia="宋体" w:cs="Times New Roman"/>
          <w:sz w:val="18"/>
          <w:szCs w:val="18"/>
        </w:rPr>
        <w:t>本</w:t>
      </w:r>
      <w:r>
        <w:rPr>
          <w:rFonts w:hint="default" w:ascii="Times New Roman" w:hAnsi="Times New Roman" w:eastAsia="宋体" w:cs="Times New Roman"/>
          <w:i/>
          <w:sz w:val="18"/>
          <w:szCs w:val="18"/>
        </w:rPr>
        <w:t>t</w:t>
      </w:r>
      <w:r>
        <w:rPr>
          <w:rFonts w:hint="default" w:ascii="Times New Roman" w:hAnsi="Times New Roman" w:eastAsia="宋体" w:cs="Times New Roman"/>
          <w:sz w:val="18"/>
          <w:szCs w:val="18"/>
        </w:rPr>
        <w:t>检验结果在</w:t>
      </w:r>
      <w:r>
        <w:rPr>
          <w:rFonts w:hint="default" w:ascii="Times New Roman" w:hAnsi="Times New Roman" w:eastAsia="宋体" w:cs="Times New Roman"/>
          <w:sz w:val="18"/>
          <w:szCs w:val="18"/>
          <w:shd w:val="clear" w:color="auto" w:fill="FFFFFF"/>
        </w:rPr>
        <w:t>1%、5%和10%的</w:t>
      </w:r>
      <w:r>
        <w:rPr>
          <w:rFonts w:hint="eastAsia" w:ascii="宋体" w:hAnsi="宋体" w:eastAsia="宋体" w:cs="宋体"/>
          <w:sz w:val="18"/>
          <w:szCs w:val="18"/>
          <w:shd w:val="clear" w:color="auto" w:fill="FFFFFF"/>
        </w:rPr>
        <w:t>显著性水平。</w:t>
      </w:r>
    </w:p>
    <w:p/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宋体" w:hAnsi="宋体" w:eastAsia="宋体" w:cs="宋体"/>
          <w:color w:val="3C3C3C"/>
          <w:kern w:val="0"/>
          <w:sz w:val="21"/>
          <w:szCs w:val="21"/>
          <w:lang w:val="en-US" w:eastAsia="zh-CN" w:bidi="ar"/>
        </w:rPr>
        <w:t xml:space="preserve">引用示例： </w:t>
      </w: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参考文献引用范例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（具体请根据目标投稿期刊对应调整体例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：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[</w:t>
      </w:r>
      <w:r>
        <w:rPr>
          <w:rFonts w:hint="default" w:ascii="Times New Roman" w:hAnsi="Times New Roman" w:eastAsia="宋体" w:cs="Times New Roman"/>
          <w:color w:val="000000"/>
          <w:spacing w:val="-2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color w:val="000000"/>
          <w:spacing w:val="-2"/>
          <w:kern w:val="0"/>
          <w:sz w:val="21"/>
          <w:szCs w:val="21"/>
          <w:lang w:val="en-US" w:eastAsia="zh-CN" w:bidi="ar"/>
        </w:rPr>
        <w:t>]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林文声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202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：《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高标准农田建设的农地流转市场转型效应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，《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中国农村经济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》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第1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期，第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</w:rPr>
        <w:t>23-43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val="en-US" w:eastAsia="zh-CN"/>
        </w:rPr>
        <w:t>页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333333"/>
          <w:spacing w:val="-2"/>
          <w:sz w:val="21"/>
          <w:szCs w:val="21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left"/>
        <w:textAlignment w:val="auto"/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宋体"/>
        </w:rPr>
      </w:pPr>
      <w:r>
        <w:rPr>
          <w:rFonts w:hint="eastAsia" w:ascii="黑体" w:hAnsi="宋体" w:eastAsia="黑体" w:cs="黑体"/>
          <w:color w:val="000000"/>
          <w:kern w:val="0"/>
          <w:sz w:val="21"/>
          <w:szCs w:val="21"/>
          <w:lang w:val="en-US" w:eastAsia="zh-CN"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hint="eastAsia"/>
          <w:lang w:val="en-US" w:eastAsia="zh-CN"/>
        </w:rPr>
      </w:pPr>
      <w:r>
        <w:rPr>
          <w:rFonts w:hint="eastAsia" w:ascii="Calibri" w:hAnsi="Calibri" w:eastAsia="宋体"/>
          <w:spacing w:val="-1"/>
        </w:rPr>
        <w:t>某数据（及程序等或其他材料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来自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王术坤</w:t>
      </w:r>
      <w:r>
        <w:rPr>
          <w:rFonts w:hint="eastAsia"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-1"/>
          <w:sz w:val="21"/>
          <w:szCs w:val="21"/>
          <w:shd w:val="clear" w:fill="FFFFFF"/>
        </w:rPr>
        <w:t>林文声</w:t>
      </w:r>
      <w:r>
        <w:rPr>
          <w:rFonts w:hint="eastAsia" w:ascii="Calibri" w:hAnsi="Calibri" w:eastAsia="宋体"/>
          <w:spacing w:val="-1"/>
        </w:rPr>
        <w:t>（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2023</w:t>
      </w:r>
      <w:r>
        <w:rPr>
          <w:rFonts w:hint="eastAsia" w:cs="Times New Roman"/>
          <w:i w:val="0"/>
          <w:iCs w:val="0"/>
          <w:caps w:val="0"/>
          <w:color w:val="333333"/>
          <w:spacing w:val="-1"/>
          <w:sz w:val="21"/>
          <w:szCs w:val="21"/>
          <w:shd w:val="clear" w:fill="FFFFFF"/>
          <w:lang w:val="en-US" w:eastAsia="zh-CN"/>
        </w:rPr>
        <w:t>）</w:t>
      </w:r>
      <w:r>
        <w:rPr>
          <w:rFonts w:hint="eastAsia" w:ascii="Calibri" w:hAnsi="Calibri" w:eastAsia="宋体"/>
          <w:spacing w:val="-1"/>
        </w:rPr>
        <w:t>，详见《中国农村经济》网站（</w:t>
      </w:r>
      <w:r>
        <w:rPr>
          <w:rFonts w:hint="default" w:ascii="Times New Roman" w:hAnsi="Times New Roman" w:eastAsia="宋体" w:cs="Times New Roman"/>
          <w:spacing w:val="-1"/>
        </w:rPr>
        <w:t>zgncjj.ajcass.</w:t>
      </w:r>
      <w:r>
        <w:rPr>
          <w:rFonts w:hint="eastAsia" w:eastAsia="宋体" w:cs="Times New Roman"/>
          <w:spacing w:val="-1"/>
          <w:lang w:val="en-US" w:eastAsia="zh-CN"/>
        </w:rPr>
        <w:t>com</w:t>
      </w:r>
      <w:r>
        <w:rPr>
          <w:rFonts w:hint="eastAsia" w:ascii="Calibri" w:hAnsi="Calibri"/>
          <w:spacing w:val="-1"/>
          <w:lang w:eastAsia="zh-CN"/>
        </w:rPr>
        <w:t>）</w:t>
      </w:r>
      <w:r>
        <w:rPr>
          <w:rFonts w:hint="eastAsia" w:ascii="Calibri" w:hAnsi="Calibri" w:eastAsia="宋体"/>
          <w:spacing w:val="-1"/>
        </w:rPr>
        <w:t>该文的</w:t>
      </w:r>
      <w:r>
        <w:rPr>
          <w:rFonts w:hint="eastAsia" w:ascii="Calibri" w:hAnsi="Calibri" w:eastAsia="宋体"/>
          <w:spacing w:val="-1"/>
          <w:lang w:val="en-US" w:eastAsia="zh-CN"/>
        </w:rPr>
        <w:t>对应</w:t>
      </w:r>
      <w:r>
        <w:rPr>
          <w:rFonts w:hint="eastAsia" w:ascii="Calibri" w:hAnsi="Calibri" w:eastAsia="宋体"/>
          <w:spacing w:val="-1"/>
        </w:rPr>
        <w:t>附件。</w:t>
      </w: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ejaVu Math TeX Gyre">
    <w:altName w:val="Euclid"/>
    <w:panose1 w:val="02000503000000000000"/>
    <w:charset w:val="00"/>
    <w:family w:val="auto"/>
    <w:pitch w:val="default"/>
    <w:sig w:usb0="00000000" w:usb1="00000000" w:usb2="02000000" w:usb3="00000000" w:csb0="60000193" w:csb1="0DD40000"/>
  </w:font>
  <w:font w:name="STB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TA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uclid">
    <w:panose1 w:val="02020503060505020303"/>
    <w:charset w:val="00"/>
    <w:family w:val="auto"/>
    <w:pitch w:val="default"/>
    <w:sig w:usb0="8000002F" w:usb1="0000000A" w:usb2="00000000" w:usb3="8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Calibri" w:hAnsi="Calibri" w:eastAsia="宋体" w:cs="Times New Roman"/>
          <w:kern w:val="2"/>
          <w:sz w:val="18"/>
          <w:szCs w:val="24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18"/>
          <w:szCs w:val="24"/>
          <w:vertAlign w:val="superscript"/>
          <w:lang w:val="en-US" w:eastAsia="zh-CN" w:bidi="ar-SA"/>
        </w:rPr>
        <w:t>*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附录由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作</w:t>
      </w:r>
      <w:r>
        <w:rPr>
          <w:rFonts w:hint="eastAsia" w:ascii="Times New Roman" w:hAnsi="Times New Roman" w:eastAsia="宋体" w:cs="Times New Roman"/>
          <w:kern w:val="2"/>
          <w:sz w:val="18"/>
          <w:szCs w:val="18"/>
          <w:lang w:val="en-US" w:eastAsia="zh-CN" w:bidi="ar-SA"/>
        </w:rPr>
        <w:t>者提供，文责自负。</w:t>
      </w:r>
      <w:r>
        <w:rPr>
          <w:rFonts w:hint="eastAsia" w:cs="Times New Roman"/>
          <w:kern w:val="2"/>
          <w:sz w:val="18"/>
          <w:szCs w:val="18"/>
          <w:lang w:val="en-US" w:eastAsia="zh-CN" w:bidi="ar-SA"/>
        </w:rPr>
        <w:t>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王术坤等：粮改饲补贴政策的种植结构调整效应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    </w:t>
    </w:r>
    <w:r>
      <w:rPr>
        <w:rFonts w:hint="eastAsia" w:ascii="黑体" w:hAnsi="黑体" w:eastAsia="黑体" w:cs="黑体"/>
        <w:spacing w:val="-2"/>
        <w:lang w:val="en-US" w:eastAsia="zh-CN"/>
      </w:rPr>
      <w:t xml:space="preserve">王术坤等：粮改饲补贴政策的种植结构调整效应            </w:t>
    </w:r>
    <w:r>
      <w:rPr>
        <w:rFonts w:hint="eastAsia" w:cs="Times New Roman"/>
        <w:spacing w:val="-2"/>
        <w:lang w:val="en-US" w:eastAsia="zh-CN"/>
      </w:rPr>
      <w:t xml:space="preserve"> </w:t>
    </w:r>
    <w:r>
      <w:rPr>
        <w:rFonts w:ascii="Times New Roman" w:hAnsi="Times New Roman" w:eastAsia="黑体" w:cs="Times New Roman"/>
        <w:spacing w:val="-2"/>
      </w:rPr>
      <w:t>202</w:t>
    </w:r>
    <w:r>
      <w:rPr>
        <w:rFonts w:hint="eastAsia" w:eastAsia="黑体" w:cs="Times New Roman"/>
        <w:spacing w:val="-2"/>
        <w:lang w:val="en-US" w:eastAsia="zh-CN"/>
      </w:rPr>
      <w:t>5年第4期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8EA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643594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0DC60C3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32488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136BB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DD1AAE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EE86DC8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AF056D5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A779E2"/>
    <w:rsid w:val="77C7038B"/>
    <w:rsid w:val="77D857BA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9E76DA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4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6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3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99"/>
    <w:next w:val="1"/>
    <w:link w:val="100"/>
    <w:qFormat/>
    <w:uiPriority w:val="0"/>
    <w:pPr>
      <w:tabs>
        <w:tab w:val="center" w:pos="4320"/>
        <w:tab w:val="right" w:pos="8620"/>
        <w:tab w:val="right" w:pos="10103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paragraph" w:customStyle="1" w:styleId="99">
    <w:name w:val="公式"/>
    <w:basedOn w:val="1"/>
    <w:unhideWhenUsed/>
    <w:qFormat/>
    <w:uiPriority w:val="0"/>
    <w:pPr>
      <w:tabs>
        <w:tab w:val="right" w:pos="10103"/>
      </w:tabs>
      <w:spacing w:line="360" w:lineRule="auto"/>
      <w:jc w:val="center"/>
    </w:pPr>
  </w:style>
  <w:style w:type="character" w:customStyle="1" w:styleId="100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1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3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4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5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8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9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0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1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2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3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4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5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paragraph" w:customStyle="1" w:styleId="116">
    <w:name w:val="正文-公1"/>
    <w:basedOn w:val="1"/>
    <w:qFormat/>
    <w:uiPriority w:val="0"/>
    <w:pPr>
      <w:framePr w:hSpace="181" w:wrap="notBeside" w:vAnchor="text" w:hAnchor="margin" w:xAlign="center" w:y="63"/>
      <w:spacing w:line="300" w:lineRule="exact"/>
      <w:ind w:firstLine="0" w:firstLineChars="0"/>
      <w:jc w:val="center"/>
    </w:pPr>
    <w:rPr>
      <w:rFonts w:ascii="宋体" w:hAnsi="宋体" w:cs="Times New Roman"/>
      <w:b/>
      <w:bCs/>
      <w:sz w:val="18"/>
      <w:szCs w:val="18"/>
    </w:rPr>
  </w:style>
  <w:style w:type="table" w:customStyle="1" w:styleId="117">
    <w:name w:val="无格式表格 21"/>
    <w:basedOn w:val="33"/>
    <w:qFormat/>
    <w:uiPriority w:val="0"/>
    <w:tblPr>
      <w:tblBorders>
        <w:top w:val="single" w:color="7E7E7E" w:sz="4" w:space="0"/>
        <w:bottom w:val="single" w:color="7E7E7E" w:sz="4" w:space="0"/>
      </w:tblBorders>
      <w:tblLayout w:type="fixed"/>
    </w:tblPr>
    <w:tblStylePr w:type="firstRow">
      <w:rPr>
        <w:b/>
        <w:bCs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2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7E7E7E" w:sz="4" w:space="0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18">
    <w:name w:val="论文三线表2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19">
    <w:name w:val="论文三线表3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20">
    <w:name w:val="论文三线表4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21">
    <w:name w:val="论文三线表5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22">
    <w:name w:val="论文三线表7"/>
    <w:basedOn w:val="33"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12" w:space="0"/>
        <w:bottom w:val="single" w:color="auto" w:sz="12" w:space="0"/>
      </w:tblBorders>
      <w:tblLayout w:type="fixed"/>
    </w:tblPr>
    <w:tblStylePr w:type="firstRow">
      <w:tcPr>
        <w:tcBorders>
          <w:top w:val="single" w:color="auto" w:sz="12" w:space="0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both"/>
      </w:pPr>
      <w:rPr>
        <w:rFonts w:hint="default" w:ascii="Times New Roman" w:hAnsi="Times New Roman" w:eastAsia="宋体" w:cs="Times New Roman"/>
        <w:sz w:val="21"/>
        <w:szCs w:val="21"/>
      </w:rPr>
      <w:tcPr>
        <w:tcBorders>
          <w:top w:val="nil"/>
          <w:left w:val="nil"/>
          <w:bottom w:val="single" w:color="auto" w:sz="12" w:space="0"/>
          <w:right w:val="single" w:color="auto" w:sz="4" w:space="0"/>
          <w:insideH w:val="nil"/>
          <w:insideV w:val="nil"/>
          <w:tl2br w:val="nil"/>
          <w:tr2bl w:val="nil"/>
        </w:tcBorders>
      </w:tcPr>
    </w:tblStylePr>
  </w:style>
  <w:style w:type="paragraph" w:customStyle="1" w:styleId="123">
    <w:name w:val="正文1"/>
    <w:qFormat/>
    <w:uiPriority w:val="0"/>
    <w:pPr>
      <w:ind w:firstLine="200" w:firstLineChars="200"/>
      <w:jc w:val="both"/>
    </w:pPr>
    <w:rPr>
      <w:rFonts w:ascii="Times New Roman" w:hAnsi="Times New Roman" w:eastAsia="楷体" w:cs="Times New Roman"/>
      <w:kern w:val="2"/>
      <w:sz w:val="21"/>
      <w:szCs w:val="21"/>
      <w:lang w:val="en-US" w:eastAsia="zh-CN" w:bidi="ar-SA"/>
    </w:rPr>
  </w:style>
  <w:style w:type="paragraph" w:customStyle="1" w:styleId="124">
    <w:name w:val="标题3"/>
    <w:basedOn w:val="1"/>
    <w:next w:val="1"/>
    <w:qFormat/>
    <w:uiPriority w:val="0"/>
    <w:pPr>
      <w:spacing w:before="50" w:beforeLines="50" w:after="50" w:afterLines="50"/>
      <w:outlineLvl w:val="2"/>
    </w:pPr>
    <w:rPr>
      <w:rFonts w:eastAsia="黑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11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oleObject" Target="embeddings/oleObject13.bin"/><Relationship Id="rId28" Type="http://schemas.openxmlformats.org/officeDocument/2006/relationships/image" Target="media/image9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oleObject" Target="embeddings/oleObject10.bin"/><Relationship Id="rId24" Type="http://schemas.openxmlformats.org/officeDocument/2006/relationships/image" Target="media/image8.wmf"/><Relationship Id="rId23" Type="http://schemas.openxmlformats.org/officeDocument/2006/relationships/oleObject" Target="embeddings/oleObject9.bin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image" Target="media/image6.wmf"/><Relationship Id="rId16" Type="http://schemas.openxmlformats.org/officeDocument/2006/relationships/oleObject" Target="embeddings/oleObject4.bin"/><Relationship Id="rId15" Type="http://schemas.openxmlformats.org/officeDocument/2006/relationships/image" Target="media/image5.wmf"/><Relationship Id="rId14" Type="http://schemas.openxmlformats.org/officeDocument/2006/relationships/oleObject" Target="embeddings/oleObject3.bin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2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deng</cp:lastModifiedBy>
  <cp:lastPrinted>2023-06-28T09:19:00Z</cp:lastPrinted>
  <dcterms:modified xsi:type="dcterms:W3CDTF">2025-04-16T05:05:35Z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