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488EA9">
      <w:pPr>
        <w:jc w:val="center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回归结果截图</w:t>
      </w:r>
    </w:p>
    <w:p w14:paraId="4DC0054B">
      <w:pPr>
        <w:jc w:val="center"/>
        <w:rPr>
          <w:rFonts w:hint="default" w:ascii="黑体" w:hAnsi="黑体" w:eastAsia="黑体" w:cs="黑体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sz w:val="24"/>
          <w:szCs w:val="24"/>
          <w:lang w:val="en-US" w:eastAsia="zh-CN"/>
        </w:rPr>
        <w:t>目录</w:t>
      </w:r>
    </w:p>
    <w:p w14:paraId="2C90BCE7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instrText xml:space="preserve">TOC \o "1-2" \h \u </w:instrTex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_Toc4569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表1 描述性统计结果</w:t>
      </w:r>
      <w:r>
        <w:tab/>
      </w:r>
      <w:r>
        <w:fldChar w:fldCharType="begin"/>
      </w:r>
      <w:r>
        <w:instrText xml:space="preserve"> PAGEREF _Toc4569 \h </w:instrText>
      </w:r>
      <w:r>
        <w:fldChar w:fldCharType="separate"/>
      </w:r>
      <w:r>
        <w:t>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21EF4CC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_Toc23216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1.1描述性统计结果-全部数据</w:t>
      </w:r>
      <w:r>
        <w:tab/>
      </w:r>
      <w:r>
        <w:fldChar w:fldCharType="begin"/>
      </w:r>
      <w:r>
        <w:instrText xml:space="preserve"> PAGEREF _Toc23216 \h </w:instrText>
      </w:r>
      <w:r>
        <w:fldChar w:fldCharType="separate"/>
      </w:r>
      <w:r>
        <w:t>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2C24D47D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_Toc10565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1.2描述性统计结果-2021数据</w:t>
      </w:r>
      <w:r>
        <w:tab/>
      </w:r>
      <w:r>
        <w:fldChar w:fldCharType="begin"/>
      </w:r>
      <w:r>
        <w:instrText xml:space="preserve"> PAGEREF _Toc10565 \h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1EF4E681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_Toc105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1.3描述性统计结果-2023数据</w:t>
      </w:r>
      <w:r>
        <w:tab/>
      </w:r>
      <w:r>
        <w:fldChar w:fldCharType="begin"/>
      </w:r>
      <w:r>
        <w:instrText xml:space="preserve"> PAGEREF _Toc105 \h </w:instrText>
      </w:r>
      <w:r>
        <w:fldChar w:fldCharType="separate"/>
      </w:r>
      <w:r>
        <w:t>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E2ADCAA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_Toc14276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表2 数字金融使用对种植类家庭农场韧性的基准回归结果</w:t>
      </w:r>
      <w:r>
        <w:tab/>
      </w:r>
      <w:r>
        <w:fldChar w:fldCharType="begin"/>
      </w:r>
      <w:r>
        <w:instrText xml:space="preserve"> PAGEREF _Toc14276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24FF258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_Toc2827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2.1基准回归-控制变量未控制</w:t>
      </w:r>
      <w:r>
        <w:tab/>
      </w:r>
      <w:r>
        <w:fldChar w:fldCharType="begin"/>
      </w:r>
      <w:r>
        <w:instrText xml:space="preserve"> PAGEREF _Toc2827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11739C9B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_Toc22049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2.2基准回归-控制变量已控制</w:t>
      </w:r>
      <w:r>
        <w:tab/>
      </w:r>
      <w:r>
        <w:fldChar w:fldCharType="begin"/>
      </w:r>
      <w:r>
        <w:instrText xml:space="preserve"> PAGEREF _Toc22049 \h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1232103E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_Toc21328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2.3基准回归-韧性分维度回归-缓冲力维度</w:t>
      </w:r>
      <w:r>
        <w:tab/>
      </w:r>
      <w:r>
        <w:fldChar w:fldCharType="begin"/>
      </w:r>
      <w:r>
        <w:instrText xml:space="preserve"> PAGEREF _Toc21328 \h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43048AB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_Toc30938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2.4基准回归-韧性分维度回归-适应力维度</w:t>
      </w:r>
      <w:r>
        <w:tab/>
      </w:r>
      <w:r>
        <w:fldChar w:fldCharType="begin"/>
      </w:r>
      <w:r>
        <w:instrText xml:space="preserve"> PAGEREF _Toc30938 \h </w:instrText>
      </w:r>
      <w:r>
        <w:fldChar w:fldCharType="separate"/>
      </w:r>
      <w:r>
        <w:t>6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2879AFDA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_Toc18346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2.5基准回归-韧性分维度回归-转型力维度</w:t>
      </w:r>
      <w:r>
        <w:tab/>
      </w:r>
      <w:r>
        <w:fldChar w:fldCharType="begin"/>
      </w:r>
      <w:r>
        <w:instrText xml:space="preserve"> PAGEREF _Toc18346 \h </w:instrText>
      </w:r>
      <w:r>
        <w:fldChar w:fldCharType="separate"/>
      </w:r>
      <w:r>
        <w:t>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01963A2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_Toc6368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2.6基准回归-数字金融使用分维度回归-数字投资维度</w:t>
      </w:r>
      <w:r>
        <w:tab/>
      </w:r>
      <w:r>
        <w:fldChar w:fldCharType="begin"/>
      </w:r>
      <w:r>
        <w:instrText xml:space="preserve"> PAGEREF _Toc6368 \h </w:instrText>
      </w:r>
      <w:r>
        <w:fldChar w:fldCharType="separate"/>
      </w:r>
      <w:r>
        <w:t>8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4E48C38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_Toc14462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2.7基准回归-数字金融使用分维度回归-移动支付维度</w:t>
      </w:r>
      <w:r>
        <w:tab/>
      </w:r>
      <w:r>
        <w:fldChar w:fldCharType="begin"/>
      </w:r>
      <w:r>
        <w:instrText xml:space="preserve"> PAGEREF _Toc14462 \h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8E2585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_Toc31573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2.8基准回归-数字金融使用分维度回归-数字信贷维度</w:t>
      </w:r>
      <w:bookmarkStart w:id="62" w:name="_GoBack"/>
      <w:bookmarkEnd w:id="62"/>
      <w:r>
        <w:tab/>
      </w:r>
      <w:r>
        <w:fldChar w:fldCharType="begin"/>
      </w:r>
      <w:r>
        <w:instrText xml:space="preserve"> PAGEREF _Toc31573 \h </w:instrText>
      </w:r>
      <w:r>
        <w:fldChar w:fldCharType="separate"/>
      </w:r>
      <w:r>
        <w:t>10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5D6AFC1A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_Toc31600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2.9基准回归-数字金融使用分维度回归-线上投保维度</w:t>
      </w:r>
      <w:r>
        <w:tab/>
      </w:r>
      <w:r>
        <w:fldChar w:fldCharType="begin"/>
      </w:r>
      <w:r>
        <w:instrText xml:space="preserve"> PAGEREF _Toc31600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2EEEEA6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_Toc22572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表3 数字金融使用对种植类家庭农场韧性的机制检验结果</w:t>
      </w:r>
      <w:r>
        <w:tab/>
      </w:r>
      <w:r>
        <w:fldChar w:fldCharType="begin"/>
      </w:r>
      <w:r>
        <w:instrText xml:space="preserve"> PAGEREF _Toc22572 \h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812AB93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_Toc17920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3.1机制检验-农地经营权稳定性</w:t>
      </w:r>
      <w:r>
        <w:tab/>
      </w:r>
      <w:r>
        <w:fldChar w:fldCharType="begin"/>
      </w:r>
      <w:r>
        <w:instrText xml:space="preserve"> PAGEREF _Toc17920 \h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2F4028AF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_Toc24282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3.2机制检验-金融与财务管理资源可得性</w:t>
      </w:r>
      <w:r>
        <w:tab/>
      </w:r>
      <w:r>
        <w:fldChar w:fldCharType="begin"/>
      </w:r>
      <w:r>
        <w:instrText xml:space="preserve"> PAGEREF _Toc24282 \h </w:instrText>
      </w:r>
      <w:r>
        <w:fldChar w:fldCharType="separate"/>
      </w:r>
      <w:r>
        <w:t>13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D344ECF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_Toc25084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3.3机制检验-技术溢出效应</w:t>
      </w:r>
      <w:r>
        <w:tab/>
      </w:r>
      <w:r>
        <w:fldChar w:fldCharType="begin"/>
      </w:r>
      <w:r>
        <w:instrText xml:space="preserve"> PAGEREF _Toc25084 \h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0FF9442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_Toc20854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3.4机制检验-不同数字金融服务类型的机制检验结果-农地经营权稳定性-数字投资</w:t>
      </w:r>
      <w:r>
        <w:tab/>
      </w:r>
      <w:r>
        <w:fldChar w:fldCharType="begin"/>
      </w:r>
      <w:r>
        <w:instrText xml:space="preserve"> PAGEREF _Toc20854 \h </w:instrText>
      </w:r>
      <w:r>
        <w:fldChar w:fldCharType="separate"/>
      </w:r>
      <w:r>
        <w:t>15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BE7620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_Toc12950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3.5机制检验-不同数字金融服务类型的机制检验结果-农地经营权稳定性-移动支付</w:t>
      </w:r>
      <w:r>
        <w:tab/>
      </w:r>
      <w:r>
        <w:fldChar w:fldCharType="begin"/>
      </w:r>
      <w:r>
        <w:instrText xml:space="preserve"> PAGEREF _Toc12950 \h </w:instrText>
      </w:r>
      <w:r>
        <w:fldChar w:fldCharType="separate"/>
      </w:r>
      <w:r>
        <w:t>16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14F6B14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_Toc29182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3.6机制检验-不同数字金融服务类型的机制检验结果-农地经营权稳定性-数字信贷</w:t>
      </w:r>
      <w:r>
        <w:tab/>
      </w:r>
      <w:r>
        <w:fldChar w:fldCharType="begin"/>
      </w:r>
      <w:r>
        <w:instrText xml:space="preserve"> PAGEREF _Toc29182 \h </w:instrText>
      </w:r>
      <w:r>
        <w:fldChar w:fldCharType="separate"/>
      </w:r>
      <w:r>
        <w:t>17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6734820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_Toc30497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3.7机制检验-不同数字金融服务类型的机制检验结果-农地经营权稳定性-线上投保</w:t>
      </w:r>
      <w:r>
        <w:tab/>
      </w:r>
      <w:r>
        <w:fldChar w:fldCharType="begin"/>
      </w:r>
      <w:r>
        <w:instrText xml:space="preserve"> PAGEREF _Toc30497 \h </w:instrText>
      </w:r>
      <w:r>
        <w:fldChar w:fldCharType="separate"/>
      </w:r>
      <w:r>
        <w:t>18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2DC85AB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_Toc6808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3.8机制检验-不同数字金融服务类型的机制检验结果-金融与财务管理资源可得性-数字投资</w:t>
      </w:r>
      <w:r>
        <w:tab/>
      </w:r>
      <w:r>
        <w:fldChar w:fldCharType="begin"/>
      </w:r>
      <w:r>
        <w:instrText xml:space="preserve"> PAGEREF _Toc6808 \h </w:instrText>
      </w:r>
      <w:r>
        <w:fldChar w:fldCharType="separate"/>
      </w:r>
      <w:r>
        <w:t>19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219F5EEE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_Toc24770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3.9机制检验-不同数字金融服务类型的机制检验结果-金融与财务管理资源可得性-移动支付</w:t>
      </w:r>
      <w:r>
        <w:tab/>
      </w:r>
      <w:r>
        <w:fldChar w:fldCharType="begin"/>
      </w:r>
      <w:r>
        <w:instrText xml:space="preserve"> PAGEREF _Toc24770 \h </w:instrText>
      </w:r>
      <w:r>
        <w:fldChar w:fldCharType="separate"/>
      </w:r>
      <w:r>
        <w:t>20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3428BCE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_Toc24840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3.10机制检验-不同数字金融服务类型的机制检验结果-金融与财务管理资源可得性-数字信贷</w:t>
      </w:r>
      <w:r>
        <w:tab/>
      </w:r>
      <w:r>
        <w:fldChar w:fldCharType="begin"/>
      </w:r>
      <w:r>
        <w:instrText xml:space="preserve"> PAGEREF _Toc24840 \h </w:instrText>
      </w:r>
      <w:r>
        <w:fldChar w:fldCharType="separate"/>
      </w:r>
      <w:r>
        <w:t>21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858540A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_Toc31382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3.11机制检验-不同数字金融服务类型的机制检验结果-金融与财务管理资源可得性-线上投保</w:t>
      </w:r>
      <w:r>
        <w:tab/>
      </w:r>
      <w:r>
        <w:fldChar w:fldCharType="begin"/>
      </w:r>
      <w:r>
        <w:instrText xml:space="preserve"> PAGEREF _Toc31382 \h </w:instrText>
      </w:r>
      <w:r>
        <w:fldChar w:fldCharType="separate"/>
      </w:r>
      <w:r>
        <w:t>22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512E07F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_Toc26296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3.12机制检验-不同数字金融服务类型的机制检验结果-技术溢出效应-数字投资</w:t>
      </w:r>
      <w:r>
        <w:tab/>
      </w:r>
      <w:r>
        <w:fldChar w:fldCharType="begin"/>
      </w:r>
      <w:r>
        <w:instrText xml:space="preserve"> PAGEREF _Toc26296 \h </w:instrText>
      </w:r>
      <w:r>
        <w:fldChar w:fldCharType="separate"/>
      </w:r>
      <w:r>
        <w:t>23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7072037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_Toc8223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3.13机制检验-不同数字金融服务类型的机制检验结果-技术溢出效应-移动支付</w:t>
      </w:r>
      <w:r>
        <w:tab/>
      </w:r>
      <w:r>
        <w:fldChar w:fldCharType="begin"/>
      </w:r>
      <w:r>
        <w:instrText xml:space="preserve"> PAGEREF _Toc8223 \h </w:instrText>
      </w:r>
      <w:r>
        <w:fldChar w:fldCharType="separate"/>
      </w:r>
      <w:r>
        <w:t>24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508037F3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_Toc16888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3.14机制检验-不同数字金融服务类型的机制检验结果-技术溢出效应-数字信贷</w:t>
      </w:r>
      <w:r>
        <w:tab/>
      </w:r>
      <w:r>
        <w:fldChar w:fldCharType="begin"/>
      </w:r>
      <w:r>
        <w:instrText xml:space="preserve"> PAGEREF _Toc16888 \h </w:instrText>
      </w:r>
      <w:r>
        <w:fldChar w:fldCharType="separate"/>
      </w:r>
      <w:r>
        <w:t>25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31CF820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_Toc23535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3.15机制检验-不同数字金融服务类型的机制检验结果-技术溢出效应-线上投保</w:t>
      </w:r>
      <w:r>
        <w:tab/>
      </w:r>
      <w:r>
        <w:fldChar w:fldCharType="begin"/>
      </w:r>
      <w:r>
        <w:instrText xml:space="preserve"> PAGEREF _Toc23535 \h </w:instrText>
      </w:r>
      <w:r>
        <w:fldChar w:fldCharType="separate"/>
      </w:r>
      <w:r>
        <w:t>26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7B3C23BB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_Toc4719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表4 内生性处理的估计结果</w:t>
      </w:r>
      <w:r>
        <w:tab/>
      </w:r>
      <w:r>
        <w:fldChar w:fldCharType="begin"/>
      </w:r>
      <w:r>
        <w:instrText xml:space="preserve"> PAGEREF _Toc4719 \h </w:instrText>
      </w:r>
      <w:r>
        <w:fldChar w:fldCharType="separate"/>
      </w:r>
      <w:r>
        <w:t>27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ED8022E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_Toc6388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4.1内生性处理-采用工具变量法的估计结果</w:t>
      </w:r>
      <w:r>
        <w:tab/>
      </w:r>
      <w:r>
        <w:fldChar w:fldCharType="begin"/>
      </w:r>
      <w:r>
        <w:instrText xml:space="preserve"> PAGEREF _Toc6388 \h </w:instrText>
      </w:r>
      <w:r>
        <w:fldChar w:fldCharType="separate"/>
      </w:r>
      <w:r>
        <w:t>27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7A06306D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_Toc8649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4.2内生性处理-“所在地农商行2021年发布线上金融平台或信贷产品”政策冲击的估计结果-控制变量×时间未控制</w:t>
      </w:r>
      <w:r>
        <w:tab/>
      </w:r>
      <w:r>
        <w:fldChar w:fldCharType="begin"/>
      </w:r>
      <w:r>
        <w:instrText xml:space="preserve"> PAGEREF _Toc8649 \h </w:instrText>
      </w:r>
      <w:r>
        <w:fldChar w:fldCharType="separate"/>
      </w:r>
      <w:r>
        <w:t>31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55B44BD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_Toc8908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4.3内生性处理-“所在地农商行2021年发布线上金融平台或信贷产品”政策冲击的估计结果-控制变量×时间已控制</w:t>
      </w:r>
      <w:r>
        <w:tab/>
      </w:r>
      <w:r>
        <w:fldChar w:fldCharType="begin"/>
      </w:r>
      <w:r>
        <w:instrText xml:space="preserve"> PAGEREF _Toc8908 \h </w:instrText>
      </w:r>
      <w:r>
        <w:fldChar w:fldCharType="separate"/>
      </w:r>
      <w:r>
        <w:t>33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59926E5F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_Toc15146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表5 稳健性检验的估计结果</w:t>
      </w:r>
      <w:r>
        <w:tab/>
      </w:r>
      <w:r>
        <w:fldChar w:fldCharType="begin"/>
      </w:r>
      <w:r>
        <w:instrText xml:space="preserve"> PAGEREF _Toc15146 \h </w:instrText>
      </w:r>
      <w:r>
        <w:fldChar w:fldCharType="separate"/>
      </w:r>
      <w:r>
        <w:t>35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A87330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_Toc5641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5.1稳健性检验-替换为虚拟变量进行稳健性检验的估计结果-数字金融使用虚拟变量</w:t>
      </w:r>
      <w:r>
        <w:tab/>
      </w:r>
      <w:r>
        <w:fldChar w:fldCharType="begin"/>
      </w:r>
      <w:r>
        <w:instrText xml:space="preserve"> PAGEREF _Toc5641 \h </w:instrText>
      </w:r>
      <w:r>
        <w:fldChar w:fldCharType="separate"/>
      </w:r>
      <w:r>
        <w:t>35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5E3433A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_Toc30452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5.2稳健性检验-替换为虚拟变量进行稳健性检验的估计结果-数字投资虚拟变量</w:t>
      </w:r>
      <w:r>
        <w:tab/>
      </w:r>
      <w:r>
        <w:fldChar w:fldCharType="begin"/>
      </w:r>
      <w:r>
        <w:instrText xml:space="preserve"> PAGEREF _Toc30452 \h </w:instrText>
      </w:r>
      <w:r>
        <w:fldChar w:fldCharType="separate"/>
      </w:r>
      <w:r>
        <w:t>37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14BE1E1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_Toc10065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5.3稳健性检验-替换为虚拟变量进行稳健性检验的估计结果-移动支付虚拟变量</w:t>
      </w:r>
      <w:r>
        <w:tab/>
      </w:r>
      <w:r>
        <w:fldChar w:fldCharType="begin"/>
      </w:r>
      <w:r>
        <w:instrText xml:space="preserve"> PAGEREF _Toc10065 \h </w:instrText>
      </w:r>
      <w:r>
        <w:fldChar w:fldCharType="separate"/>
      </w:r>
      <w:r>
        <w:t>38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7EC1774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_Toc26065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5.4稳健性检验-替换为虚拟变量进行稳健性检验的估计结果-数字信贷虚拟变量</w:t>
      </w:r>
      <w:r>
        <w:tab/>
      </w:r>
      <w:r>
        <w:fldChar w:fldCharType="begin"/>
      </w:r>
      <w:r>
        <w:instrText xml:space="preserve"> PAGEREF _Toc26065 \h </w:instrText>
      </w:r>
      <w:r>
        <w:fldChar w:fldCharType="separate"/>
      </w:r>
      <w:r>
        <w:t>39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808B60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_Toc8377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5.5稳健性检验-替换为虚拟变量进行稳健性检验的估计结果-线上投保虚拟变量</w:t>
      </w:r>
      <w:r>
        <w:tab/>
      </w:r>
      <w:r>
        <w:fldChar w:fldCharType="begin"/>
      </w:r>
      <w:r>
        <w:instrText xml:space="preserve"> PAGEREF _Toc8377 \h </w:instrText>
      </w:r>
      <w:r>
        <w:fldChar w:fldCharType="separate"/>
      </w:r>
      <w:r>
        <w:t>40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1C2905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_Toc7477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5.6稳健性检验-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进行稳健性检验的估计结果-数字金融使用对种植类家庭农场韧性的回归结果</w:t>
      </w:r>
      <w:r>
        <w:tab/>
      </w:r>
      <w:r>
        <w:fldChar w:fldCharType="begin"/>
      </w:r>
      <w:r>
        <w:instrText xml:space="preserve"> PAGEREF _Toc7477 \h </w:instrText>
      </w:r>
      <w:r>
        <w:fldChar w:fldCharType="separate"/>
      </w:r>
      <w:r>
        <w:t>41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79B8BE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_Toc11990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5.7稳健性检验-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进行稳健性检验的估计结果-数字投资对种植类家庭农场韧性的回归结果</w:t>
      </w:r>
      <w:r>
        <w:tab/>
      </w:r>
      <w:r>
        <w:fldChar w:fldCharType="begin"/>
      </w:r>
      <w:r>
        <w:instrText xml:space="preserve"> PAGEREF _Toc11990 \h </w:instrText>
      </w:r>
      <w:r>
        <w:fldChar w:fldCharType="separate"/>
      </w:r>
      <w:r>
        <w:t>42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10D5113D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_Toc30887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5.8稳健性检验-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进行稳健性检验的估计结果-移动支付对种植类家庭农场韧性的回归结果</w:t>
      </w:r>
      <w:r>
        <w:tab/>
      </w:r>
      <w:r>
        <w:fldChar w:fldCharType="begin"/>
      </w:r>
      <w:r>
        <w:instrText xml:space="preserve"> PAGEREF _Toc30887 \h </w:instrText>
      </w:r>
      <w:r>
        <w:fldChar w:fldCharType="separate"/>
      </w:r>
      <w:r>
        <w:t>43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C244EE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_Toc9033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5.9稳健性检验-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进行稳健性检验的估计结果-数字信贷对种植类家庭农场韧性的回归结果</w:t>
      </w:r>
      <w:r>
        <w:tab/>
      </w:r>
      <w:r>
        <w:fldChar w:fldCharType="begin"/>
      </w:r>
      <w:r>
        <w:instrText xml:space="preserve"> PAGEREF _Toc9033 \h </w:instrText>
      </w:r>
      <w:r>
        <w:fldChar w:fldCharType="separate"/>
      </w:r>
      <w:r>
        <w:t>44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CE26A7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_Toc16017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5.10稳健性检验-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进行稳健性检验的估计结果-线上投保对种植类家庭农场韧性的回归结果</w:t>
      </w:r>
      <w:r>
        <w:tab/>
      </w:r>
      <w:r>
        <w:fldChar w:fldCharType="begin"/>
      </w:r>
      <w:r>
        <w:instrText xml:space="preserve"> PAGEREF _Toc16017 \h </w:instrText>
      </w:r>
      <w:r>
        <w:fldChar w:fldCharType="separate"/>
      </w:r>
      <w:r>
        <w:t>45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E308575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_Toc16607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表6 数字金融使用对种植类家庭农场韧性的异质性影响</w:t>
      </w:r>
      <w:r>
        <w:tab/>
      </w:r>
      <w:r>
        <w:fldChar w:fldCharType="begin"/>
      </w:r>
      <w:r>
        <w:instrText xml:space="preserve"> PAGEREF _Toc16607 \h </w:instrText>
      </w:r>
      <w:r>
        <w:fldChar w:fldCharType="separate"/>
      </w:r>
      <w:r>
        <w:t>46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7C9F6D1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_Toc3186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6.1异质性分析-区域异质性-苏北</w:t>
      </w:r>
      <w:r>
        <w:tab/>
      </w:r>
      <w:r>
        <w:fldChar w:fldCharType="begin"/>
      </w:r>
      <w:r>
        <w:instrText xml:space="preserve"> PAGEREF _Toc3186 \h </w:instrText>
      </w:r>
      <w:r>
        <w:fldChar w:fldCharType="separate"/>
      </w:r>
      <w:r>
        <w:t>46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77620D9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_Toc1400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6.2异质性分析-区域异质性-苏中</w:t>
      </w:r>
      <w:r>
        <w:tab/>
      </w:r>
      <w:r>
        <w:fldChar w:fldCharType="begin"/>
      </w:r>
      <w:r>
        <w:instrText xml:space="preserve"> PAGEREF _Toc1400 \h </w:instrText>
      </w:r>
      <w:r>
        <w:fldChar w:fldCharType="separate"/>
      </w:r>
      <w:r>
        <w:t>47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7BD4EB76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_Toc19864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6.3异质性分析-区域异质性-苏南</w:t>
      </w:r>
      <w:r>
        <w:tab/>
      </w:r>
      <w:r>
        <w:fldChar w:fldCharType="begin"/>
      </w:r>
      <w:r>
        <w:instrText xml:space="preserve"> PAGEREF _Toc19864 \h </w:instrText>
      </w:r>
      <w:r>
        <w:fldChar w:fldCharType="separate"/>
      </w:r>
      <w:r>
        <w:t>48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9836B9D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_Toc18510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6.4异质性分析-经营方式异质性-纯种植</w:t>
      </w:r>
      <w:r>
        <w:tab/>
      </w:r>
      <w:r>
        <w:fldChar w:fldCharType="begin"/>
      </w:r>
      <w:r>
        <w:instrText xml:space="preserve"> PAGEREF _Toc18510 \h </w:instrText>
      </w:r>
      <w:r>
        <w:fldChar w:fldCharType="separate"/>
      </w:r>
      <w:r>
        <w:t>49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46BDC8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_Toc22747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6.5异质性分析-经营方式异质性-种养结合</w:t>
      </w:r>
      <w:r>
        <w:tab/>
      </w:r>
      <w:r>
        <w:fldChar w:fldCharType="begin"/>
      </w:r>
      <w:r>
        <w:instrText xml:space="preserve"> PAGEREF _Toc22747 \h </w:instrText>
      </w:r>
      <w:r>
        <w:fldChar w:fldCharType="separate"/>
      </w:r>
      <w:r>
        <w:t>50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4B8CEE4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_Toc30551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6.6异质性分析-家庭生命周期异质性-抚育期</w:t>
      </w:r>
      <w:r>
        <w:tab/>
      </w:r>
      <w:r>
        <w:fldChar w:fldCharType="begin"/>
      </w:r>
      <w:r>
        <w:instrText xml:space="preserve"> PAGEREF _Toc30551 \h </w:instrText>
      </w:r>
      <w:r>
        <w:fldChar w:fldCharType="separate"/>
      </w:r>
      <w:r>
        <w:t>51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107BE52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_Toc29928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6.7异质性分析-家庭生命周期异质性-负担期</w:t>
      </w:r>
      <w:r>
        <w:tab/>
      </w:r>
      <w:r>
        <w:fldChar w:fldCharType="begin"/>
      </w:r>
      <w:r>
        <w:instrText xml:space="preserve"> PAGEREF _Toc29928 \h </w:instrText>
      </w:r>
      <w:r>
        <w:fldChar w:fldCharType="separate"/>
      </w:r>
      <w:r>
        <w:t>52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5B6E59C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_Toc21719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6.8异质性分析-家庭生命周期异质性-稳定期</w:t>
      </w:r>
      <w:r>
        <w:tab/>
      </w:r>
      <w:r>
        <w:fldChar w:fldCharType="begin"/>
      </w:r>
      <w:r>
        <w:instrText xml:space="preserve"> PAGEREF _Toc21719 \h </w:instrText>
      </w:r>
      <w:r>
        <w:fldChar w:fldCharType="separate"/>
      </w:r>
      <w:r>
        <w:t>53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13B59A3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_Toc16407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6.9异质性分析-家庭生命周期异质性-赡养期</w:t>
      </w:r>
      <w:r>
        <w:tab/>
      </w:r>
      <w:r>
        <w:fldChar w:fldCharType="begin"/>
      </w:r>
      <w:r>
        <w:instrText xml:space="preserve"> PAGEREF _Toc16407 \h </w:instrText>
      </w:r>
      <w:r>
        <w:fldChar w:fldCharType="separate"/>
      </w:r>
      <w:r>
        <w:t>54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5B0EE09D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_Toc24155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6.10异质性分析-规模异质性-偏小规模组</w:t>
      </w:r>
      <w:r>
        <w:tab/>
      </w:r>
      <w:r>
        <w:fldChar w:fldCharType="begin"/>
      </w:r>
      <w:r>
        <w:instrText xml:space="preserve"> PAGEREF _Toc24155 \h </w:instrText>
      </w:r>
      <w:r>
        <w:fldChar w:fldCharType="separate"/>
      </w:r>
      <w:r>
        <w:t>55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B45CD93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_Toc8178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6.11异质性分析-规模异质性-中等规模组</w:t>
      </w:r>
      <w:r>
        <w:tab/>
      </w:r>
      <w:r>
        <w:fldChar w:fldCharType="begin"/>
      </w:r>
      <w:r>
        <w:instrText xml:space="preserve"> PAGEREF _Toc8178 \h </w:instrText>
      </w:r>
      <w:r>
        <w:fldChar w:fldCharType="separate"/>
      </w:r>
      <w:r>
        <w:t>56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CA710D4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_Toc4277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6.12异质性分析-规模异质性-较大规模组</w:t>
      </w:r>
      <w:r>
        <w:tab/>
      </w:r>
      <w:r>
        <w:fldChar w:fldCharType="begin"/>
      </w:r>
      <w:r>
        <w:instrText xml:space="preserve"> PAGEREF _Toc4277 \h </w:instrText>
      </w:r>
      <w:r>
        <w:fldChar w:fldCharType="separate"/>
      </w:r>
      <w:r>
        <w:t>57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327A66E2">
      <w:pPr>
        <w:pStyle w:val="4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_Toc15815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4"/>
          <w:lang w:val="en-US" w:eastAsia="zh-CN"/>
        </w:rPr>
        <w:t>表7 进一步分析估计结果</w:t>
      </w:r>
      <w:r>
        <w:tab/>
      </w:r>
      <w:r>
        <w:fldChar w:fldCharType="begin"/>
      </w:r>
      <w:r>
        <w:instrText xml:space="preserve"> PAGEREF _Toc15815 \h </w:instrText>
      </w:r>
      <w:r>
        <w:fldChar w:fldCharType="separate"/>
      </w:r>
      <w:r>
        <w:t>58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4D9380B8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_Toc6321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7.1进一步分析-极端高温对种植类家庭农场韧性影响的估计结果</w:t>
      </w:r>
      <w:r>
        <w:tab/>
      </w:r>
      <w:r>
        <w:fldChar w:fldCharType="begin"/>
      </w:r>
      <w:r>
        <w:instrText xml:space="preserve"> PAGEREF _Toc6321 \h </w:instrText>
      </w:r>
      <w:r>
        <w:fldChar w:fldCharType="separate"/>
      </w:r>
      <w:r>
        <w:t>58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3938777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_Toc257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7.2进一步分析-数字金融使用×极端高温对种植类家庭农场韧性影响的估计结果</w:t>
      </w:r>
      <w:r>
        <w:tab/>
      </w:r>
      <w:r>
        <w:fldChar w:fldCharType="begin"/>
      </w:r>
      <w:r>
        <w:instrText xml:space="preserve"> PAGEREF _Toc257 \h </w:instrText>
      </w:r>
      <w:r>
        <w:fldChar w:fldCharType="separate"/>
      </w:r>
      <w:r>
        <w:t>59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675DDACB">
      <w:pPr>
        <w:pStyle w:val="5"/>
        <w:tabs>
          <w:tab w:val="right" w:leader="dot" w:pos="8306"/>
        </w:tabs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begin"/>
      </w:r>
      <w:r>
        <w:rPr>
          <w:rFonts w:hint="eastAsia" w:ascii="黑体" w:hAnsi="黑体" w:eastAsia="黑体" w:cs="黑体"/>
          <w:szCs w:val="32"/>
          <w:lang w:val="en-US" w:eastAsia="zh-CN"/>
        </w:rPr>
        <w:instrText xml:space="preserve"> HYPERLINK \l _Toc16027 </w:instrText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separate"/>
      </w:r>
      <w:r>
        <w:rPr>
          <w:rFonts w:hint="eastAsia" w:ascii="Times New Roman" w:hAnsi="Times New Roman" w:eastAsia="黑体" w:cs="黑体"/>
          <w:szCs w:val="21"/>
          <w:lang w:val="en-US" w:eastAsia="zh-CN"/>
        </w:rPr>
        <w:t>7.3进一步分析-数字投资×极端高温对种植类家庭农场韧性影响的估计结果</w:t>
      </w:r>
      <w:r>
        <w:tab/>
      </w:r>
      <w:r>
        <w:fldChar w:fldCharType="begin"/>
      </w:r>
      <w:r>
        <w:instrText xml:space="preserve"> PAGEREF _Toc16027 \h </w:instrText>
      </w:r>
      <w:r>
        <w:fldChar w:fldCharType="separate"/>
      </w:r>
      <w:r>
        <w:t>60</w:t>
      </w:r>
      <w:r>
        <w:fldChar w:fldCharType="end"/>
      </w: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92FC9AD">
      <w:pPr>
        <w:jc w:val="center"/>
        <w:rPr>
          <w:rFonts w:hint="eastAsia" w:ascii="黑体" w:hAnsi="黑体" w:eastAsia="黑体" w:cs="黑体"/>
          <w:szCs w:val="32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Cs w:val="32"/>
          <w:lang w:val="en-US" w:eastAsia="zh-CN"/>
        </w:rPr>
        <w:fldChar w:fldCharType="end"/>
      </w:r>
    </w:p>
    <w:p w14:paraId="0D5350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0" w:name="_Toc4569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表1 描述性统计结果</w:t>
      </w:r>
      <w:bookmarkEnd w:id="0"/>
    </w:p>
    <w:p w14:paraId="377AD1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" w:name="_Toc23216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1.1描述性统计结果-全部数据</w:t>
      </w:r>
      <w:bookmarkEnd w:id="1"/>
    </w:p>
    <w:p w14:paraId="6C9BFB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196205" cy="738505"/>
            <wp:effectExtent l="0" t="0" r="63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96205" cy="73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608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145405" cy="3329940"/>
            <wp:effectExtent l="0" t="0" r="571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5405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025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43C4A5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32B4B7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70196C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5DD40A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3D9977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32DD3A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465E30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0B8DBD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3CC822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018042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6F8154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425B27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4748CF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012684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57DBE8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675FAA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28642E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4F5F39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381A71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2831F6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" w:name="_Toc10565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1.2描述性统计结果-2021数据</w:t>
      </w:r>
      <w:bookmarkEnd w:id="2"/>
    </w:p>
    <w:p w14:paraId="56508B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92725" cy="3474720"/>
            <wp:effectExtent l="0" t="0" r="1079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92725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2D2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" w:name="_Toc105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1.3描述性统计结果-2023数据</w:t>
      </w:r>
      <w:bookmarkEnd w:id="3"/>
    </w:p>
    <w:p w14:paraId="2D1CB8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  <w:sectPr>
          <w:footerReference r:id="rId4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311775" cy="3411220"/>
            <wp:effectExtent l="0" t="0" r="698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9DE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4" w:name="_Toc14276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表2 数字金融使用对种植类家庭农场韧性的基准回归结果</w:t>
      </w:r>
      <w:bookmarkEnd w:id="4"/>
    </w:p>
    <w:p w14:paraId="6C08D0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" w:name="_Toc282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2.1基准回归-控制变量未控制</w:t>
      </w:r>
      <w:bookmarkEnd w:id="5"/>
    </w:p>
    <w:p w14:paraId="4DD887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0500" cy="5305425"/>
            <wp:effectExtent l="0" t="0" r="2540" b="133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41E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9"/>
      </w:pPr>
      <w:r>
        <w:drawing>
          <wp:inline distT="0" distB="0" distL="114300" distR="114300">
            <wp:extent cx="5269865" cy="1541145"/>
            <wp:effectExtent l="0" t="0" r="3175" b="1333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4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A93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both"/>
        <w:textAlignment w:val="auto"/>
        <w:outlineLvl w:val="9"/>
        <w:rPr>
          <w:rFonts w:hint="eastAsia"/>
          <w:lang w:val="en-US" w:eastAsia="zh-CN"/>
        </w:rPr>
      </w:pPr>
    </w:p>
    <w:p w14:paraId="073277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9"/>
        <w:rPr>
          <w:rFonts w:hint="default" w:ascii="Times New Roman" w:hAnsi="Times New Roman" w:eastAsia="黑体" w:cs="黑体"/>
          <w:color w:val="FF0000"/>
          <w:sz w:val="24"/>
          <w:szCs w:val="24"/>
          <w:lang w:val="en-US" w:eastAsia="zh-CN"/>
        </w:rPr>
      </w:pPr>
    </w:p>
    <w:p w14:paraId="3508B6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  <w:rPr>
          <w:rFonts w:hint="default"/>
          <w:lang w:val="en-US" w:eastAsia="zh-CN"/>
        </w:rPr>
      </w:pPr>
    </w:p>
    <w:p w14:paraId="13D38D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  <w:rPr>
          <w:rFonts w:hint="default"/>
          <w:lang w:val="en-US" w:eastAsia="zh-CN"/>
        </w:rPr>
      </w:pPr>
    </w:p>
    <w:p w14:paraId="6AB82B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6" w:name="_Toc22049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2.2基准回归-控制变量已控制</w:t>
      </w:r>
      <w:bookmarkEnd w:id="6"/>
    </w:p>
    <w:p w14:paraId="2857E5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69230" cy="5476240"/>
            <wp:effectExtent l="0" t="0" r="3810" b="1016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7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D19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73675" cy="2226945"/>
            <wp:effectExtent l="0" t="0" r="14605" b="1333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579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32ECD8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202BE9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06EA8A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7" w:name="_Toc2132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2.3基准回归-韧性分维度回归-缓冲力维度</w:t>
      </w:r>
      <w:bookmarkEnd w:id="7"/>
    </w:p>
    <w:p w14:paraId="606BB2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71135" cy="5412105"/>
            <wp:effectExtent l="0" t="0" r="1905" b="1333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1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198370"/>
            <wp:effectExtent l="0" t="0" r="3810" b="1143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A5A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61590B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191722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1FE855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8" w:name="_Toc3093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2.4基准回归-韧性分维度回归-适应力维度</w:t>
      </w:r>
      <w:bookmarkEnd w:id="8"/>
    </w:p>
    <w:p w14:paraId="5D196A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72405" cy="5485765"/>
            <wp:effectExtent l="0" t="0" r="635" b="63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48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232025"/>
            <wp:effectExtent l="0" t="0" r="1905" b="825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C10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058CFD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44282E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5F946F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9" w:name="_Toc18346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2.5基准回归-韧性分维度回归-转型力维度</w:t>
      </w:r>
      <w:bookmarkEnd w:id="9"/>
    </w:p>
    <w:p w14:paraId="5FBB6D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73675" cy="5363845"/>
            <wp:effectExtent l="0" t="0" r="14605" b="63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36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318385"/>
            <wp:effectExtent l="0" t="0" r="1905" b="1333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5D5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191A1F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0445DB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042F74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0" w:name="_Toc636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2.6基准回归-数字金融使用分维度回归-数字投资维度</w:t>
      </w:r>
      <w:bookmarkEnd w:id="10"/>
    </w:p>
    <w:p w14:paraId="2A2A4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69230" cy="5571490"/>
            <wp:effectExtent l="0" t="0" r="3810" b="635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7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230120"/>
            <wp:effectExtent l="0" t="0" r="635" b="1016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BDD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4DDBDF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658531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1" w:name="_Toc14462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2.7基准回归-数字金融使用分维度回归-移动支付维度</w:t>
      </w:r>
      <w:bookmarkEnd w:id="11"/>
    </w:p>
    <w:p w14:paraId="7241D5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71770" cy="5384165"/>
            <wp:effectExtent l="0" t="0" r="1270" b="1079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8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182495"/>
            <wp:effectExtent l="0" t="0" r="14605" b="1206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8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24F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543574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52083E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12BCB7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2" w:name="_Toc31573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2.8基准回归-数字金融使用分维度回归-数字信贷维度</w:t>
      </w:r>
      <w:bookmarkEnd w:id="12"/>
    </w:p>
    <w:p w14:paraId="4BE887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  <w:r>
        <w:drawing>
          <wp:inline distT="0" distB="0" distL="114300" distR="114300">
            <wp:extent cx="5269865" cy="5318760"/>
            <wp:effectExtent l="0" t="0" r="3175" b="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31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379345"/>
            <wp:effectExtent l="0" t="0" r="3175" b="1333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7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850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37DF3B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</w:pPr>
    </w:p>
    <w:p w14:paraId="305C9D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1"/>
      </w:pPr>
    </w:p>
    <w:p w14:paraId="32B6E7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3" w:name="_Toc3160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2.9基准回归-数字金融使用分维度回归-线上投保维度</w:t>
      </w:r>
      <w:bookmarkEnd w:id="13"/>
    </w:p>
    <w:p w14:paraId="0C6447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outlineLvl w:val="9"/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5419090"/>
            <wp:effectExtent l="0" t="0" r="1905" b="635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1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152015"/>
            <wp:effectExtent l="0" t="0" r="1905" b="12065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A15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14" w:name="_Toc22572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表3 数字金融使用对种植类家庭农场韧性的机制检验结果</w:t>
      </w:r>
      <w:bookmarkEnd w:id="14"/>
    </w:p>
    <w:p w14:paraId="0A990A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5" w:name="_Toc1792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3.1机制检验-农地经营权稳定性</w:t>
      </w:r>
      <w:bookmarkEnd w:id="15"/>
    </w:p>
    <w:p w14:paraId="3DACEE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040" cy="5356860"/>
            <wp:effectExtent l="0" t="0" r="0" b="7620"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35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292350"/>
            <wp:effectExtent l="0" t="0" r="3810" b="8890"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3FD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079E4C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6" w:name="_Toc24282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3.2机制检验-金融与财务管理资源可得性</w:t>
      </w:r>
      <w:bookmarkEnd w:id="16"/>
    </w:p>
    <w:p w14:paraId="5C14F3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5608320"/>
            <wp:effectExtent l="0" t="0" r="14605" b="0"/>
            <wp:docPr id="3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60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246630"/>
            <wp:effectExtent l="0" t="0" r="1905" b="8890"/>
            <wp:docPr id="3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783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A1E2A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7A32FE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7" w:name="_Toc25084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3.3机制检验-技术溢出效应</w:t>
      </w:r>
      <w:bookmarkEnd w:id="17"/>
    </w:p>
    <w:p w14:paraId="40D710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865" cy="5528310"/>
            <wp:effectExtent l="0" t="0" r="3175" b="3810"/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52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294890"/>
            <wp:effectExtent l="0" t="0" r="3175" b="6350"/>
            <wp:docPr id="3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601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1C985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43957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3894B9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8" w:name="_Toc20854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3.4机制检验-不同数字金融服务类型的机制检验结果-农地经营权稳定性-数字投资</w:t>
      </w:r>
      <w:bookmarkEnd w:id="18"/>
    </w:p>
    <w:p w14:paraId="30F4CB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0500" cy="5215890"/>
            <wp:effectExtent l="0" t="0" r="2540" b="11430"/>
            <wp:docPr id="3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131820"/>
            <wp:effectExtent l="0" t="0" r="3175" b="7620"/>
            <wp:docPr id="3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2F1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19" w:name="_Toc1295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3.5机制检验-不同数字金融服务类型的机制检验结果-农地经营权稳定性-移动支付</w:t>
      </w:r>
      <w:bookmarkEnd w:id="19"/>
    </w:p>
    <w:p w14:paraId="1E15FA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770" cy="5278755"/>
            <wp:effectExtent l="0" t="0" r="1270" b="9525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27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205990"/>
            <wp:effectExtent l="0" t="0" r="0" b="3810"/>
            <wp:docPr id="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DCD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D62A7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3C72A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7CDA2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400003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0" w:name="_Toc29182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3.6机制检验-不同数字金融服务类型的机制检验结果-农地经营权稳定性-数字信贷</w:t>
      </w:r>
      <w:bookmarkEnd w:id="20"/>
    </w:p>
    <w:p w14:paraId="5A0ABB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770" cy="5333365"/>
            <wp:effectExtent l="0" t="0" r="1270" b="635"/>
            <wp:docPr id="38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3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138045"/>
            <wp:effectExtent l="0" t="0" r="14605" b="10795"/>
            <wp:docPr id="3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3C4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A784B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9285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D5497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B2279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192EE2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1" w:name="_Toc3049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3.7机制检验-不同数字金融服务类型的机制检验结果-农地经营权稳定性-线上投保</w:t>
      </w:r>
      <w:bookmarkEnd w:id="21"/>
    </w:p>
    <w:p w14:paraId="68EA24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865" cy="5318760"/>
            <wp:effectExtent l="0" t="0" r="3175" b="0"/>
            <wp:docPr id="4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31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2263140"/>
            <wp:effectExtent l="0" t="0" r="1270" b="7620"/>
            <wp:docPr id="41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4B8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B921B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61D5F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41671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076BEF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2" w:name="_Toc680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3.8机制检验-不同数字金融服务类型的机制检验结果-金融与财务管理资源可得性-数字投资</w:t>
      </w:r>
      <w:bookmarkEnd w:id="22"/>
    </w:p>
    <w:p w14:paraId="14CA7F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2405" cy="5368925"/>
            <wp:effectExtent l="0" t="0" r="635" b="10795"/>
            <wp:docPr id="4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6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291715"/>
            <wp:effectExtent l="0" t="0" r="14605" b="9525"/>
            <wp:docPr id="4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29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65D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62131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D7706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1FAA5A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3" w:name="_Toc2477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3.9机制检验-不同数字金融服务类型的机制检验结果-金融与财务管理资源可得性-移动支付</w:t>
      </w:r>
      <w:bookmarkEnd w:id="23"/>
    </w:p>
    <w:p w14:paraId="507699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5464810"/>
            <wp:effectExtent l="0" t="0" r="14605" b="6350"/>
            <wp:docPr id="44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46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258060"/>
            <wp:effectExtent l="0" t="0" r="1905" b="12700"/>
            <wp:docPr id="4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267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C9CC6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48E4A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26EE0A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4" w:name="_Toc2484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3.10机制检验-不同数字金融服务类型的机制检验结果-金融与财务管理资源可得性-数字信贷</w:t>
      </w:r>
      <w:bookmarkEnd w:id="24"/>
    </w:p>
    <w:p w14:paraId="556A25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770" cy="5363210"/>
            <wp:effectExtent l="0" t="0" r="1270" b="1270"/>
            <wp:docPr id="46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163445"/>
            <wp:effectExtent l="0" t="0" r="3810" b="635"/>
            <wp:docPr id="47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BD8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B3945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C2589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0BB27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1CD226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5" w:name="_Toc31382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3.11机制检验-不同数字金融服务类型的机制检验结果-金融与财务管理资源可得性-线上投保</w:t>
      </w:r>
      <w:bookmarkEnd w:id="25"/>
    </w:p>
    <w:p w14:paraId="77B3F0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865" cy="5433060"/>
            <wp:effectExtent l="0" t="0" r="3175" b="7620"/>
            <wp:docPr id="48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3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196465"/>
            <wp:effectExtent l="0" t="0" r="14605" b="13335"/>
            <wp:docPr id="4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9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A2E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FFE10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AADFA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6337D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6" w:name="_Toc26296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3.12机制检验-不同数字金融服务类型的机制检验结果-技术溢出效应-数字投资</w:t>
      </w:r>
      <w:bookmarkEnd w:id="26"/>
    </w:p>
    <w:p w14:paraId="209576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770" cy="5340350"/>
            <wp:effectExtent l="0" t="0" r="1270" b="8890"/>
            <wp:docPr id="5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4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205990"/>
            <wp:effectExtent l="0" t="0" r="1905" b="3810"/>
            <wp:docPr id="5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D58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D0B9B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A19F7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52B50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396C66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7" w:name="_Toc8223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3.13机制检验-不同数字金融服务类型的机制检验结果-技术溢出效应-移动支付</w:t>
      </w:r>
      <w:bookmarkEnd w:id="27"/>
    </w:p>
    <w:p w14:paraId="31270F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2405" cy="5376545"/>
            <wp:effectExtent l="0" t="0" r="635" b="3175"/>
            <wp:docPr id="5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7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180590"/>
            <wp:effectExtent l="0" t="0" r="14605" b="13970"/>
            <wp:docPr id="53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767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ACE2F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267B8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27CC20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8" w:name="_Toc1688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3.14机制检验-不同数字金融服务类型的机制检验结果-技术溢出效应-数字信贷</w:t>
      </w:r>
      <w:bookmarkEnd w:id="28"/>
    </w:p>
    <w:p w14:paraId="62C6CE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2405" cy="5376545"/>
            <wp:effectExtent l="0" t="0" r="635" b="3175"/>
            <wp:docPr id="5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7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160905"/>
            <wp:effectExtent l="0" t="0" r="14605" b="3175"/>
            <wp:docPr id="5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CC4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5E2FF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CDEEB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2872B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770D21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29" w:name="_Toc23535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3.15机制检验-不同数字金融服务类型的机制检验结果-技术溢出效应-线上投保</w:t>
      </w:r>
      <w:bookmarkEnd w:id="29"/>
    </w:p>
    <w:p w14:paraId="3925A2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5399405"/>
            <wp:effectExtent l="0" t="0" r="0" b="10795"/>
            <wp:docPr id="56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39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258695"/>
            <wp:effectExtent l="0" t="0" r="2540" b="12065"/>
            <wp:docPr id="5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5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52DD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6C9248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30" w:name="_Toc4719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表4 内生性处理的估计结果</w:t>
      </w:r>
      <w:bookmarkEnd w:id="30"/>
    </w:p>
    <w:p w14:paraId="4F705E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1" w:name="_Toc638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4.1内生性处理-采用工具变量法的估计结果</w:t>
      </w:r>
      <w:bookmarkEnd w:id="31"/>
    </w:p>
    <w:p w14:paraId="121EDB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5601335"/>
            <wp:effectExtent l="0" t="0" r="14605" b="6985"/>
            <wp:docPr id="5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60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500370"/>
            <wp:effectExtent l="0" t="0" r="635" b="1270"/>
            <wp:docPr id="5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0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728085"/>
            <wp:effectExtent l="0" t="0" r="635" b="5715"/>
            <wp:docPr id="60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109845"/>
            <wp:effectExtent l="0" t="0" r="13970" b="10795"/>
            <wp:docPr id="61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0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450715"/>
            <wp:effectExtent l="0" t="0" r="14605" b="14605"/>
            <wp:docPr id="6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4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BCF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2" w:name="_Toc8649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4.2内生性处理-“所在地农商行2021年发布线上金融平台或信贷产品”政策冲击的估计结果-控制变量×时间未控制</w:t>
      </w:r>
      <w:bookmarkEnd w:id="32"/>
    </w:p>
    <w:p w14:paraId="6D9E27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4310" cy="3372485"/>
            <wp:effectExtent l="0" t="0" r="13970" b="10795"/>
            <wp:docPr id="6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624195"/>
            <wp:effectExtent l="0" t="0" r="14605" b="14605"/>
            <wp:docPr id="6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62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476500"/>
            <wp:effectExtent l="0" t="0" r="635" b="7620"/>
            <wp:docPr id="6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CCB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05373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05CA8E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3" w:name="_Toc890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4.3内生性处理-“所在地农商行2021年发布线上金融平台或信贷产品”政策冲击的估计结果-控制变量×时间已控制</w:t>
      </w:r>
      <w:bookmarkEnd w:id="33"/>
    </w:p>
    <w:p w14:paraId="6BE89E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2160270"/>
            <wp:effectExtent l="0" t="0" r="4445" b="3810"/>
            <wp:docPr id="6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569585"/>
            <wp:effectExtent l="0" t="0" r="635" b="8255"/>
            <wp:docPr id="67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6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830955"/>
            <wp:effectExtent l="0" t="0" r="1905" b="9525"/>
            <wp:docPr id="6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F3C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34" w:name="_Toc15146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表5 稳健性检验的估计结果</w:t>
      </w:r>
      <w:bookmarkEnd w:id="34"/>
    </w:p>
    <w:p w14:paraId="32F511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5" w:name="_Toc5641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5.1稳健性检验-替换为虚拟变量进行稳健性检验的估计结果-数字金融使用虚拟变量</w:t>
      </w:r>
      <w:bookmarkEnd w:id="35"/>
    </w:p>
    <w:p w14:paraId="2B2D77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3804920" cy="4765040"/>
            <wp:effectExtent l="0" t="0" r="5080" b="5080"/>
            <wp:docPr id="10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804920" cy="476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374640"/>
            <wp:effectExtent l="0" t="0" r="3810" b="5080"/>
            <wp:docPr id="107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37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194560"/>
            <wp:effectExtent l="0" t="0" r="635" b="0"/>
            <wp:docPr id="108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4A6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E6CB1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3BCB5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8F389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</w:pPr>
    </w:p>
    <w:p w14:paraId="0976FD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6" w:name="_Toc30452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5.2稳健性检验-替换为虚拟变量进行稳健性检验的估计结果-数字投资虚拟变量</w:t>
      </w:r>
      <w:bookmarkEnd w:id="36"/>
    </w:p>
    <w:p w14:paraId="195584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770" cy="2186940"/>
            <wp:effectExtent l="0" t="0" r="1270" b="7620"/>
            <wp:docPr id="109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112385"/>
            <wp:effectExtent l="0" t="0" r="2540" b="8255"/>
            <wp:docPr id="110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8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11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BC6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1BDC9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AB38C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9F2B1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11F3B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5DE52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7" w:name="_Toc10065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5.3稳健性检验-替换为虚拟变量进行稳健性检验的估计结果-移动支付虚拟变量</w:t>
      </w:r>
      <w:bookmarkEnd w:id="37"/>
    </w:p>
    <w:p w14:paraId="072C0C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0500" cy="2196465"/>
            <wp:effectExtent l="0" t="0" r="2540" b="13335"/>
            <wp:docPr id="111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9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9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120640"/>
            <wp:effectExtent l="0" t="0" r="1905" b="0"/>
            <wp:docPr id="11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511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DE2A9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205A3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2AA08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309FA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07F22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8" w:name="_Toc26065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5.4稳健性检验-替换为虚拟变量进行稳健性检验的估计结果-数字信贷虚拟变量</w:t>
      </w:r>
      <w:bookmarkEnd w:id="38"/>
    </w:p>
    <w:p w14:paraId="2414BB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770" cy="2327275"/>
            <wp:effectExtent l="0" t="0" r="1270" b="4445"/>
            <wp:docPr id="113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1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878705"/>
            <wp:effectExtent l="0" t="0" r="14605" b="13335"/>
            <wp:docPr id="114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87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5A3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2F9AE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B8487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74D8F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AE32E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6BF3B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17F33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39" w:name="_Toc837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5.5稳健性检验-替换为虚拟变量进行稳健性检验的估计结果-线上投保虚拟变量</w:t>
      </w:r>
      <w:bookmarkEnd w:id="39"/>
    </w:p>
    <w:p w14:paraId="11E50A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135" cy="2195830"/>
            <wp:effectExtent l="0" t="0" r="1905" b="13970"/>
            <wp:docPr id="115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4956810"/>
            <wp:effectExtent l="0" t="0" r="3810" b="11430"/>
            <wp:docPr id="116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95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F64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DA664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F42B4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384CE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83DC5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/>
          <w:lang w:val="en-US" w:eastAsia="zh-CN"/>
        </w:rPr>
      </w:pPr>
    </w:p>
    <w:p w14:paraId="40547D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0" w:name="_Toc747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5.6稳健性检验-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进行稳健性检验的估计结果-数字金融使用对种植类家庭农场韧性的回归结果</w:t>
      </w:r>
      <w:bookmarkEnd w:id="40"/>
    </w:p>
    <w:p w14:paraId="6476C9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1135" cy="5250815"/>
            <wp:effectExtent l="0" t="0" r="1905" b="6985"/>
            <wp:docPr id="117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25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C59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4BA49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A090C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4C92D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C8BDA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00FB7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CFEA9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DE54C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1D321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187A8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9A8DC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2104F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83AEA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2B9DC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46203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CB895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1" w:name="_Toc1199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5.7稳健性检验-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进行稳健性检验的估计结果-数字投资对种植类家庭农场韧性的回归结果</w:t>
      </w:r>
      <w:bookmarkEnd w:id="41"/>
    </w:p>
    <w:p w14:paraId="186BED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040" cy="5532120"/>
            <wp:effectExtent l="0" t="0" r="0" b="0"/>
            <wp:docPr id="118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53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0E5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60FB3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984F9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7BB67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BFC3F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1D9CE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F4BE5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54986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D7F44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03521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919B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4C8EE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43623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E0A30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F34F4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2" w:name="_Toc3088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5.8稳健性检验-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进行稳健性检验的估计结果-移动支付对种植类家庭农场韧性的回归结果</w:t>
      </w:r>
      <w:bookmarkEnd w:id="42"/>
    </w:p>
    <w:p w14:paraId="141777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5340985"/>
            <wp:effectExtent l="0" t="0" r="14605" b="8255"/>
            <wp:docPr id="119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34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8F5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51A41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DF3A8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81E03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BB81E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C8A8B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84A87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A69D9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1FBEF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02C64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F8CA6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DA555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A9CA6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161D9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F3BE2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AEEF3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3" w:name="_Toc9033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5.9稳健性检验-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进行稳健性检验的估计结果-数字信贷对种植类家庭农场韧性的回归结果</w:t>
      </w:r>
      <w:bookmarkEnd w:id="43"/>
    </w:p>
    <w:p w14:paraId="75853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5389245"/>
            <wp:effectExtent l="0" t="0" r="14605" b="5715"/>
            <wp:docPr id="120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1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38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87D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1C559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2D62A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12935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60466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4966B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72DA7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69A05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88DA5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6DACA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7E2D1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C7714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CE629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3A179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D548F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4" w:name="_Toc1601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5.10稳健性检验-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仅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保留2023年</w:t>
      </w:r>
      <w:r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t>数据</w:t>
      </w: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进行稳健性检验的估计结果-线上投保对种植类家庭农场韧性的回归结果</w:t>
      </w:r>
      <w:bookmarkEnd w:id="44"/>
    </w:p>
    <w:p w14:paraId="7ACC35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5283835"/>
            <wp:effectExtent l="0" t="0" r="2540" b="4445"/>
            <wp:docPr id="121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1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28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535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5924E8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2F3030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45" w:name="_Toc16607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表6 数字金融使用对种植类家庭农场韧性的异质性影响</w:t>
      </w:r>
      <w:bookmarkEnd w:id="45"/>
    </w:p>
    <w:p w14:paraId="047886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6" w:name="_Toc3186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6.1异质性分析-区域异质性-苏北</w:t>
      </w:r>
      <w:bookmarkEnd w:id="46"/>
    </w:p>
    <w:p w14:paraId="52E34B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2405" cy="1225550"/>
            <wp:effectExtent l="0" t="0" r="635" b="8890"/>
            <wp:docPr id="70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480050"/>
            <wp:effectExtent l="0" t="0" r="3810" b="6350"/>
            <wp:docPr id="71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8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0AE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7D06A3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24A456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5683E5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07E0D3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21134E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</w:p>
    <w:p w14:paraId="45E97C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7" w:name="_Toc140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6.2异质性分析-区域异质性-苏中</w:t>
      </w:r>
      <w:bookmarkEnd w:id="47"/>
    </w:p>
    <w:p w14:paraId="3D7645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0500" cy="2437765"/>
            <wp:effectExtent l="0" t="0" r="2540" b="635"/>
            <wp:docPr id="7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992245"/>
            <wp:effectExtent l="0" t="0" r="635" b="635"/>
            <wp:docPr id="73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C18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2C893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4DCAD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AA854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9A10C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FA245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64D1A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579A8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CF310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387D9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8" w:name="_Toc19864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6.3异质性分析-区域异质性-苏南</w:t>
      </w:r>
      <w:bookmarkEnd w:id="48"/>
    </w:p>
    <w:p w14:paraId="02A12D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2182495"/>
            <wp:effectExtent l="0" t="0" r="14605" b="12065"/>
            <wp:docPr id="7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2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8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133215"/>
            <wp:effectExtent l="0" t="0" r="1270" b="12065"/>
            <wp:docPr id="7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3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13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D78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AA41A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0C586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4A339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D888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0A9C0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74CA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30488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76415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A423B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422A2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49" w:name="_Toc18510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6.4异质性分析-经营方式异质性-纯种植</w:t>
      </w:r>
      <w:bookmarkEnd w:id="49"/>
    </w:p>
    <w:p w14:paraId="040F52D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2405" cy="2273300"/>
            <wp:effectExtent l="0" t="0" r="635" b="12700"/>
            <wp:docPr id="7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4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377815"/>
            <wp:effectExtent l="0" t="0" r="2540" b="1905"/>
            <wp:docPr id="7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5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7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20F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3B5F9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E37DC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169D1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0" w:name="_Toc2274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6.5异质性分析-经营方式异质性-种养结合</w:t>
      </w:r>
      <w:bookmarkEnd w:id="50"/>
    </w:p>
    <w:p w14:paraId="150F7C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040" cy="2145665"/>
            <wp:effectExtent l="0" t="0" r="0" b="3175"/>
            <wp:docPr id="7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6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073015"/>
            <wp:effectExtent l="0" t="0" r="3810" b="1905"/>
            <wp:docPr id="7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07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AFB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D4F77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230A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BEB5C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7EDE4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9CC57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AA54C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1" w:name="_Toc30551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6.6异质性分析-家庭生命周期异质性-抚育期</w:t>
      </w:r>
      <w:bookmarkEnd w:id="51"/>
    </w:p>
    <w:p w14:paraId="207807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2404110"/>
            <wp:effectExtent l="0" t="0" r="14605" b="3810"/>
            <wp:docPr id="8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8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133975"/>
            <wp:effectExtent l="0" t="0" r="635" b="1905"/>
            <wp:docPr id="8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9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070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8C603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5125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794EA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646AC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2" w:name="_Toc2992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6.7异质性分析-家庭生命周期异质性-负担期</w:t>
      </w:r>
      <w:bookmarkEnd w:id="52"/>
    </w:p>
    <w:p w14:paraId="5EECC6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230" cy="2205990"/>
            <wp:effectExtent l="0" t="0" r="3810" b="3810"/>
            <wp:docPr id="8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0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196840"/>
            <wp:effectExtent l="0" t="0" r="14605" b="0"/>
            <wp:docPr id="83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19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CE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153436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7ECB9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91AD1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FA456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3" w:name="_Toc21719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6.8异质性分析-家庭生命周期异质性-稳定期</w:t>
      </w:r>
      <w:bookmarkEnd w:id="53"/>
    </w:p>
    <w:p w14:paraId="458792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2405" cy="2209800"/>
            <wp:effectExtent l="0" t="0" r="635" b="0"/>
            <wp:docPr id="8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2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213985"/>
            <wp:effectExtent l="0" t="0" r="1905" b="13335"/>
            <wp:docPr id="8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3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21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6F6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83170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7F46C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1D259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0DC00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4" w:name="_Toc1640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6.9异质性分析-家庭生命周期异质性-赡养期</w:t>
      </w:r>
      <w:bookmarkEnd w:id="54"/>
    </w:p>
    <w:p w14:paraId="125E26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2176145"/>
            <wp:effectExtent l="0" t="0" r="14605" b="3175"/>
            <wp:docPr id="8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4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314950"/>
            <wp:effectExtent l="0" t="0" r="1270" b="3810"/>
            <wp:docPr id="8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5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1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F00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03A5F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63D04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0217E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79543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00777F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5" w:name="_Toc24155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6.10异质性分析-规模异质性-偏小规模组</w:t>
      </w:r>
      <w:bookmarkEnd w:id="55"/>
    </w:p>
    <w:p w14:paraId="035074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230" cy="3647440"/>
            <wp:effectExtent l="0" t="0" r="3810" b="10160"/>
            <wp:docPr id="8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6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3820" cy="4815205"/>
            <wp:effectExtent l="0" t="0" r="2540" b="635"/>
            <wp:docPr id="8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7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163820" cy="481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127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6" w:name="_Toc8178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6.11异质性分析-规模异质性-中等规模组</w:t>
      </w:r>
      <w:bookmarkEnd w:id="56"/>
    </w:p>
    <w:p w14:paraId="046DDC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040" cy="1703070"/>
            <wp:effectExtent l="0" t="0" r="0" b="3810"/>
            <wp:docPr id="9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8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0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269865"/>
            <wp:effectExtent l="0" t="0" r="3175" b="3175"/>
            <wp:docPr id="91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26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713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61A1B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36E23F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CEB1B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70BF3A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F4A26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44CF0C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DA78D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7" w:name="_Toc427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6.12异质性分析-规模异质性-较大规模组</w:t>
      </w:r>
      <w:bookmarkEnd w:id="57"/>
    </w:p>
    <w:p w14:paraId="79AC3B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1969770"/>
            <wp:effectExtent l="0" t="0" r="14605" b="11430"/>
            <wp:docPr id="9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0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241290"/>
            <wp:effectExtent l="0" t="0" r="3175" b="1270"/>
            <wp:docPr id="93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24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746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outlineLvl w:val="0"/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</w:pPr>
      <w:bookmarkStart w:id="58" w:name="_Toc15815"/>
      <w:r>
        <w:rPr>
          <w:rFonts w:hint="eastAsia" w:ascii="Times New Roman" w:hAnsi="Times New Roman" w:eastAsia="黑体" w:cs="黑体"/>
          <w:color w:val="FF0000"/>
          <w:sz w:val="24"/>
          <w:szCs w:val="24"/>
          <w:lang w:val="en-US" w:eastAsia="zh-CN"/>
        </w:rPr>
        <w:t>表7 进一步分析估计结果</w:t>
      </w:r>
      <w:bookmarkEnd w:id="58"/>
    </w:p>
    <w:p w14:paraId="06B317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59" w:name="_Toc6321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7.1进一步分析-极端高温对种植类家庭农场韧性影响的估计结果</w:t>
      </w:r>
      <w:bookmarkEnd w:id="59"/>
    </w:p>
    <w:p w14:paraId="09D813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2684145"/>
            <wp:effectExtent l="0" t="0" r="14605" b="13335"/>
            <wp:docPr id="94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2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403850"/>
            <wp:effectExtent l="0" t="0" r="635" b="6350"/>
            <wp:docPr id="95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3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40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93D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60" w:name="_Toc25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7.2进一步分析-数字金融使用×极端高温对种植类家庭农场韧性影响的估计结果</w:t>
      </w:r>
      <w:bookmarkEnd w:id="60"/>
    </w:p>
    <w:p w14:paraId="7B862B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0500" cy="2825115"/>
            <wp:effectExtent l="0" t="0" r="2540" b="9525"/>
            <wp:docPr id="9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563870"/>
            <wp:effectExtent l="0" t="0" r="14605" b="13970"/>
            <wp:docPr id="97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5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56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355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1"/>
        <w:rPr>
          <w:rFonts w:hint="default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bookmarkStart w:id="61" w:name="_Toc16027"/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7.3进一步分析-数字投资×极端高温对种植类家庭农场韧性影响的估计结果</w:t>
      </w:r>
      <w:bookmarkEnd w:id="61"/>
    </w:p>
    <w:p w14:paraId="203117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69865" cy="2749550"/>
            <wp:effectExtent l="0" t="0" r="3175" b="8890"/>
            <wp:docPr id="98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6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485765"/>
            <wp:effectExtent l="0" t="0" r="3810" b="635"/>
            <wp:docPr id="99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7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8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DB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4E764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7.4进一步分析-移动支付×极端高温对种植类家庭农场韧性影响的估计结果</w:t>
      </w:r>
    </w:p>
    <w:p w14:paraId="492D49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3675" cy="2540000"/>
            <wp:effectExtent l="0" t="0" r="14605" b="5080"/>
            <wp:docPr id="100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8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449570"/>
            <wp:effectExtent l="0" t="0" r="3810" b="6350"/>
            <wp:docPr id="101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9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4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257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6EFA95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543DCF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7.5进一步分析-数字信贷×极端高温对种植类家庭农场韧性影响的估计结果</w:t>
      </w:r>
    </w:p>
    <w:p w14:paraId="62A8A3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  <w:r>
        <w:drawing>
          <wp:inline distT="0" distB="0" distL="114300" distR="114300">
            <wp:extent cx="5270500" cy="2686685"/>
            <wp:effectExtent l="0" t="0" r="2540" b="10795"/>
            <wp:docPr id="10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0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375910"/>
            <wp:effectExtent l="0" t="0" r="3175" b="3810"/>
            <wp:docPr id="103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1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37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52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</w:pPr>
    </w:p>
    <w:p w14:paraId="2DBBD0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黑体" w:cs="黑体"/>
          <w:color w:val="FF0000"/>
          <w:sz w:val="21"/>
          <w:szCs w:val="21"/>
          <w:lang w:val="en-US" w:eastAsia="zh-CN"/>
        </w:rPr>
        <w:t>7.6进一步分析-线上投保×极端高温对种植类家庭农场韧性影响的估计结果</w:t>
      </w:r>
    </w:p>
    <w:p w14:paraId="22EA5F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0" w:firstLineChars="0"/>
        <w:jc w:val="both"/>
        <w:textAlignment w:val="auto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585085"/>
            <wp:effectExtent l="0" t="0" r="635" b="5715"/>
            <wp:docPr id="104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2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8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535930"/>
            <wp:effectExtent l="0" t="0" r="3810" b="11430"/>
            <wp:docPr id="10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3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3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F50D23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4" name="文本框 1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B3E7569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Wav40AgAAZQ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DSVmr+NAIAAGU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B3E7569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0EA480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1" name="文本框 1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14986E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Lo34aczAgAAZQ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E14986E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882A07"/>
    <w:rsid w:val="1A11228E"/>
    <w:rsid w:val="3EA370A9"/>
    <w:rsid w:val="43A53A1F"/>
    <w:rsid w:val="4AA04BBD"/>
    <w:rsid w:val="73DE04CB"/>
    <w:rsid w:val="7C077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toc 1"/>
    <w:basedOn w:val="1"/>
    <w:next w:val="1"/>
    <w:qFormat/>
    <w:uiPriority w:val="0"/>
  </w:style>
  <w:style w:type="paragraph" w:styleId="5">
    <w:name w:val="toc 2"/>
    <w:basedOn w:val="1"/>
    <w:next w:val="1"/>
    <w:qFormat/>
    <w:uiPriority w:val="0"/>
    <w:pPr>
      <w:ind w:left="420" w:left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2" Type="http://schemas.openxmlformats.org/officeDocument/2006/relationships/fontTable" Target="fontTable.xml"/><Relationship Id="rId121" Type="http://schemas.openxmlformats.org/officeDocument/2006/relationships/customXml" Target="../customXml/item1.xml"/><Relationship Id="rId120" Type="http://schemas.openxmlformats.org/officeDocument/2006/relationships/image" Target="media/image115.png"/><Relationship Id="rId12" Type="http://schemas.openxmlformats.org/officeDocument/2006/relationships/image" Target="media/image7.png"/><Relationship Id="rId119" Type="http://schemas.openxmlformats.org/officeDocument/2006/relationships/image" Target="media/image114.png"/><Relationship Id="rId118" Type="http://schemas.openxmlformats.org/officeDocument/2006/relationships/image" Target="media/image113.png"/><Relationship Id="rId117" Type="http://schemas.openxmlformats.org/officeDocument/2006/relationships/image" Target="media/image112.png"/><Relationship Id="rId116" Type="http://schemas.openxmlformats.org/officeDocument/2006/relationships/image" Target="media/image111.png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png"/><Relationship Id="rId112" Type="http://schemas.openxmlformats.org/officeDocument/2006/relationships/image" Target="media/image107.png"/><Relationship Id="rId111" Type="http://schemas.openxmlformats.org/officeDocument/2006/relationships/image" Target="media/image106.png"/><Relationship Id="rId110" Type="http://schemas.openxmlformats.org/officeDocument/2006/relationships/image" Target="media/image105.png"/><Relationship Id="rId11" Type="http://schemas.openxmlformats.org/officeDocument/2006/relationships/image" Target="media/image6.png"/><Relationship Id="rId109" Type="http://schemas.openxmlformats.org/officeDocument/2006/relationships/image" Target="media/image104.pn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65</Pages>
  <Words>2630</Words>
  <Characters>2909</Characters>
  <Lines>0</Lines>
  <Paragraphs>0</Paragraphs>
  <TotalTime>0</TotalTime>
  <ScaleCrop>false</ScaleCrop>
  <LinksUpToDate>false</LinksUpToDate>
  <CharactersWithSpaces>2983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2025-03-02T02:14:00Z</dcterms:created>
  <dc:creator>DELL</dc:creator>
  <cp:lastModifiedBy>author</cp:lastModifiedBy>
  <dcterms:modified xsi:type="dcterms:W3CDTF">2025-03-20T12:37:09Z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eyJoZGlkIjoiODNhODdlMzhlODAzYzYyZGY0ZjhmMDc3ODIxZTJiMzQiLCJ1c2VySWQiOiI3NzEzMjE4NzQifQ==</vt:lpwstr>
  </property>
  <property fmtid="{D5CDD505-2E9C-101B-9397-08002B2CF9AE}" pid="4" name="ICV">
    <vt:lpwstr>2EA6BA3093E64051A0E0DEEB8511A31C_12</vt:lpwstr>
  </property>
</Properties>
</file>