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pStyle w:val="117"/>
        <w:spacing w:line="240" w:lineRule="atLeast"/>
        <w:jc w:val="left"/>
        <w:rPr>
          <w:rFonts w:hint="eastAsia" w:ascii="Times New Roman" w:hAnsi="Times New Roman"/>
          <w:color w:val="auto"/>
          <w:sz w:val="18"/>
          <w:szCs w:val="18"/>
          <w:lang w:val="en-US" w:eastAsia="zh-CN"/>
        </w:rPr>
      </w:pPr>
    </w:p>
    <w:p>
      <w:pPr>
        <w:pStyle w:val="117"/>
        <w:spacing w:line="240" w:lineRule="atLeast"/>
        <w:ind w:firstLine="332" w:firstLineChars="200"/>
        <w:jc w:val="left"/>
        <w:rPr>
          <w:rFonts w:hint="eastAsia" w:ascii="Times New Roman" w:hAnsi="Times New Roman"/>
          <w:color w:val="auto"/>
          <w:sz w:val="18"/>
          <w:szCs w:val="18"/>
        </w:rPr>
      </w:pPr>
      <w:r>
        <w:rPr>
          <w:rFonts w:hint="eastAsia" w:ascii="Times New Roman" w:hAnsi="Times New Roman"/>
          <w:color w:val="auto"/>
          <w:sz w:val="18"/>
          <w:szCs w:val="18"/>
          <w:lang w:val="en-US" w:eastAsia="zh-CN"/>
        </w:rPr>
        <w:t>附</w:t>
      </w:r>
      <w:r>
        <w:rPr>
          <w:rFonts w:hint="eastAsia" w:ascii="Times New Roman" w:hAnsi="Times New Roman"/>
          <w:color w:val="auto"/>
          <w:sz w:val="18"/>
          <w:szCs w:val="18"/>
        </w:rPr>
        <w:t>表</w:t>
      </w:r>
      <w:r>
        <w:rPr>
          <w:rFonts w:hint="eastAsia" w:ascii="Times New Roman" w:hAnsi="Times New Roman"/>
          <w:color w:val="auto"/>
          <w:sz w:val="18"/>
          <w:szCs w:val="18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18"/>
          <w:szCs w:val="18"/>
        </w:rPr>
        <w:t xml:space="preserve">                                      </w:t>
      </w:r>
      <w:r>
        <w:rPr>
          <w:rFonts w:hint="eastAsia" w:ascii="Times New Roman" w:hAnsi="Times New Roman"/>
          <w:bCs/>
          <w:color w:val="auto"/>
          <w:sz w:val="18"/>
          <w:szCs w:val="18"/>
        </w:rPr>
        <w:t>相关系数分析</w:t>
      </w:r>
    </w:p>
    <w:tbl>
      <w:tblPr>
        <w:tblStyle w:val="33"/>
        <w:tblW w:w="8670" w:type="dxa"/>
        <w:jc w:val="center"/>
        <w:tblInd w:w="-5473" w:type="dxa"/>
        <w:tblBorders>
          <w:top w:val="single" w:color="auto" w:sz="12" w:space="0"/>
          <w:left w:val="none" w:color="auto" w:sz="4" w:space="0"/>
          <w:bottom w:val="single" w:color="auto" w:sz="12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4"/>
        <w:gridCol w:w="1091"/>
        <w:gridCol w:w="1091"/>
        <w:gridCol w:w="1091"/>
        <w:gridCol w:w="1091"/>
        <w:gridCol w:w="1091"/>
        <w:gridCol w:w="1091"/>
      </w:tblGrid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变量</w:t>
            </w:r>
          </w:p>
        </w:tc>
        <w:tc>
          <w:tcPr>
            <w:tcW w:w="109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5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企业乡村振兴参与度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09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政府乡村振兴注意力水平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0.091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企业规模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0.363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-0.027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杠杆率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0.161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-0.022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0.541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上市年限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0.168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0.080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0.481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0.352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固定资产比例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0.165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0.210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0.127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0.060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0.127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现金流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0.089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0.046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0.071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-0.169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-0.033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0.222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总资产收益率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0.030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0.011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-0.030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-0.359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-0.228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-0.027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产权性质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0.271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0.044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0.383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0.263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0.437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0.182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大股东持股比例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0.133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-0.025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0.185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0.046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-0.057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0.113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董事会规模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0.142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0.085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0.266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0.136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0.171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0.144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高管持股比例</w:t>
            </w:r>
          </w:p>
        </w:tc>
        <w:tc>
          <w:tcPr>
            <w:tcW w:w="1091" w:type="dxa"/>
            <w:tcBorders>
              <w:left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-0.159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-0.123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-0.329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-0.248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-0.452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-0.140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变量</w:t>
            </w:r>
          </w:p>
        </w:tc>
        <w:tc>
          <w:tcPr>
            <w:tcW w:w="109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7</w:t>
            </w:r>
          </w:p>
        </w:tc>
        <w:tc>
          <w:tcPr>
            <w:tcW w:w="1091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8</w:t>
            </w:r>
          </w:p>
        </w:tc>
        <w:tc>
          <w:tcPr>
            <w:tcW w:w="1091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9</w:t>
            </w:r>
          </w:p>
        </w:tc>
        <w:tc>
          <w:tcPr>
            <w:tcW w:w="1091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10</w:t>
            </w:r>
          </w:p>
        </w:tc>
        <w:tc>
          <w:tcPr>
            <w:tcW w:w="1091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</w:t>
            </w:r>
          </w:p>
        </w:tc>
        <w:tc>
          <w:tcPr>
            <w:tcW w:w="1091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企业乡村振兴参与度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政府乡村振兴注意力水平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企业规模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杠杆率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上市年限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固定资产比例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现金流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总资产收益率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0.426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产权性质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-0.013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-0.093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大股东持股比例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0.113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0.148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0.240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董事会规模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0.051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0.006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0.264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0.004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2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高管持股比例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0.014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0.138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-0.366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-0.033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-0.182</w:t>
            </w:r>
            <w:r>
              <w:rPr>
                <w:rFonts w:hint="eastAsia"/>
                <w:color w:val="auto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pStyle w:val="1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/>
                <w:color w:val="auto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18"/>
          <w:szCs w:val="18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/>
          <w:lang w:val="en-US" w:eastAsia="zh-CN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eastAsia="黑体" w:cs="Times New Roman"/>
        <w:lang w:val="en-US" w:eastAsia="zh-CN"/>
      </w:rPr>
    </w:pPr>
    <w:r>
      <w:rPr>
        <w:rFonts w:hint="eastAsia" w:eastAsia="黑体" w:cs="Times New Roman"/>
        <w:lang w:val="en-US" w:eastAsia="zh-CN"/>
      </w:rPr>
      <w:t>肖红军等：地方政府驱动企业参与乡村振兴的机制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    </w:t>
    </w:r>
    <w:r>
      <w:rPr>
        <w:rFonts w:hint="eastAsia" w:eastAsia="黑体" w:cs="Times New Roman"/>
        <w:lang w:val="en-US" w:eastAsia="zh-CN"/>
      </w:rPr>
      <w:t>肖红军等：</w:t>
    </w:r>
    <w:r>
      <w:rPr>
        <w:rFonts w:hint="eastAsia" w:ascii="Times New Roman" w:hAnsi="Times New Roman" w:eastAsia="黑体" w:cs="Times New Roman"/>
      </w:rPr>
      <w:t>地方政府驱动企业参与乡村振兴的机制</w:t>
    </w:r>
    <w:r>
      <w:rPr>
        <w:rFonts w:ascii="Times New Roman" w:hAnsi="Times New Roman" w:cs="Times New Roman"/>
      </w:rPr>
      <w:t xml:space="preserve">  </w:t>
    </w:r>
    <w:r>
      <w:rPr>
        <w:rFonts w:hint="eastAsia" w:cs="Times New Roman"/>
        <w:lang w:val="en-US" w:eastAsia="zh-CN"/>
      </w:rPr>
      <w:t xml:space="preserve">     </w:t>
    </w:r>
    <w:r>
      <w:rPr>
        <w:rFonts w:ascii="Times New Roman" w:hAnsi="Times New Roman" w:eastAsia="黑体" w:cs="Times New Roman"/>
      </w:rPr>
      <w:t>202</w:t>
    </w:r>
    <w:r>
      <w:rPr>
        <w:rFonts w:hint="eastAsia" w:eastAsia="黑体" w:cs="Times New Roman"/>
        <w:lang w:val="en-US" w:eastAsia="zh-CN"/>
      </w:rPr>
      <w:t>5年第2期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1E265F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6B23ED"/>
    <w:rsid w:val="37810F86"/>
    <w:rsid w:val="3782055B"/>
    <w:rsid w:val="378C5DAA"/>
    <w:rsid w:val="378C5E3A"/>
    <w:rsid w:val="37DD1AAE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EFA6D6C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8E035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EE86DC8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626564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3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5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2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1"/>
    <w:next w:val="1"/>
    <w:link w:val="99"/>
    <w:qFormat/>
    <w:uiPriority w:val="0"/>
    <w:pPr>
      <w:tabs>
        <w:tab w:val="center" w:pos="4320"/>
        <w:tab w:val="right" w:pos="8620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character" w:customStyle="1" w:styleId="99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0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1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2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3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4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5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7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8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09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0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1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2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3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4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  <w:style w:type="paragraph" w:customStyle="1" w:styleId="115">
    <w:name w:val="正文-公1"/>
    <w:basedOn w:val="1"/>
    <w:qFormat/>
    <w:uiPriority w:val="0"/>
    <w:pPr>
      <w:framePr w:hSpace="181" w:wrap="notBeside" w:vAnchor="text" w:hAnchor="margin" w:xAlign="center" w:y="63"/>
      <w:spacing w:line="300" w:lineRule="exact"/>
      <w:ind w:firstLine="0" w:firstLineChars="0"/>
      <w:jc w:val="center"/>
    </w:pPr>
    <w:rPr>
      <w:rFonts w:ascii="宋体" w:hAnsi="宋体" w:cs="Times New Roman"/>
      <w:b/>
      <w:bCs/>
      <w:sz w:val="18"/>
      <w:szCs w:val="18"/>
    </w:rPr>
  </w:style>
  <w:style w:type="table" w:customStyle="1" w:styleId="116">
    <w:name w:val="无格式表格 21"/>
    <w:basedOn w:val="33"/>
    <w:qFormat/>
    <w:uiPriority w:val="0"/>
    <w:tblPr>
      <w:tblBorders>
        <w:top w:val="single" w:color="7E7E7E" w:sz="4" w:space="0"/>
        <w:bottom w:val="single" w:color="7E7E7E" w:sz="4" w:space="0"/>
      </w:tblBorders>
      <w:tblLayout w:type="fixed"/>
    </w:tblPr>
    <w:tblStylePr w:type="firstRow">
      <w:rPr>
        <w:b/>
        <w:bCs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2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7E7E7E" w:sz="4" w:space="0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7">
    <w:name w:val="表"/>
    <w:qFormat/>
    <w:uiPriority w:val="0"/>
    <w:pPr>
      <w:widowControl w:val="0"/>
      <w:ind w:firstLine="0" w:firstLineChars="0"/>
      <w:jc w:val="center"/>
    </w:pPr>
    <w:rPr>
      <w:rFonts w:ascii="黑体" w:hAnsi="黑体" w:eastAsia="黑体" w:cs="Times New Roman"/>
      <w:kern w:val="2"/>
      <w:sz w:val="21"/>
      <w:szCs w:val="21"/>
      <w:lang w:val="en-US" w:eastAsia="zh-CN" w:bidi="ar-SA"/>
    </w:rPr>
  </w:style>
  <w:style w:type="paragraph" w:customStyle="1" w:styleId="118">
    <w:name w:val="表格"/>
    <w:qFormat/>
    <w:uiPriority w:val="0"/>
    <w:pPr>
      <w:widowControl w:val="0"/>
      <w:ind w:firstLine="0" w:firstLineChars="0"/>
      <w:jc w:val="center"/>
    </w:pPr>
    <w:rPr>
      <w:rFonts w:ascii="Times New Roman" w:hAnsi="Times New Roman" w:eastAsia="宋体" w:cs="Times New Roman"/>
      <w:kern w:val="2"/>
      <w:sz w:val="1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2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c</cp:lastModifiedBy>
  <cp:lastPrinted>2023-06-28T09:19:00Z</cp:lastPrinted>
  <dcterms:modified xsi:type="dcterms:W3CDTF">2025-02-25T03:36:57Z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