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pStyle w:val="2"/>
        <w:ind w:left="0" w:leftChars="0" w:firstLine="0" w:firstLineChars="0"/>
        <w:rPr>
          <w:rFonts w:hint="default" w:ascii="Times New Roman" w:hAnsi="Times New Roman" w:eastAsia="黑体" w:cs="Times New Roman"/>
          <w:b w:val="0"/>
          <w:bCs w:val="0"/>
          <w:color w:val="auto"/>
          <w:kern w:val="2"/>
          <w:sz w:val="21"/>
          <w:szCs w:val="21"/>
          <w:highlight w:val="none"/>
          <w:shd w:val="clear" w:color="auto" w:fill="FFFFFF"/>
          <w:vertAlign w:val="superscript"/>
          <w:lang w:val="en-US" w:eastAsia="zh-CN" w:bidi="ar-SA"/>
        </w:rPr>
      </w:pPr>
    </w:p>
    <w:p>
      <w:pPr>
        <w:pStyle w:val="2"/>
        <w:ind w:left="0" w:leftChars="0" w:firstLine="0" w:firstLineChars="0"/>
        <w:rPr>
          <w:rFonts w:hint="eastAsia" w:ascii="Times New Roman" w:hAnsi="Times New Roman" w:eastAsia="黑体" w:cs="Times New Roman"/>
          <w:b w:val="0"/>
          <w:bCs w:val="0"/>
          <w:color w:val="auto"/>
          <w:kern w:val="2"/>
          <w:sz w:val="21"/>
          <w:szCs w:val="21"/>
          <w:highlight w:val="none"/>
          <w:shd w:val="clear" w:color="auto" w:fill="FFFFFF"/>
          <w:vertAlign w:val="superscript"/>
          <w:lang w:val="en-US" w:eastAsia="zh-CN" w:bidi="ar-SA"/>
        </w:rPr>
      </w:pPr>
    </w:p>
    <w:p>
      <w:pPr>
        <w:spacing w:line="240" w:lineRule="atLeast"/>
        <w:jc w:val="left"/>
        <w:rPr>
          <w:rFonts w:ascii="Times New Roman" w:hAnsi="Times New Roman" w:eastAsia="黑体" w:cs="Times New Roman"/>
          <w:bCs/>
          <w:color w:val="000000"/>
          <w:sz w:val="18"/>
          <w:szCs w:val="18"/>
        </w:rPr>
      </w:pPr>
      <w:r>
        <w:rPr>
          <w:rFonts w:ascii="Times New Roman" w:hAnsi="Times New Roman" w:eastAsia="宋体" w:cs="Times New Roman"/>
          <w:color w:val="000000"/>
          <w:kern w:val="0"/>
          <w:sz w:val="18"/>
          <w:szCs w:val="18"/>
        </w:rPr>
        <w:drawing>
          <wp:inline distT="0" distB="0" distL="0" distR="0">
            <wp:extent cx="5277485" cy="1449705"/>
            <wp:effectExtent l="0" t="0" r="18415" b="17145"/>
            <wp:docPr id="20464757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75744"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l="1002" r="752"/>
                    <a:stretch>
                      <a:fillRect/>
                    </a:stretch>
                  </pic:blipFill>
                  <pic:spPr>
                    <a:xfrm>
                      <a:off x="0" y="0"/>
                      <a:ext cx="5277600" cy="1450220"/>
                    </a:xfrm>
                    <a:prstGeom prst="rect">
                      <a:avLst/>
                    </a:prstGeom>
                    <a:noFill/>
                    <a:ln>
                      <a:noFill/>
                    </a:ln>
                  </pic:spPr>
                </pic:pic>
              </a:graphicData>
            </a:graphic>
          </wp:inline>
        </w:drawing>
      </w:r>
    </w:p>
    <w:p>
      <w:pPr>
        <w:jc w:val="left"/>
        <w:rPr>
          <w:rFonts w:ascii="Times New Roman" w:hAnsi="Times New Roman" w:eastAsia="宋体" w:cs="Times New Roman"/>
          <w:bCs/>
          <w:color w:val="000000"/>
          <w:sz w:val="18"/>
          <w:szCs w:val="18"/>
        </w:rPr>
      </w:pPr>
      <w:r>
        <w:rPr>
          <w:rFonts w:ascii="Times New Roman" w:hAnsi="Times New Roman" w:eastAsia="黑体" w:cs="Times New Roman"/>
          <w:bCs/>
          <w:color w:val="000000"/>
          <w:sz w:val="18"/>
          <w:szCs w:val="18"/>
        </w:rPr>
        <w:t xml:space="preserve">        </w:t>
      </w:r>
      <w:r>
        <w:rPr>
          <w:rFonts w:hint="eastAsia" w:ascii="Times New Roman" w:hAnsi="Times New Roman" w:eastAsia="宋体" w:cs="Times New Roman"/>
          <w:bCs/>
          <w:color w:val="000000"/>
          <w:sz w:val="18"/>
          <w:szCs w:val="18"/>
        </w:rPr>
        <w:t>（</w:t>
      </w:r>
      <w:r>
        <w:rPr>
          <w:rFonts w:ascii="Times New Roman" w:hAnsi="Times New Roman" w:eastAsia="宋体" w:cs="Times New Roman"/>
          <w:bCs/>
          <w:color w:val="000000"/>
          <w:sz w:val="18"/>
          <w:szCs w:val="18"/>
        </w:rPr>
        <w:t>a</w:t>
      </w:r>
      <w:r>
        <w:rPr>
          <w:rFonts w:hint="eastAsia" w:ascii="Times New Roman" w:hAnsi="Times New Roman" w:eastAsia="宋体" w:cs="Times New Roman"/>
          <w:bCs/>
          <w:color w:val="000000"/>
          <w:sz w:val="18"/>
          <w:szCs w:val="18"/>
        </w:rPr>
        <w:t>）细颗粒物浓度</w:t>
      </w:r>
      <w:r>
        <w:rPr>
          <w:rFonts w:ascii="Times New Roman" w:hAnsi="Times New Roman" w:eastAsia="宋体" w:cs="Times New Roman"/>
          <w:bCs/>
          <w:color w:val="000000"/>
          <w:sz w:val="18"/>
          <w:szCs w:val="18"/>
        </w:rPr>
        <w:t xml:space="preserve">                   </w:t>
      </w:r>
      <w:r>
        <w:rPr>
          <w:rFonts w:hint="eastAsia" w:ascii="Times New Roman" w:hAnsi="Times New Roman" w:eastAsia="宋体" w:cs="Times New Roman"/>
          <w:bCs/>
          <w:color w:val="000000"/>
          <w:sz w:val="18"/>
          <w:szCs w:val="18"/>
        </w:rPr>
        <w:t>（</w:t>
      </w:r>
      <w:r>
        <w:rPr>
          <w:rFonts w:ascii="Times New Roman" w:hAnsi="Times New Roman" w:eastAsia="宋体" w:cs="Times New Roman"/>
          <w:bCs/>
          <w:color w:val="000000"/>
          <w:sz w:val="18"/>
          <w:szCs w:val="18"/>
        </w:rPr>
        <w:t>b</w:t>
      </w:r>
      <w:r>
        <w:rPr>
          <w:rFonts w:hint="eastAsia" w:ascii="Times New Roman" w:hAnsi="Times New Roman" w:eastAsia="宋体" w:cs="Times New Roman"/>
          <w:bCs/>
          <w:color w:val="000000"/>
          <w:sz w:val="18"/>
          <w:szCs w:val="18"/>
        </w:rPr>
        <w:t>）二氧化硫浓度</w:t>
      </w:r>
      <w:r>
        <w:rPr>
          <w:rFonts w:ascii="Times New Roman" w:hAnsi="Times New Roman" w:eastAsia="宋体" w:cs="Times New Roman"/>
          <w:bCs/>
          <w:color w:val="000000"/>
          <w:sz w:val="18"/>
          <w:szCs w:val="18"/>
        </w:rPr>
        <w:t xml:space="preserve">                 </w:t>
      </w:r>
      <w:r>
        <w:rPr>
          <w:rFonts w:hint="eastAsia" w:ascii="Times New Roman" w:hAnsi="Times New Roman" w:eastAsia="宋体" w:cs="Times New Roman"/>
          <w:bCs/>
          <w:color w:val="000000"/>
          <w:sz w:val="18"/>
          <w:szCs w:val="18"/>
        </w:rPr>
        <w:t>（</w:t>
      </w:r>
      <w:r>
        <w:rPr>
          <w:rFonts w:ascii="Times New Roman" w:hAnsi="Times New Roman" w:eastAsia="宋体" w:cs="Times New Roman"/>
          <w:bCs/>
          <w:color w:val="000000"/>
          <w:sz w:val="18"/>
          <w:szCs w:val="18"/>
        </w:rPr>
        <w:t>c</w:t>
      </w:r>
      <w:r>
        <w:rPr>
          <w:rFonts w:hint="eastAsia" w:ascii="Times New Roman" w:hAnsi="Times New Roman" w:eastAsia="宋体" w:cs="Times New Roman"/>
          <w:bCs/>
          <w:color w:val="000000"/>
          <w:sz w:val="18"/>
          <w:szCs w:val="18"/>
        </w:rPr>
        <w:t>）一氧化碳浓度</w:t>
      </w:r>
    </w:p>
    <w:p>
      <w:pPr>
        <w:jc w:val="center"/>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w:t>
      </w:r>
      <w:r>
        <w:rPr>
          <w:rFonts w:ascii="Times New Roman" w:hAnsi="Times New Roman" w:eastAsia="黑体" w:cs="Times New Roman"/>
          <w:bCs/>
          <w:color w:val="000000"/>
          <w:sz w:val="18"/>
          <w:szCs w:val="18"/>
        </w:rPr>
        <w:t>图</w:t>
      </w:r>
      <w:r>
        <w:rPr>
          <w:rFonts w:hint="eastAsia" w:ascii="Times New Roman" w:hAnsi="Times New Roman" w:eastAsia="黑体" w:cs="Times New Roman"/>
          <w:bCs/>
          <w:color w:val="000000"/>
          <w:sz w:val="18"/>
          <w:szCs w:val="18"/>
        </w:rPr>
        <w:t>1</w:t>
      </w:r>
      <w:r>
        <w:rPr>
          <w:rFonts w:ascii="Times New Roman" w:hAnsi="Times New Roman" w:eastAsia="黑体" w:cs="Times New Roman"/>
          <w:bCs/>
          <w:color w:val="000000"/>
          <w:sz w:val="18"/>
          <w:szCs w:val="18"/>
        </w:rPr>
        <w:t xml:space="preserve">  平行趋势检验</w:t>
      </w:r>
      <w:r>
        <w:rPr>
          <w:rFonts w:hint="eastAsia" w:ascii="Times New Roman" w:hAnsi="Times New Roman" w:eastAsia="黑体" w:cs="Times New Roman"/>
          <w:bCs/>
          <w:color w:val="000000"/>
          <w:sz w:val="18"/>
          <w:szCs w:val="18"/>
        </w:rPr>
        <w:t>结果</w:t>
      </w:r>
    </w:p>
    <w:p>
      <w:pPr>
        <w:spacing w:line="240" w:lineRule="atLeast"/>
        <w:ind w:firstLine="332" w:firstLineChars="200"/>
        <w:rPr>
          <w:rFonts w:hint="eastAsia"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注：圆圈代表核心解释变量系数估计值，圆圈所在虚线代表</w:t>
      </w:r>
      <w:r>
        <w:rPr>
          <w:rFonts w:ascii="Times New Roman" w:hAnsi="Times New Roman" w:eastAsia="宋体" w:cs="Times New Roman"/>
          <w:color w:val="000000"/>
          <w:sz w:val="18"/>
          <w:szCs w:val="18"/>
        </w:rPr>
        <w:t>90%</w:t>
      </w:r>
      <w:r>
        <w:rPr>
          <w:rFonts w:hint="eastAsia" w:ascii="Times New Roman" w:hAnsi="Times New Roman" w:eastAsia="宋体" w:cs="Times New Roman"/>
          <w:color w:val="000000"/>
          <w:sz w:val="18"/>
          <w:szCs w:val="18"/>
        </w:rPr>
        <w:t>水平置信区间，垂直虚线代表第一次增值税税率下调政策实施年份，水平虚线代表</w:t>
      </w:r>
      <w:r>
        <w:rPr>
          <w:rFonts w:ascii="Times New Roman" w:hAnsi="Times New Roman" w:eastAsia="宋体" w:cs="Times New Roman"/>
          <w:color w:val="000000"/>
          <w:sz w:val="18"/>
          <w:szCs w:val="18"/>
        </w:rPr>
        <w:t>0</w:t>
      </w:r>
      <w:r>
        <w:rPr>
          <w:rFonts w:hint="eastAsia" w:ascii="Times New Roman" w:hAnsi="Times New Roman" w:eastAsia="宋体" w:cs="Times New Roman"/>
          <w:color w:val="000000"/>
          <w:sz w:val="18"/>
          <w:szCs w:val="18"/>
        </w:rPr>
        <w:t>值。</w:t>
      </w:r>
    </w:p>
    <w:p>
      <w:pPr>
        <w:pStyle w:val="2"/>
        <w:ind w:left="0" w:leftChars="0" w:firstLine="0" w:firstLineChars="0"/>
        <w:rPr>
          <w:rFonts w:hint="eastAsia"/>
        </w:rPr>
      </w:pPr>
    </w:p>
    <w:p>
      <w:pPr>
        <w:spacing w:line="240" w:lineRule="atLeast"/>
        <w:jc w:val="left"/>
        <w:rPr>
          <w:rFonts w:ascii="Times New Roman" w:hAnsi="Times New Roman" w:eastAsia="黑体" w:cs="Times New Roman"/>
          <w:bCs/>
          <w:color w:val="000000"/>
          <w:sz w:val="18"/>
          <w:szCs w:val="18"/>
        </w:rPr>
      </w:pPr>
      <w:r>
        <w:rPr>
          <w:rFonts w:ascii="Times New Roman" w:hAnsi="Times New Roman" w:eastAsia="黑体" w:cs="Times New Roman"/>
          <w:bCs/>
          <w:color w:val="000000"/>
          <w:sz w:val="18"/>
          <w:szCs w:val="18"/>
        </w:rPr>
        <w:drawing>
          <wp:inline distT="0" distB="0" distL="0" distR="0">
            <wp:extent cx="5278120" cy="1402715"/>
            <wp:effectExtent l="0" t="0" r="17780" b="6985"/>
            <wp:docPr id="1741881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16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8120" cy="1402715"/>
                    </a:xfrm>
                    <a:prstGeom prst="rect">
                      <a:avLst/>
                    </a:prstGeom>
                    <a:noFill/>
                    <a:ln>
                      <a:noFill/>
                    </a:ln>
                  </pic:spPr>
                </pic:pic>
              </a:graphicData>
            </a:graphic>
          </wp:inline>
        </w:drawing>
      </w:r>
    </w:p>
    <w:p>
      <w:pPr>
        <w:spacing w:line="240" w:lineRule="atLeast"/>
        <w:ind w:firstLine="830" w:firstLineChars="500"/>
        <w:rPr>
          <w:rFonts w:ascii="Times New Roman" w:hAnsi="Times New Roman" w:eastAsia="宋体" w:cs="Times New Roman"/>
          <w:bCs/>
          <w:color w:val="000000"/>
          <w:sz w:val="18"/>
          <w:szCs w:val="18"/>
        </w:rPr>
      </w:pPr>
      <w:r>
        <w:rPr>
          <w:rFonts w:hint="eastAsia" w:ascii="Times New Roman" w:hAnsi="Times New Roman" w:eastAsia="宋体" w:cs="Times New Roman"/>
          <w:bCs/>
          <w:color w:val="000000"/>
          <w:sz w:val="18"/>
          <w:szCs w:val="18"/>
        </w:rPr>
        <w:t>（</w:t>
      </w:r>
      <w:r>
        <w:rPr>
          <w:rFonts w:ascii="Times New Roman" w:hAnsi="Times New Roman" w:eastAsia="宋体" w:cs="Times New Roman"/>
          <w:bCs/>
          <w:color w:val="000000"/>
          <w:sz w:val="18"/>
          <w:szCs w:val="18"/>
        </w:rPr>
        <w:t>a</w:t>
      </w:r>
      <w:r>
        <w:rPr>
          <w:rFonts w:hint="eastAsia" w:ascii="Times New Roman" w:hAnsi="Times New Roman" w:eastAsia="宋体" w:cs="Times New Roman"/>
          <w:bCs/>
          <w:color w:val="000000"/>
          <w:sz w:val="18"/>
          <w:szCs w:val="18"/>
        </w:rPr>
        <w:t>）细颗粒物浓度</w:t>
      </w:r>
      <w:r>
        <w:rPr>
          <w:rFonts w:ascii="Times New Roman" w:hAnsi="Times New Roman" w:eastAsia="宋体" w:cs="Times New Roman"/>
          <w:bCs/>
          <w:color w:val="000000"/>
          <w:sz w:val="18"/>
          <w:szCs w:val="18"/>
        </w:rPr>
        <w:t xml:space="preserve">                 </w:t>
      </w:r>
      <w:r>
        <w:rPr>
          <w:rFonts w:hint="eastAsia" w:ascii="Times New Roman" w:hAnsi="Times New Roman" w:eastAsia="宋体" w:cs="Times New Roman"/>
          <w:bCs/>
          <w:color w:val="000000"/>
          <w:sz w:val="18"/>
          <w:szCs w:val="18"/>
        </w:rPr>
        <w:t>（</w:t>
      </w:r>
      <w:r>
        <w:rPr>
          <w:rFonts w:ascii="Times New Roman" w:hAnsi="Times New Roman" w:eastAsia="宋体" w:cs="Times New Roman"/>
          <w:bCs/>
          <w:color w:val="000000"/>
          <w:sz w:val="18"/>
          <w:szCs w:val="18"/>
        </w:rPr>
        <w:t>b</w:t>
      </w:r>
      <w:r>
        <w:rPr>
          <w:rFonts w:hint="eastAsia" w:ascii="Times New Roman" w:hAnsi="Times New Roman" w:eastAsia="宋体" w:cs="Times New Roman"/>
          <w:bCs/>
          <w:color w:val="000000"/>
          <w:sz w:val="18"/>
          <w:szCs w:val="18"/>
        </w:rPr>
        <w:t>）二氧化硫浓度</w:t>
      </w:r>
      <w:r>
        <w:rPr>
          <w:rFonts w:ascii="Times New Roman" w:hAnsi="Times New Roman" w:eastAsia="宋体" w:cs="Times New Roman"/>
          <w:bCs/>
          <w:color w:val="000000"/>
          <w:sz w:val="18"/>
          <w:szCs w:val="18"/>
        </w:rPr>
        <w:t xml:space="preserve">                </w:t>
      </w:r>
      <w:r>
        <w:rPr>
          <w:rFonts w:hint="eastAsia" w:ascii="Times New Roman" w:hAnsi="Times New Roman" w:eastAsia="宋体" w:cs="Times New Roman"/>
          <w:bCs/>
          <w:color w:val="000000"/>
          <w:sz w:val="18"/>
          <w:szCs w:val="18"/>
        </w:rPr>
        <w:t>（</w:t>
      </w:r>
      <w:r>
        <w:rPr>
          <w:rFonts w:ascii="Times New Roman" w:hAnsi="Times New Roman" w:eastAsia="宋体" w:cs="Times New Roman"/>
          <w:bCs/>
          <w:color w:val="000000"/>
          <w:sz w:val="18"/>
          <w:szCs w:val="18"/>
        </w:rPr>
        <w:t>c</w:t>
      </w:r>
      <w:r>
        <w:rPr>
          <w:rFonts w:hint="eastAsia" w:ascii="Times New Roman" w:hAnsi="Times New Roman" w:eastAsia="宋体" w:cs="Times New Roman"/>
          <w:bCs/>
          <w:color w:val="000000"/>
          <w:sz w:val="18"/>
          <w:szCs w:val="18"/>
        </w:rPr>
        <w:t>）一氧化碳浓度</w:t>
      </w:r>
    </w:p>
    <w:p>
      <w:pPr>
        <w:jc w:val="center"/>
        <w:rPr>
          <w:rFonts w:ascii="Times New Roman" w:hAnsi="Times New Roman" w:eastAsia="黑体" w:cs="Times New Roman"/>
          <w:color w:val="000000"/>
          <w:sz w:val="15"/>
          <w:szCs w:val="15"/>
        </w:rPr>
      </w:pPr>
      <w:r>
        <w:rPr>
          <w:rFonts w:hint="eastAsia" w:ascii="Times New Roman" w:hAnsi="Times New Roman" w:eastAsia="黑体" w:cs="Times New Roman"/>
          <w:bCs/>
          <w:color w:val="000000"/>
          <w:sz w:val="18"/>
          <w:szCs w:val="18"/>
        </w:rPr>
        <w:t>附图</w:t>
      </w:r>
      <w:r>
        <w:rPr>
          <w:rFonts w:ascii="Times New Roman" w:hAnsi="Times New Roman" w:eastAsia="黑体" w:cs="Times New Roman"/>
          <w:bCs/>
          <w:color w:val="000000"/>
          <w:sz w:val="18"/>
          <w:szCs w:val="18"/>
        </w:rPr>
        <w:t xml:space="preserve">2  </w:t>
      </w:r>
      <w:r>
        <w:rPr>
          <w:rFonts w:hint="eastAsia" w:ascii="Times New Roman" w:hAnsi="Times New Roman" w:eastAsia="黑体" w:cs="Times New Roman"/>
          <w:bCs/>
          <w:color w:val="000000"/>
          <w:sz w:val="18"/>
          <w:szCs w:val="18"/>
        </w:rPr>
        <w:t>控制事前趋势的平行趋势检验结果</w:t>
      </w:r>
    </w:p>
    <w:p>
      <w:pPr>
        <w:ind w:firstLine="332" w:firstLineChars="200"/>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注：圆圈代表核心解释变量系数估计值，圆圈所在虚线代表</w:t>
      </w:r>
      <w:r>
        <w:rPr>
          <w:rFonts w:ascii="Times New Roman" w:hAnsi="Times New Roman" w:eastAsia="宋体" w:cs="Times New Roman"/>
          <w:color w:val="000000"/>
          <w:sz w:val="18"/>
          <w:szCs w:val="18"/>
        </w:rPr>
        <w:t>90%</w:t>
      </w:r>
      <w:r>
        <w:rPr>
          <w:rFonts w:hint="eastAsia" w:ascii="Times New Roman" w:hAnsi="Times New Roman" w:eastAsia="宋体" w:cs="Times New Roman"/>
          <w:color w:val="000000"/>
          <w:sz w:val="18"/>
          <w:szCs w:val="18"/>
        </w:rPr>
        <w:t>水平置信区间，垂直虚线代表第一次增值税税率下调政策实施年份，水平虚线代表</w:t>
      </w:r>
      <w:r>
        <w:rPr>
          <w:rFonts w:ascii="Times New Roman" w:hAnsi="Times New Roman" w:eastAsia="宋体" w:cs="Times New Roman"/>
          <w:color w:val="000000"/>
          <w:sz w:val="18"/>
          <w:szCs w:val="18"/>
        </w:rPr>
        <w:t>0</w:t>
      </w:r>
      <w:r>
        <w:rPr>
          <w:rFonts w:hint="eastAsia" w:ascii="Times New Roman" w:hAnsi="Times New Roman" w:eastAsia="宋体" w:cs="Times New Roman"/>
          <w:color w:val="000000"/>
          <w:sz w:val="18"/>
          <w:szCs w:val="18"/>
        </w:rPr>
        <w:t>值。</w:t>
      </w:r>
    </w:p>
    <w:p>
      <w:pPr>
        <w:spacing w:line="240" w:lineRule="atLeast"/>
        <w:rPr>
          <w:rFonts w:ascii="Times New Roman" w:hAnsi="Times New Roman" w:eastAsia="黑体" w:cs="Times New Roman"/>
          <w:bCs/>
          <w:color w:val="000000"/>
          <w:sz w:val="18"/>
          <w:szCs w:val="18"/>
        </w:rPr>
      </w:pPr>
    </w:p>
    <w:p>
      <w:pPr>
        <w:spacing w:line="240" w:lineRule="atLeast"/>
        <w:ind w:firstLine="332" w:firstLineChars="200"/>
        <w:jc w:val="left"/>
        <w:rPr>
          <w:rFonts w:hint="eastAsia" w:ascii="Times New Roman" w:hAnsi="Times New Roman" w:eastAsia="黑体" w:cs="Times New Roman"/>
          <w:bCs/>
          <w:color w:val="000000"/>
          <w:sz w:val="18"/>
          <w:szCs w:val="18"/>
        </w:rPr>
      </w:pPr>
    </w:p>
    <w:p>
      <w:pPr>
        <w:spacing w:line="240" w:lineRule="atLeast"/>
        <w:ind w:firstLine="332" w:firstLineChars="200"/>
        <w:jc w:val="left"/>
        <w:rPr>
          <w:rFonts w:hint="eastAsia" w:ascii="等线" w:hAnsi="等线" w:eastAsia="等线" w:cs="Times New Roman"/>
          <w:color w:val="000000"/>
        </w:rPr>
      </w:pPr>
      <w:r>
        <w:rPr>
          <w:rFonts w:hint="eastAsia" w:ascii="Times New Roman" w:hAnsi="Times New Roman" w:eastAsia="黑体" w:cs="Times New Roman"/>
          <w:bCs/>
          <w:color w:val="000000"/>
          <w:sz w:val="18"/>
          <w:szCs w:val="18"/>
        </w:rPr>
        <w:t>附表1</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增值税税率下调政策实施对地级市环境质量影响的稳健性检验结果：更换核心变量</w:t>
      </w:r>
    </w:p>
    <w:tbl>
      <w:tblPr>
        <w:tblStyle w:val="33"/>
        <w:tblW w:w="8622" w:type="dxa"/>
        <w:tblInd w:w="108" w:type="dxa"/>
        <w:tblLayout w:type="fixed"/>
        <w:tblCellMar>
          <w:top w:w="0" w:type="dxa"/>
          <w:left w:w="108" w:type="dxa"/>
          <w:bottom w:w="0" w:type="dxa"/>
          <w:right w:w="108" w:type="dxa"/>
        </w:tblCellMar>
      </w:tblPr>
      <w:tblGrid>
        <w:gridCol w:w="1569"/>
        <w:gridCol w:w="992"/>
        <w:gridCol w:w="992"/>
        <w:gridCol w:w="992"/>
        <w:gridCol w:w="992"/>
        <w:gridCol w:w="992"/>
        <w:gridCol w:w="994"/>
        <w:gridCol w:w="1099"/>
      </w:tblGrid>
      <w:tr>
        <w:tblPrEx>
          <w:tblLayout w:type="fixed"/>
          <w:tblCellMar>
            <w:top w:w="0" w:type="dxa"/>
            <w:left w:w="108" w:type="dxa"/>
            <w:bottom w:w="0" w:type="dxa"/>
            <w:right w:w="108" w:type="dxa"/>
          </w:tblCellMar>
        </w:tblPrEx>
        <w:trPr>
          <w:trHeight w:val="317" w:hRule="atLeast"/>
        </w:trPr>
        <w:tc>
          <w:tcPr>
            <w:tcW w:w="1569" w:type="dxa"/>
            <w:vMerge w:val="restart"/>
            <w:tcBorders>
              <w:top w:val="single" w:color="auto" w:sz="12" w:space="0"/>
              <w:left w:val="nil"/>
              <w:bottom w:val="single" w:color="000000"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变量</w:t>
            </w:r>
          </w:p>
        </w:tc>
        <w:tc>
          <w:tcPr>
            <w:tcW w:w="5954" w:type="dxa"/>
            <w:gridSpan w:val="6"/>
            <w:tcBorders>
              <w:top w:val="single" w:color="auto" w:sz="12"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更换解释变量</w:t>
            </w:r>
          </w:p>
        </w:tc>
        <w:tc>
          <w:tcPr>
            <w:tcW w:w="1099" w:type="dxa"/>
            <w:tcBorders>
              <w:top w:val="single" w:color="auto" w:sz="12" w:space="0"/>
              <w:left w:val="single" w:color="auto" w:sz="4" w:space="0"/>
              <w:bottom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更换被解释变量</w:t>
            </w:r>
          </w:p>
        </w:tc>
      </w:tr>
      <w:tr>
        <w:tblPrEx>
          <w:tblLayout w:type="fixed"/>
          <w:tblCellMar>
            <w:top w:w="0" w:type="dxa"/>
            <w:left w:w="108" w:type="dxa"/>
            <w:bottom w:w="0" w:type="dxa"/>
            <w:right w:w="108" w:type="dxa"/>
          </w:tblCellMar>
        </w:tblPrEx>
        <w:trPr>
          <w:trHeight w:val="317" w:hRule="atLeast"/>
        </w:trPr>
        <w:tc>
          <w:tcPr>
            <w:tcW w:w="1569" w:type="dxa"/>
            <w:vMerge w:val="continue"/>
            <w:tcBorders>
              <w:top w:val="single" w:color="auto" w:sz="4" w:space="0"/>
              <w:left w:val="nil"/>
              <w:bottom w:val="single" w:color="000000" w:sz="4" w:space="0"/>
              <w:right w:val="single" w:color="auto" w:sz="4" w:space="0"/>
            </w:tcBorders>
            <w:vAlign w:val="center"/>
          </w:tcPr>
          <w:p>
            <w:pPr>
              <w:widowControl/>
              <w:spacing w:line="300" w:lineRule="exact"/>
              <w:jc w:val="left"/>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细颗粒物浓度</w:t>
            </w:r>
          </w:p>
        </w:tc>
        <w:tc>
          <w:tcPr>
            <w:tcW w:w="992" w:type="dxa"/>
            <w:tcBorders>
              <w:top w:val="nil"/>
              <w:left w:val="single" w:color="auto" w:sz="4" w:space="0"/>
              <w:bottom w:val="nil"/>
              <w:right w:val="single" w:color="auto" w:sz="4" w:space="0"/>
            </w:tcBorders>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二氧化硫浓度</w:t>
            </w:r>
          </w:p>
        </w:tc>
        <w:tc>
          <w:tcPr>
            <w:tcW w:w="992" w:type="dxa"/>
            <w:tcBorders>
              <w:top w:val="nil"/>
              <w:left w:val="single" w:color="auto" w:sz="4" w:space="0"/>
              <w:bottom w:val="nil"/>
              <w:right w:val="single" w:color="auto" w:sz="4" w:space="0"/>
            </w:tcBorders>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一氧化碳浓度</w:t>
            </w:r>
          </w:p>
        </w:tc>
        <w:tc>
          <w:tcPr>
            <w:tcW w:w="992" w:type="dxa"/>
            <w:tcBorders>
              <w:top w:val="nil"/>
              <w:left w:val="single" w:color="auto" w:sz="4" w:space="0"/>
              <w:bottom w:val="nil"/>
              <w:right w:val="single" w:color="auto" w:sz="4" w:space="0"/>
            </w:tcBorders>
            <w:shd w:val="clear" w:color="auto" w:fill="auto"/>
            <w:noWrap/>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细颗粒物浓度</w:t>
            </w:r>
          </w:p>
        </w:tc>
        <w:tc>
          <w:tcPr>
            <w:tcW w:w="992" w:type="dxa"/>
            <w:tcBorders>
              <w:top w:val="nil"/>
              <w:left w:val="single" w:color="auto" w:sz="4" w:space="0"/>
              <w:bottom w:val="nil"/>
              <w:right w:val="single" w:color="auto" w:sz="4" w:space="0"/>
            </w:tcBorders>
            <w:shd w:val="clear" w:color="auto" w:fill="auto"/>
            <w:noWrap/>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二氧化硫浓度</w:t>
            </w:r>
          </w:p>
        </w:tc>
        <w:tc>
          <w:tcPr>
            <w:tcW w:w="994" w:type="dxa"/>
            <w:tcBorders>
              <w:top w:val="nil"/>
              <w:left w:val="single" w:color="auto" w:sz="4" w:space="0"/>
              <w:bottom w:val="nil"/>
              <w:right w:val="single" w:color="auto" w:sz="4" w:space="0"/>
            </w:tcBorders>
            <w:shd w:val="clear" w:color="auto" w:fill="auto"/>
            <w:noWrap/>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一氧化碳浓度</w:t>
            </w:r>
          </w:p>
        </w:tc>
        <w:tc>
          <w:tcPr>
            <w:tcW w:w="1099" w:type="dxa"/>
            <w:tcBorders>
              <w:top w:val="nil"/>
              <w:left w:val="single" w:color="auto" w:sz="4" w:space="0"/>
              <w:bottom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工业废水</w:t>
            </w:r>
          </w:p>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年排放量</w:t>
            </w:r>
          </w:p>
        </w:tc>
      </w:tr>
      <w:tr>
        <w:tblPrEx>
          <w:tblLayout w:type="fixed"/>
          <w:tblCellMar>
            <w:top w:w="0" w:type="dxa"/>
            <w:left w:w="108" w:type="dxa"/>
            <w:bottom w:w="0" w:type="dxa"/>
            <w:right w:w="108" w:type="dxa"/>
          </w:tblCellMar>
        </w:tblPrEx>
        <w:trPr>
          <w:trHeight w:val="317" w:hRule="atLeast"/>
        </w:trPr>
        <w:tc>
          <w:tcPr>
            <w:tcW w:w="1569" w:type="dxa"/>
            <w:vMerge w:val="continue"/>
            <w:tcBorders>
              <w:top w:val="single" w:color="auto" w:sz="4" w:space="0"/>
              <w:left w:val="nil"/>
              <w:bottom w:val="single" w:color="000000" w:sz="4" w:space="0"/>
              <w:right w:val="single" w:color="auto" w:sz="4" w:space="0"/>
            </w:tcBorders>
            <w:vAlign w:val="center"/>
          </w:tcPr>
          <w:p>
            <w:pPr>
              <w:widowControl/>
              <w:spacing w:line="300" w:lineRule="exact"/>
              <w:jc w:val="left"/>
              <w:rPr>
                <w:rFonts w:ascii="Times New Roman" w:hAnsi="Times New Roman" w:eastAsia="宋体" w:cs="Times New Roman"/>
                <w:color w:val="000000"/>
                <w:kern w:val="0"/>
                <w:sz w:val="18"/>
                <w:szCs w:val="18"/>
              </w:rPr>
            </w:pPr>
          </w:p>
        </w:tc>
        <w:tc>
          <w:tcPr>
            <w:tcW w:w="992"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1</w:t>
            </w:r>
          </w:p>
        </w:tc>
        <w:tc>
          <w:tcPr>
            <w:tcW w:w="992"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2</w:t>
            </w:r>
          </w:p>
        </w:tc>
        <w:tc>
          <w:tcPr>
            <w:tcW w:w="992"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3</w:t>
            </w:r>
          </w:p>
        </w:tc>
        <w:tc>
          <w:tcPr>
            <w:tcW w:w="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4</w:t>
            </w:r>
          </w:p>
        </w:tc>
        <w:tc>
          <w:tcPr>
            <w:tcW w:w="992"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5</w:t>
            </w:r>
          </w:p>
        </w:tc>
        <w:tc>
          <w:tcPr>
            <w:tcW w:w="994"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6</w:t>
            </w:r>
          </w:p>
        </w:tc>
        <w:tc>
          <w:tcPr>
            <w:tcW w:w="1099" w:type="dxa"/>
            <w:tcBorders>
              <w:top w:val="nil"/>
              <w:left w:val="single" w:color="auto" w:sz="4" w:space="0"/>
              <w:bottom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7</w:t>
            </w:r>
          </w:p>
        </w:tc>
      </w:tr>
      <w:tr>
        <w:tblPrEx>
          <w:tblLayout w:type="fixed"/>
          <w:tblCellMar>
            <w:top w:w="0" w:type="dxa"/>
            <w:left w:w="108" w:type="dxa"/>
            <w:bottom w:w="0" w:type="dxa"/>
            <w:right w:w="108" w:type="dxa"/>
          </w:tblCellMar>
        </w:tblPrEx>
        <w:trPr>
          <w:trHeight w:val="317" w:hRule="atLeast"/>
        </w:trPr>
        <w:tc>
          <w:tcPr>
            <w:tcW w:w="1569" w:type="dxa"/>
            <w:vMerge w:val="restart"/>
            <w:tcBorders>
              <w:top w:val="nil"/>
              <w:left w:val="nil"/>
              <w:right w:val="single" w:color="auto" w:sz="4" w:space="0"/>
            </w:tcBorders>
            <w:shd w:val="clear" w:color="auto" w:fill="auto"/>
            <w:noWrap/>
            <w:vAlign w:val="center"/>
          </w:tcPr>
          <w:p>
            <w:pPr>
              <w:widowControl/>
              <w:spacing w:line="300" w:lineRule="exact"/>
              <w:jc w:val="left"/>
              <w:rPr>
                <w:rFonts w:hint="eastAsia" w:ascii="Times New Roman" w:hAnsi="Times New Roman" w:eastAsia="宋体" w:cs="Times New Roman"/>
                <w:color w:val="000000"/>
                <w:sz w:val="18"/>
                <w:szCs w:val="18"/>
              </w:rPr>
            </w:pPr>
            <w:r>
              <w:rPr>
                <w:rFonts w:ascii="Times New Roman" w:hAnsi="Times New Roman" w:eastAsia="宋体" w:cs="Times New Roman"/>
                <w:color w:val="000000"/>
                <w:sz w:val="18"/>
                <w:szCs w:val="18"/>
              </w:rPr>
              <w:t>增值税依赖度</w:t>
            </w:r>
            <w:r>
              <w:rPr>
                <w:rFonts w:hint="eastAsia" w:ascii="Times New Roman" w:hAnsi="Times New Roman" w:eastAsia="宋体" w:cs="Times New Roman"/>
                <w:color w:val="000000"/>
                <w:sz w:val="18"/>
                <w:szCs w:val="18"/>
              </w:rPr>
              <w:t>×</w:t>
            </w:r>
          </w:p>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政策实施年份</w:t>
            </w: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1099" w:type="dxa"/>
            <w:tcBorders>
              <w:top w:val="nil"/>
              <w:left w:val="single" w:color="auto" w:sz="4" w:space="0"/>
              <w:bottom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−0.360</w:t>
            </w:r>
            <w:r>
              <w:rPr>
                <w:rFonts w:ascii="Times New Roman" w:hAnsi="Times New Roman" w:eastAsia="宋体" w:cs="Times New Roman"/>
                <w:color w:val="000000"/>
                <w:kern w:val="0"/>
                <w:sz w:val="18"/>
                <w:szCs w:val="18"/>
                <w:vertAlign w:val="superscript"/>
              </w:rPr>
              <w:t>*</w:t>
            </w:r>
          </w:p>
        </w:tc>
      </w:tr>
      <w:tr>
        <w:tblPrEx>
          <w:tblLayout w:type="fixed"/>
          <w:tblCellMar>
            <w:top w:w="0" w:type="dxa"/>
            <w:left w:w="108" w:type="dxa"/>
            <w:bottom w:w="0" w:type="dxa"/>
            <w:right w:w="108" w:type="dxa"/>
          </w:tblCellMar>
        </w:tblPrEx>
        <w:trPr>
          <w:trHeight w:val="317" w:hRule="atLeast"/>
        </w:trPr>
        <w:tc>
          <w:tcPr>
            <w:tcW w:w="1569" w:type="dxa"/>
            <w:vMerge w:val="continue"/>
            <w:tcBorders>
              <w:left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1099" w:type="dxa"/>
            <w:tcBorders>
              <w:top w:val="nil"/>
              <w:left w:val="single" w:color="auto" w:sz="4" w:space="0"/>
              <w:bottom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0.213</w:t>
            </w:r>
            <w:r>
              <w:rPr>
                <w:rFonts w:hint="eastAsia" w:ascii="Times New Roman" w:hAnsi="Times New Roman" w:eastAsia="宋体" w:cs="Times New Roman"/>
                <w:color w:val="000000"/>
                <w:kern w:val="0"/>
                <w:sz w:val="18"/>
                <w:szCs w:val="18"/>
              </w:rPr>
              <w:t>）</w:t>
            </w:r>
          </w:p>
        </w:tc>
      </w:tr>
      <w:tr>
        <w:tblPrEx>
          <w:tblLayout w:type="fixed"/>
          <w:tblCellMar>
            <w:top w:w="0" w:type="dxa"/>
            <w:left w:w="108" w:type="dxa"/>
            <w:bottom w:w="0" w:type="dxa"/>
            <w:right w:w="108" w:type="dxa"/>
          </w:tblCellMar>
        </w:tblPrEx>
        <w:trPr>
          <w:trHeight w:val="317" w:hRule="atLeast"/>
        </w:trPr>
        <w:tc>
          <w:tcPr>
            <w:tcW w:w="1569" w:type="dxa"/>
            <w:vMerge w:val="restart"/>
            <w:tcBorders>
              <w:top w:val="nil"/>
              <w:left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新</w:t>
            </w:r>
            <w:r>
              <w:rPr>
                <w:rFonts w:ascii="Times New Roman" w:hAnsi="Times New Roman" w:eastAsia="宋体" w:cs="Times New Roman"/>
                <w:color w:val="000000"/>
                <w:sz w:val="18"/>
                <w:szCs w:val="18"/>
              </w:rPr>
              <w:t>增值税依赖度</w:t>
            </w:r>
            <w:r>
              <w:rPr>
                <w:rFonts w:hint="eastAsia" w:ascii="Times New Roman" w:hAnsi="Times New Roman" w:eastAsia="宋体" w:cs="Times New Roman"/>
                <w:color w:val="000000"/>
                <w:sz w:val="18"/>
                <w:szCs w:val="18"/>
              </w:rPr>
              <w:t>×</w:t>
            </w:r>
            <w:r>
              <w:rPr>
                <w:rFonts w:hint="eastAsia" w:ascii="Times New Roman" w:hAnsi="Times New Roman" w:eastAsia="宋体" w:cs="Times New Roman"/>
                <w:color w:val="000000"/>
                <w:kern w:val="0"/>
                <w:sz w:val="18"/>
                <w:szCs w:val="18"/>
              </w:rPr>
              <w:t>政策实施年份</w:t>
            </w: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−0.102</w:t>
            </w:r>
            <w:r>
              <w:rPr>
                <w:rFonts w:ascii="Times New Roman" w:hAnsi="Times New Roman" w:eastAsia="宋体" w:cs="Times New Roman"/>
                <w:color w:val="000000"/>
                <w:kern w:val="0"/>
                <w:sz w:val="18"/>
                <w:szCs w:val="18"/>
                <w:vertAlign w:val="superscript"/>
              </w:rPr>
              <w:t>*</w:t>
            </w: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−0.390</w:t>
            </w:r>
            <w:r>
              <w:rPr>
                <w:rFonts w:ascii="Times New Roman" w:hAnsi="Times New Roman" w:eastAsia="宋体" w:cs="Times New Roman"/>
                <w:color w:val="000000"/>
                <w:kern w:val="0"/>
                <w:sz w:val="18"/>
                <w:szCs w:val="18"/>
                <w:vertAlign w:val="superscript"/>
              </w:rPr>
              <w:t>***</w:t>
            </w: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−0.009</w:t>
            </w:r>
            <w:r>
              <w:rPr>
                <w:rFonts w:ascii="Times New Roman" w:hAnsi="Times New Roman" w:eastAsia="宋体" w:cs="Times New Roman"/>
                <w:color w:val="000000"/>
                <w:kern w:val="0"/>
                <w:sz w:val="18"/>
                <w:szCs w:val="18"/>
                <w:vertAlign w:val="superscript"/>
              </w:rPr>
              <w:t>***</w:t>
            </w: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1099" w:type="dxa"/>
            <w:tcBorders>
              <w:top w:val="nil"/>
              <w:left w:val="single" w:color="auto" w:sz="4" w:space="0"/>
              <w:bottom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trPr>
        <w:tc>
          <w:tcPr>
            <w:tcW w:w="1569" w:type="dxa"/>
            <w:vMerge w:val="continue"/>
            <w:tcBorders>
              <w:left w:val="nil"/>
              <w:bottom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0.058</w:t>
            </w:r>
            <w:r>
              <w:rPr>
                <w:rFonts w:hint="eastAsia" w:ascii="Times New Roman" w:hAnsi="Times New Roman" w:eastAsia="宋体" w:cs="Times New Roman"/>
                <w:color w:val="000000"/>
                <w:kern w:val="0"/>
                <w:sz w:val="18"/>
                <w:szCs w:val="18"/>
              </w:rPr>
              <w:t>）</w:t>
            </w: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0.067</w:t>
            </w:r>
            <w:r>
              <w:rPr>
                <w:rFonts w:hint="eastAsia" w:ascii="Times New Roman" w:hAnsi="Times New Roman" w:eastAsia="宋体" w:cs="Times New Roman"/>
                <w:color w:val="000000"/>
                <w:kern w:val="0"/>
                <w:sz w:val="18"/>
                <w:szCs w:val="18"/>
              </w:rPr>
              <w:t>）</w:t>
            </w:r>
          </w:p>
        </w:tc>
        <w:tc>
          <w:tcPr>
            <w:tcW w:w="992" w:type="dxa"/>
            <w:tcBorders>
              <w:top w:val="nil"/>
              <w:left w:val="single" w:color="auto" w:sz="4" w:space="0"/>
              <w:bottom w:val="nil"/>
              <w:right w:val="single" w:color="auto" w:sz="4" w:space="0"/>
            </w:tcBorders>
            <w:shd w:val="clear" w:color="auto" w:fill="auto"/>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0.001</w:t>
            </w:r>
            <w:r>
              <w:rPr>
                <w:rFonts w:hint="eastAsia" w:ascii="Times New Roman" w:hAnsi="Times New Roman" w:eastAsia="宋体" w:cs="Times New Roman"/>
                <w:color w:val="000000"/>
                <w:kern w:val="0"/>
                <w:sz w:val="18"/>
                <w:szCs w:val="18"/>
              </w:rPr>
              <w:t>）</w:t>
            </w: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9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1099" w:type="dxa"/>
            <w:tcBorders>
              <w:top w:val="nil"/>
              <w:left w:val="single" w:color="auto" w:sz="4" w:space="0"/>
              <w:bottom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trPr>
        <w:tc>
          <w:tcPr>
            <w:tcW w:w="1569" w:type="dxa"/>
            <w:vMerge w:val="restart"/>
            <w:tcBorders>
              <w:top w:val="nil"/>
              <w:left w:val="nil"/>
              <w:right w:val="single" w:color="auto" w:sz="4" w:space="0"/>
            </w:tcBorders>
            <w:shd w:val="clear" w:color="auto" w:fill="auto"/>
            <w:noWrap/>
            <w:vAlign w:val="center"/>
          </w:tcPr>
          <w:p>
            <w:pPr>
              <w:widowControl/>
              <w:spacing w:line="300" w:lineRule="exact"/>
              <w:jc w:val="left"/>
              <w:rPr>
                <w:rFonts w:hint="eastAsia"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分组变量×</w:t>
            </w:r>
            <w:r>
              <w:rPr>
                <w:rFonts w:hint="eastAsia" w:ascii="Times New Roman" w:hAnsi="Times New Roman" w:eastAsia="宋体" w:cs="Times New Roman"/>
                <w:color w:val="000000"/>
                <w:kern w:val="0"/>
                <w:sz w:val="18"/>
                <w:szCs w:val="18"/>
              </w:rPr>
              <w:t>政策</w:t>
            </w:r>
          </w:p>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实施年份</w:t>
            </w: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−1.706</w:t>
            </w:r>
            <w:r>
              <w:rPr>
                <w:rFonts w:ascii="Times New Roman" w:hAnsi="Times New Roman" w:eastAsia="宋体" w:cs="Times New Roman"/>
                <w:color w:val="000000"/>
                <w:kern w:val="0"/>
                <w:sz w:val="18"/>
                <w:szCs w:val="18"/>
                <w:vertAlign w:val="superscript"/>
              </w:rPr>
              <w:t>*</w:t>
            </w: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−4.828</w:t>
            </w:r>
            <w:r>
              <w:rPr>
                <w:rFonts w:ascii="Times New Roman" w:hAnsi="Times New Roman" w:eastAsia="宋体" w:cs="Times New Roman"/>
                <w:color w:val="000000"/>
                <w:kern w:val="0"/>
                <w:sz w:val="18"/>
                <w:szCs w:val="18"/>
                <w:vertAlign w:val="superscript"/>
              </w:rPr>
              <w:t>***</w:t>
            </w:r>
          </w:p>
        </w:tc>
        <w:tc>
          <w:tcPr>
            <w:tcW w:w="99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−0.060</w:t>
            </w:r>
            <w:r>
              <w:rPr>
                <w:rFonts w:ascii="Times New Roman" w:hAnsi="Times New Roman" w:eastAsia="宋体" w:cs="Times New Roman"/>
                <w:color w:val="000000"/>
                <w:kern w:val="0"/>
                <w:sz w:val="18"/>
                <w:szCs w:val="18"/>
                <w:vertAlign w:val="superscript"/>
              </w:rPr>
              <w:t>**</w:t>
            </w:r>
          </w:p>
        </w:tc>
        <w:tc>
          <w:tcPr>
            <w:tcW w:w="1099" w:type="dxa"/>
            <w:tcBorders>
              <w:top w:val="nil"/>
              <w:left w:val="single" w:color="auto" w:sz="4" w:space="0"/>
              <w:bottom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trPr>
        <w:tc>
          <w:tcPr>
            <w:tcW w:w="1569" w:type="dxa"/>
            <w:vMerge w:val="continue"/>
            <w:tcBorders>
              <w:left w:val="nil"/>
              <w:bottom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0.946</w:t>
            </w:r>
            <w:r>
              <w:rPr>
                <w:rFonts w:hint="eastAsia" w:ascii="Times New Roman" w:hAnsi="Times New Roman" w:eastAsia="宋体" w:cs="Times New Roman"/>
                <w:color w:val="000000"/>
                <w:kern w:val="0"/>
                <w:sz w:val="18"/>
                <w:szCs w:val="18"/>
              </w:rPr>
              <w:t>）</w:t>
            </w:r>
          </w:p>
        </w:tc>
        <w:tc>
          <w:tcPr>
            <w:tcW w:w="992"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1.061</w:t>
            </w:r>
            <w:r>
              <w:rPr>
                <w:rFonts w:hint="eastAsia" w:ascii="Times New Roman" w:hAnsi="Times New Roman" w:eastAsia="宋体" w:cs="Times New Roman"/>
                <w:color w:val="000000"/>
                <w:kern w:val="0"/>
                <w:sz w:val="18"/>
                <w:szCs w:val="18"/>
              </w:rPr>
              <w:t>）</w:t>
            </w:r>
          </w:p>
        </w:tc>
        <w:tc>
          <w:tcPr>
            <w:tcW w:w="99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0.026</w:t>
            </w:r>
            <w:r>
              <w:rPr>
                <w:rFonts w:hint="eastAsia" w:ascii="Times New Roman" w:hAnsi="Times New Roman" w:eastAsia="宋体" w:cs="Times New Roman"/>
                <w:color w:val="000000"/>
                <w:kern w:val="0"/>
                <w:sz w:val="18"/>
                <w:szCs w:val="18"/>
              </w:rPr>
              <w:t>）</w:t>
            </w:r>
          </w:p>
        </w:tc>
        <w:tc>
          <w:tcPr>
            <w:tcW w:w="1099" w:type="dxa"/>
            <w:tcBorders>
              <w:top w:val="nil"/>
              <w:left w:val="single" w:color="auto" w:sz="4" w:space="0"/>
              <w:bottom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trPr>
        <w:tc>
          <w:tcPr>
            <w:tcW w:w="1569" w:type="dxa"/>
            <w:tcBorders>
              <w:top w:val="nil"/>
              <w:left w:val="nil"/>
              <w:bottom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控制变量</w:t>
            </w: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nil"/>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nil"/>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nil"/>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4" w:type="dxa"/>
            <w:tcBorders>
              <w:top w:val="nil"/>
              <w:left w:val="single" w:color="auto" w:sz="4" w:space="0"/>
              <w:bottom w:val="nil"/>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099" w:type="dxa"/>
            <w:tcBorders>
              <w:top w:val="nil"/>
              <w:left w:val="single" w:color="auto" w:sz="4" w:space="0"/>
              <w:bottom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Layout w:type="fixed"/>
          <w:tblCellMar>
            <w:top w:w="0" w:type="dxa"/>
            <w:left w:w="108" w:type="dxa"/>
            <w:bottom w:w="0" w:type="dxa"/>
            <w:right w:w="108" w:type="dxa"/>
          </w:tblCellMar>
        </w:tblPrEx>
        <w:trPr>
          <w:trHeight w:val="317" w:hRule="atLeast"/>
        </w:trPr>
        <w:tc>
          <w:tcPr>
            <w:tcW w:w="1569" w:type="dxa"/>
            <w:tcBorders>
              <w:top w:val="nil"/>
              <w:left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年份固定效应</w:t>
            </w:r>
          </w:p>
        </w:tc>
        <w:tc>
          <w:tcPr>
            <w:tcW w:w="992" w:type="dxa"/>
            <w:tcBorders>
              <w:top w:val="nil"/>
              <w:left w:val="single" w:color="auto" w:sz="4" w:space="0"/>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right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right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4" w:type="dxa"/>
            <w:tcBorders>
              <w:top w:val="nil"/>
              <w:left w:val="single" w:color="auto" w:sz="4" w:space="0"/>
              <w:right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099" w:type="dxa"/>
            <w:tcBorders>
              <w:top w:val="nil"/>
              <w:left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Layout w:type="fixed"/>
          <w:tblCellMar>
            <w:top w:w="0" w:type="dxa"/>
            <w:left w:w="108" w:type="dxa"/>
            <w:bottom w:w="0" w:type="dxa"/>
            <w:right w:w="108" w:type="dxa"/>
          </w:tblCellMar>
        </w:tblPrEx>
        <w:trPr>
          <w:trHeight w:val="317" w:hRule="atLeast"/>
        </w:trPr>
        <w:tc>
          <w:tcPr>
            <w:tcW w:w="1569" w:type="dxa"/>
            <w:tcBorders>
              <w:top w:val="nil"/>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地级市固定效应</w:t>
            </w:r>
          </w:p>
        </w:tc>
        <w:tc>
          <w:tcPr>
            <w:tcW w:w="992" w:type="dxa"/>
            <w:tcBorders>
              <w:top w:val="nil"/>
              <w:left w:val="single" w:color="auto" w:sz="4" w:space="0"/>
              <w:bottom w:val="single" w:color="auto" w:sz="4" w:space="0"/>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single" w:color="auto" w:sz="4" w:space="0"/>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single" w:color="auto" w:sz="4" w:space="0"/>
              <w:right w:val="single" w:color="auto" w:sz="4" w:space="0"/>
            </w:tcBorders>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single" w:color="auto" w:sz="4" w:space="0"/>
              <w:right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2" w:type="dxa"/>
            <w:tcBorders>
              <w:top w:val="nil"/>
              <w:left w:val="single" w:color="auto" w:sz="4" w:space="0"/>
              <w:bottom w:val="single" w:color="auto" w:sz="4" w:space="0"/>
              <w:right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94" w:type="dxa"/>
            <w:tcBorders>
              <w:top w:val="nil"/>
              <w:left w:val="single" w:color="auto" w:sz="4" w:space="0"/>
              <w:bottom w:val="single" w:color="auto" w:sz="4" w:space="0"/>
              <w:right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099" w:type="dxa"/>
            <w:tcBorders>
              <w:top w:val="nil"/>
              <w:left w:val="single" w:color="auto" w:sz="4" w:space="0"/>
              <w:bottom w:val="single" w:color="auto" w:sz="4" w:space="0"/>
            </w:tcBorders>
            <w:shd w:val="clear" w:color="auto" w:fill="auto"/>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Layout w:type="fixed"/>
          <w:tblCellMar>
            <w:top w:w="0" w:type="dxa"/>
            <w:left w:w="108" w:type="dxa"/>
            <w:bottom w:w="0" w:type="dxa"/>
            <w:right w:w="108" w:type="dxa"/>
          </w:tblCellMar>
        </w:tblPrEx>
        <w:trPr>
          <w:trHeight w:val="317" w:hRule="atLeast"/>
        </w:trPr>
        <w:tc>
          <w:tcPr>
            <w:tcW w:w="1569" w:type="dxa"/>
            <w:tcBorders>
              <w:top w:val="single" w:color="auto" w:sz="4" w:space="0"/>
              <w:left w:val="nil"/>
              <w:bottom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观测值</w:t>
            </w:r>
          </w:p>
        </w:tc>
        <w:tc>
          <w:tcPr>
            <w:tcW w:w="992" w:type="dxa"/>
            <w:tcBorders>
              <w:top w:val="single" w:color="auto" w:sz="4" w:space="0"/>
              <w:left w:val="single" w:color="auto" w:sz="4" w:space="0"/>
              <w:bottom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992" w:type="dxa"/>
            <w:tcBorders>
              <w:top w:val="single" w:color="auto" w:sz="4" w:space="0"/>
              <w:left w:val="single" w:color="auto" w:sz="4" w:space="0"/>
              <w:bottom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992" w:type="dxa"/>
            <w:tcBorders>
              <w:top w:val="single" w:color="auto" w:sz="4" w:space="0"/>
              <w:left w:val="single" w:color="auto" w:sz="4" w:space="0"/>
              <w:bottom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992" w:type="dxa"/>
            <w:tcBorders>
              <w:top w:val="single" w:color="auto" w:sz="4" w:space="0"/>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992" w:type="dxa"/>
            <w:tcBorders>
              <w:top w:val="single" w:color="auto" w:sz="4" w:space="0"/>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994" w:type="dxa"/>
            <w:tcBorders>
              <w:top w:val="single" w:color="auto" w:sz="4" w:space="0"/>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1099" w:type="dxa"/>
            <w:tcBorders>
              <w:top w:val="single" w:color="auto" w:sz="4" w:space="0"/>
              <w:left w:val="single" w:color="auto" w:sz="4" w:space="0"/>
              <w:bottom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986</w:t>
            </w:r>
          </w:p>
        </w:tc>
      </w:tr>
      <w:tr>
        <w:tblPrEx>
          <w:tblLayout w:type="fixed"/>
          <w:tblCellMar>
            <w:top w:w="0" w:type="dxa"/>
            <w:left w:w="108" w:type="dxa"/>
            <w:bottom w:w="0" w:type="dxa"/>
            <w:right w:w="108" w:type="dxa"/>
          </w:tblCellMar>
        </w:tblPrEx>
        <w:trPr>
          <w:trHeight w:val="317" w:hRule="atLeast"/>
        </w:trPr>
        <w:tc>
          <w:tcPr>
            <w:tcW w:w="1569" w:type="dxa"/>
            <w:tcBorders>
              <w:top w:val="nil"/>
              <w:left w:val="nil"/>
              <w:bottom w:val="single" w:color="auto" w:sz="12" w:space="0"/>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R</w:t>
            </w:r>
            <w:r>
              <w:rPr>
                <w:rFonts w:ascii="Times New Roman" w:hAnsi="Times New Roman" w:eastAsia="宋体" w:cs="Times New Roman"/>
                <w:color w:val="000000"/>
                <w:kern w:val="0"/>
                <w:sz w:val="18"/>
                <w:szCs w:val="18"/>
                <w:vertAlign w:val="superscript"/>
              </w:rPr>
              <w:t>2</w:t>
            </w:r>
            <w:r>
              <w:rPr>
                <w:rFonts w:hint="eastAsia" w:ascii="Times New Roman" w:hAnsi="Times New Roman" w:eastAsia="宋体" w:cs="Times New Roman"/>
                <w:color w:val="000000"/>
                <w:kern w:val="0"/>
                <w:sz w:val="18"/>
                <w:szCs w:val="18"/>
              </w:rPr>
              <w:t>值</w:t>
            </w:r>
          </w:p>
        </w:tc>
        <w:tc>
          <w:tcPr>
            <w:tcW w:w="992" w:type="dxa"/>
            <w:tcBorders>
              <w:top w:val="nil"/>
              <w:left w:val="single" w:color="auto" w:sz="4" w:space="0"/>
              <w:bottom w:val="single" w:color="auto" w:sz="12"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0.917</w:t>
            </w:r>
          </w:p>
        </w:tc>
        <w:tc>
          <w:tcPr>
            <w:tcW w:w="992" w:type="dxa"/>
            <w:tcBorders>
              <w:top w:val="nil"/>
              <w:left w:val="single" w:color="auto" w:sz="4" w:space="0"/>
              <w:bottom w:val="single" w:color="auto" w:sz="12"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0.830</w:t>
            </w:r>
          </w:p>
        </w:tc>
        <w:tc>
          <w:tcPr>
            <w:tcW w:w="992" w:type="dxa"/>
            <w:tcBorders>
              <w:top w:val="nil"/>
              <w:left w:val="single" w:color="auto" w:sz="4" w:space="0"/>
              <w:bottom w:val="single" w:color="auto" w:sz="12"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0.842</w:t>
            </w:r>
          </w:p>
        </w:tc>
        <w:tc>
          <w:tcPr>
            <w:tcW w:w="992" w:type="dxa"/>
            <w:tcBorders>
              <w:top w:val="nil"/>
              <w:left w:val="single" w:color="auto" w:sz="4" w:space="0"/>
              <w:bottom w:val="single" w:color="auto" w:sz="12"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0.918</w:t>
            </w:r>
          </w:p>
        </w:tc>
        <w:tc>
          <w:tcPr>
            <w:tcW w:w="992" w:type="dxa"/>
            <w:tcBorders>
              <w:top w:val="nil"/>
              <w:left w:val="single" w:color="auto" w:sz="4" w:space="0"/>
              <w:bottom w:val="single" w:color="auto" w:sz="12"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0.828</w:t>
            </w:r>
          </w:p>
        </w:tc>
        <w:tc>
          <w:tcPr>
            <w:tcW w:w="994" w:type="dxa"/>
            <w:tcBorders>
              <w:top w:val="nil"/>
              <w:left w:val="single" w:color="auto" w:sz="4" w:space="0"/>
              <w:bottom w:val="single" w:color="auto" w:sz="12"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0.836</w:t>
            </w:r>
          </w:p>
        </w:tc>
        <w:tc>
          <w:tcPr>
            <w:tcW w:w="1099" w:type="dxa"/>
            <w:tcBorders>
              <w:top w:val="nil"/>
              <w:left w:val="single" w:color="auto" w:sz="4" w:space="0"/>
              <w:bottom w:val="single" w:color="auto" w:sz="12"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0.878</w:t>
            </w:r>
          </w:p>
        </w:tc>
      </w:tr>
    </w:tbl>
    <w:p>
      <w:pPr>
        <w:ind w:left="168" w:leftChars="86" w:firstLine="332" w:firstLineChars="200"/>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注：</w:t>
      </w:r>
      <w:r>
        <w:rPr>
          <w:rFonts w:hint="eastAsia" w:ascii="宋体" w:hAnsi="宋体" w:eastAsia="宋体" w:cs="宋体"/>
          <w:color w:val="000000"/>
          <w:sz w:val="18"/>
          <w:szCs w:val="18"/>
        </w:rPr>
        <w:t>①</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和</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分别表示</w:t>
      </w:r>
      <w:r>
        <w:rPr>
          <w:rFonts w:ascii="Times New Roman" w:hAnsi="Times New Roman" w:eastAsia="宋体" w:cs="Times New Roman"/>
          <w:color w:val="000000"/>
          <w:sz w:val="18"/>
          <w:szCs w:val="18"/>
        </w:rPr>
        <w:t>1%</w:t>
      </w: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5%</w:t>
      </w:r>
      <w:r>
        <w:rPr>
          <w:rFonts w:hint="eastAsia" w:ascii="Times New Roman" w:hAnsi="Times New Roman" w:eastAsia="宋体" w:cs="Times New Roman"/>
          <w:color w:val="000000"/>
          <w:sz w:val="18"/>
          <w:szCs w:val="18"/>
        </w:rPr>
        <w:t>和</w:t>
      </w:r>
      <w:r>
        <w:rPr>
          <w:rFonts w:ascii="Times New Roman" w:hAnsi="Times New Roman" w:eastAsia="宋体" w:cs="Times New Roman"/>
          <w:color w:val="000000"/>
          <w:sz w:val="18"/>
          <w:szCs w:val="18"/>
        </w:rPr>
        <w:t>10%</w:t>
      </w:r>
      <w:r>
        <w:rPr>
          <w:rFonts w:hint="eastAsia" w:ascii="Times New Roman" w:hAnsi="Times New Roman" w:eastAsia="宋体" w:cs="Times New Roman"/>
          <w:color w:val="000000"/>
          <w:sz w:val="18"/>
          <w:szCs w:val="18"/>
        </w:rPr>
        <w:t>的显著性水平；②括号内为聚类到地级市层面的标准误；③控制变量同</w:t>
      </w:r>
      <w:r>
        <w:rPr>
          <w:rFonts w:hint="eastAsia" w:ascii="Times New Roman" w:hAnsi="Times New Roman" w:eastAsia="宋体" w:cs="Times New Roman"/>
          <w:sz w:val="18"/>
          <w:szCs w:val="18"/>
        </w:rPr>
        <w:t>正文中的</w:t>
      </w:r>
      <w:r>
        <w:rPr>
          <w:rFonts w:hint="eastAsia" w:ascii="Times New Roman" w:hAnsi="Times New Roman" w:eastAsia="宋体" w:cs="Times New Roman"/>
          <w:color w:val="000000"/>
          <w:sz w:val="18"/>
          <w:szCs w:val="18"/>
        </w:rPr>
        <w:t>表</w:t>
      </w:r>
      <w:r>
        <w:rPr>
          <w:rFonts w:ascii="Times New Roman" w:hAnsi="Times New Roman" w:eastAsia="宋体" w:cs="Times New Roman"/>
          <w:color w:val="000000"/>
          <w:sz w:val="18"/>
          <w:szCs w:val="18"/>
        </w:rPr>
        <w:t>2</w:t>
      </w:r>
      <w:r>
        <w:rPr>
          <w:rFonts w:hint="eastAsia" w:ascii="Times New Roman" w:hAnsi="Times New Roman" w:eastAsia="宋体" w:cs="Times New Roman"/>
          <w:color w:val="000000"/>
          <w:sz w:val="18"/>
          <w:szCs w:val="18"/>
        </w:rPr>
        <w:t>。</w:t>
      </w:r>
    </w:p>
    <w:p>
      <w:pPr>
        <w:spacing w:line="240" w:lineRule="atLeast"/>
        <w:ind w:firstLine="332" w:firstLineChars="200"/>
        <w:jc w:val="left"/>
        <w:rPr>
          <w:rFonts w:ascii="Times New Roman" w:hAnsi="Times New Roman" w:eastAsia="黑体" w:cs="Times New Roman"/>
          <w:bCs/>
          <w:color w:val="000000"/>
          <w:sz w:val="18"/>
          <w:szCs w:val="18"/>
        </w:rPr>
      </w:pPr>
    </w:p>
    <w:p>
      <w:pPr>
        <w:spacing w:line="240" w:lineRule="atLeast"/>
        <w:ind w:firstLine="332" w:firstLineChars="200"/>
        <w:jc w:val="left"/>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附表2</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以</w:t>
      </w:r>
      <w:r>
        <w:rPr>
          <w:rFonts w:ascii="Times New Roman" w:hAnsi="Times New Roman" w:eastAsia="黑体" w:cs="Times New Roman"/>
          <w:bCs/>
          <w:color w:val="000000"/>
          <w:sz w:val="18"/>
          <w:szCs w:val="18"/>
        </w:rPr>
        <w:t>2017</w:t>
      </w:r>
      <w:r>
        <w:rPr>
          <w:rFonts w:hint="eastAsia" w:ascii="Times New Roman" w:hAnsi="Times New Roman" w:eastAsia="黑体" w:cs="Times New Roman"/>
          <w:bCs/>
          <w:color w:val="000000"/>
          <w:sz w:val="18"/>
          <w:szCs w:val="18"/>
        </w:rPr>
        <w:t>年增值税依赖度平均值作为标准划分实验组和控制组的稳健性检验估计结果</w:t>
      </w:r>
    </w:p>
    <w:tbl>
      <w:tblPr>
        <w:tblStyle w:val="33"/>
        <w:tblW w:w="8528" w:type="dxa"/>
        <w:jc w:val="center"/>
        <w:tblInd w:w="0" w:type="dxa"/>
        <w:tblLayout w:type="fixed"/>
        <w:tblCellMar>
          <w:top w:w="0" w:type="dxa"/>
          <w:left w:w="108" w:type="dxa"/>
          <w:bottom w:w="0" w:type="dxa"/>
          <w:right w:w="108" w:type="dxa"/>
        </w:tblCellMar>
      </w:tblPr>
      <w:tblGrid>
        <w:gridCol w:w="2516"/>
        <w:gridCol w:w="2004"/>
        <w:gridCol w:w="2004"/>
        <w:gridCol w:w="2004"/>
      </w:tblGrid>
      <w:tr>
        <w:tblPrEx>
          <w:tblLayout w:type="fixed"/>
          <w:tblCellMar>
            <w:top w:w="0" w:type="dxa"/>
            <w:left w:w="108" w:type="dxa"/>
            <w:bottom w:w="0" w:type="dxa"/>
            <w:right w:w="108" w:type="dxa"/>
          </w:tblCellMar>
        </w:tblPrEx>
        <w:trPr>
          <w:trHeight w:val="318" w:hRule="exact"/>
          <w:jc w:val="center"/>
        </w:trPr>
        <w:tc>
          <w:tcPr>
            <w:tcW w:w="2516" w:type="dxa"/>
            <w:vMerge w:val="restart"/>
            <w:tcBorders>
              <w:top w:val="single" w:color="auto" w:sz="12" w:space="0"/>
              <w:left w:val="nil"/>
              <w:bottom w:val="single" w:color="000000"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变量</w:t>
            </w:r>
          </w:p>
        </w:tc>
        <w:tc>
          <w:tcPr>
            <w:tcW w:w="2004" w:type="dxa"/>
            <w:tcBorders>
              <w:top w:val="single" w:color="auto" w:sz="12" w:space="0"/>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细颗粒物浓度</w:t>
            </w:r>
          </w:p>
        </w:tc>
        <w:tc>
          <w:tcPr>
            <w:tcW w:w="2004" w:type="dxa"/>
            <w:tcBorders>
              <w:top w:val="single" w:color="auto" w:sz="12" w:space="0"/>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二氧化硫浓度</w:t>
            </w:r>
          </w:p>
        </w:tc>
        <w:tc>
          <w:tcPr>
            <w:tcW w:w="2004" w:type="dxa"/>
            <w:tcBorders>
              <w:top w:val="single" w:color="auto" w:sz="12" w:space="0"/>
              <w:left w:val="single" w:color="auto" w:sz="4" w:space="0"/>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一氧化碳浓度</w:t>
            </w:r>
          </w:p>
        </w:tc>
      </w:tr>
      <w:tr>
        <w:tblPrEx>
          <w:tblLayout w:type="fixed"/>
          <w:tblCellMar>
            <w:top w:w="0" w:type="dxa"/>
            <w:left w:w="108" w:type="dxa"/>
            <w:bottom w:w="0" w:type="dxa"/>
            <w:right w:w="108" w:type="dxa"/>
          </w:tblCellMar>
        </w:tblPrEx>
        <w:trPr>
          <w:trHeight w:val="318" w:hRule="exact"/>
          <w:jc w:val="center"/>
        </w:trPr>
        <w:tc>
          <w:tcPr>
            <w:tcW w:w="2516" w:type="dxa"/>
            <w:vMerge w:val="continue"/>
            <w:tcBorders>
              <w:top w:val="single" w:color="auto" w:sz="4" w:space="0"/>
              <w:left w:val="nil"/>
              <w:bottom w:val="single" w:color="000000" w:sz="4" w:space="0"/>
              <w:right w:val="single" w:color="auto" w:sz="4" w:space="0"/>
            </w:tcBorders>
            <w:vAlign w:val="center"/>
          </w:tcPr>
          <w:p>
            <w:pPr>
              <w:widowControl/>
              <w:spacing w:line="300" w:lineRule="exact"/>
              <w:jc w:val="left"/>
              <w:rPr>
                <w:rFonts w:ascii="Times New Roman" w:hAnsi="Times New Roman" w:eastAsia="宋体" w:cs="Times New Roman"/>
                <w:color w:val="000000"/>
                <w:kern w:val="0"/>
                <w:sz w:val="18"/>
                <w:szCs w:val="18"/>
              </w:rPr>
            </w:pPr>
          </w:p>
        </w:tc>
        <w:tc>
          <w:tcPr>
            <w:tcW w:w="2004"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1</w:t>
            </w:r>
          </w:p>
        </w:tc>
        <w:tc>
          <w:tcPr>
            <w:tcW w:w="2004"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2</w:t>
            </w:r>
          </w:p>
        </w:tc>
        <w:tc>
          <w:tcPr>
            <w:tcW w:w="2004" w:type="dxa"/>
            <w:tcBorders>
              <w:top w:val="nil"/>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3</w:t>
            </w:r>
          </w:p>
        </w:tc>
      </w:tr>
      <w:tr>
        <w:tblPrEx>
          <w:tblLayout w:type="fixed"/>
          <w:tblCellMar>
            <w:top w:w="0" w:type="dxa"/>
            <w:left w:w="108" w:type="dxa"/>
            <w:bottom w:w="0" w:type="dxa"/>
            <w:right w:w="108" w:type="dxa"/>
          </w:tblCellMar>
        </w:tblPrEx>
        <w:trPr>
          <w:trHeight w:val="318" w:hRule="exact"/>
          <w:jc w:val="center"/>
        </w:trPr>
        <w:tc>
          <w:tcPr>
            <w:tcW w:w="2516" w:type="dxa"/>
            <w:tcBorders>
              <w:top w:val="nil"/>
              <w:left w:val="nil"/>
              <w:bottom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分组变量</w:t>
            </w:r>
            <w:r>
              <w:rPr>
                <w:rFonts w:hint="eastAsia" w:ascii="Times New Roman" w:hAnsi="Times New Roman" w:eastAsia="宋体" w:cs="Times New Roman"/>
                <w:color w:val="000000"/>
                <w:sz w:val="18"/>
                <w:szCs w:val="18"/>
              </w:rPr>
              <w:t>×</w:t>
            </w:r>
            <w:r>
              <w:rPr>
                <w:rFonts w:hint="eastAsia" w:ascii="Times New Roman" w:hAnsi="Times New Roman" w:eastAsia="宋体" w:cs="Times New Roman"/>
                <w:color w:val="000000"/>
                <w:kern w:val="0"/>
                <w:sz w:val="18"/>
                <w:szCs w:val="18"/>
              </w:rPr>
              <w:t>政策实施年份</w:t>
            </w:r>
          </w:p>
        </w:tc>
        <w:tc>
          <w:tcPr>
            <w:tcW w:w="200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−1.624</w:t>
            </w:r>
            <w:r>
              <w:rPr>
                <w:rFonts w:ascii="Times New Roman" w:hAnsi="Times New Roman" w:eastAsia="宋体" w:cs="Times New Roman"/>
                <w:color w:val="000000"/>
                <w:kern w:val="0"/>
                <w:sz w:val="18"/>
                <w:szCs w:val="18"/>
                <w:vertAlign w:val="superscript"/>
              </w:rPr>
              <w:t>*</w:t>
            </w:r>
          </w:p>
        </w:tc>
        <w:tc>
          <w:tcPr>
            <w:tcW w:w="200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−4.70</w:t>
            </w:r>
            <w:r>
              <w:rPr>
                <w:rFonts w:hint="eastAsia" w:ascii="Times New Roman" w:hAnsi="Times New Roman" w:eastAsia="宋体" w:cs="Times New Roman"/>
                <w:color w:val="000000"/>
                <w:kern w:val="0"/>
                <w:sz w:val="18"/>
                <w:szCs w:val="18"/>
              </w:rPr>
              <w:t>4</w:t>
            </w:r>
            <w:r>
              <w:rPr>
                <w:rFonts w:ascii="Times New Roman" w:hAnsi="Times New Roman" w:eastAsia="宋体" w:cs="Times New Roman"/>
                <w:color w:val="000000"/>
                <w:kern w:val="0"/>
                <w:sz w:val="18"/>
                <w:szCs w:val="18"/>
                <w:vertAlign w:val="superscript"/>
              </w:rPr>
              <w:t>***</w:t>
            </w:r>
          </w:p>
        </w:tc>
        <w:tc>
          <w:tcPr>
            <w:tcW w:w="2004" w:type="dxa"/>
            <w:tcBorders>
              <w:top w:val="nil"/>
              <w:left w:val="single" w:color="auto" w:sz="4" w:space="0"/>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−0.066</w:t>
            </w:r>
            <w:r>
              <w:rPr>
                <w:rFonts w:ascii="Times New Roman" w:hAnsi="Times New Roman" w:eastAsia="宋体" w:cs="Times New Roman"/>
                <w:color w:val="000000"/>
                <w:kern w:val="0"/>
                <w:sz w:val="18"/>
                <w:szCs w:val="18"/>
                <w:vertAlign w:val="superscript"/>
              </w:rPr>
              <w:t>**</w:t>
            </w:r>
          </w:p>
        </w:tc>
      </w:tr>
      <w:tr>
        <w:tblPrEx>
          <w:tblLayout w:type="fixed"/>
          <w:tblCellMar>
            <w:top w:w="0" w:type="dxa"/>
            <w:left w:w="108" w:type="dxa"/>
            <w:bottom w:w="0" w:type="dxa"/>
            <w:right w:w="108" w:type="dxa"/>
          </w:tblCellMar>
        </w:tblPrEx>
        <w:trPr>
          <w:trHeight w:val="318" w:hRule="exact"/>
          <w:jc w:val="center"/>
        </w:trPr>
        <w:tc>
          <w:tcPr>
            <w:tcW w:w="2516" w:type="dxa"/>
            <w:tcBorders>
              <w:top w:val="nil"/>
              <w:left w:val="nil"/>
              <w:bottom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p>
        </w:tc>
        <w:tc>
          <w:tcPr>
            <w:tcW w:w="200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0.951</w:t>
            </w:r>
            <w:r>
              <w:rPr>
                <w:rFonts w:hint="eastAsia" w:ascii="Times New Roman" w:hAnsi="Times New Roman" w:eastAsia="宋体" w:cs="Times New Roman"/>
                <w:color w:val="000000"/>
                <w:kern w:val="0"/>
                <w:sz w:val="18"/>
                <w:szCs w:val="18"/>
              </w:rPr>
              <w:t>）</w:t>
            </w:r>
          </w:p>
        </w:tc>
        <w:tc>
          <w:tcPr>
            <w:tcW w:w="2004" w:type="dxa"/>
            <w:tcBorders>
              <w:top w:val="nil"/>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1.073</w:t>
            </w:r>
            <w:r>
              <w:rPr>
                <w:rFonts w:hint="eastAsia" w:ascii="Times New Roman" w:hAnsi="Times New Roman" w:eastAsia="宋体" w:cs="Times New Roman"/>
                <w:color w:val="000000"/>
                <w:kern w:val="0"/>
                <w:sz w:val="18"/>
                <w:szCs w:val="18"/>
              </w:rPr>
              <w:t>）</w:t>
            </w:r>
          </w:p>
        </w:tc>
        <w:tc>
          <w:tcPr>
            <w:tcW w:w="2004" w:type="dxa"/>
            <w:tcBorders>
              <w:top w:val="nil"/>
              <w:left w:val="single" w:color="auto" w:sz="4" w:space="0"/>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0.026</w:t>
            </w:r>
            <w:r>
              <w:rPr>
                <w:rFonts w:hint="eastAsia" w:ascii="Times New Roman" w:hAnsi="Times New Roman" w:eastAsia="宋体" w:cs="Times New Roman"/>
                <w:color w:val="000000"/>
                <w:kern w:val="0"/>
                <w:sz w:val="18"/>
                <w:szCs w:val="18"/>
              </w:rPr>
              <w:t>）</w:t>
            </w:r>
          </w:p>
        </w:tc>
      </w:tr>
      <w:tr>
        <w:tblPrEx>
          <w:tblLayout w:type="fixed"/>
          <w:tblCellMar>
            <w:top w:w="0" w:type="dxa"/>
            <w:left w:w="108" w:type="dxa"/>
            <w:bottom w:w="0" w:type="dxa"/>
            <w:right w:w="108" w:type="dxa"/>
          </w:tblCellMar>
        </w:tblPrEx>
        <w:trPr>
          <w:trHeight w:val="318" w:hRule="exact"/>
          <w:jc w:val="center"/>
        </w:trPr>
        <w:tc>
          <w:tcPr>
            <w:tcW w:w="2516" w:type="dxa"/>
            <w:tcBorders>
              <w:top w:val="nil"/>
              <w:left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控制变量</w:t>
            </w:r>
          </w:p>
        </w:tc>
        <w:tc>
          <w:tcPr>
            <w:tcW w:w="2004" w:type="dxa"/>
            <w:tcBorders>
              <w:top w:val="nil"/>
              <w:left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c>
          <w:tcPr>
            <w:tcW w:w="2004" w:type="dxa"/>
            <w:tcBorders>
              <w:top w:val="nil"/>
              <w:left w:val="single" w:color="auto" w:sz="4" w:space="0"/>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c>
          <w:tcPr>
            <w:tcW w:w="2004" w:type="dxa"/>
            <w:tcBorders>
              <w:top w:val="nil"/>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r>
      <w:tr>
        <w:tblPrEx>
          <w:tblLayout w:type="fixed"/>
          <w:tblCellMar>
            <w:top w:w="0" w:type="dxa"/>
            <w:left w:w="108" w:type="dxa"/>
            <w:bottom w:w="0" w:type="dxa"/>
            <w:right w:w="108" w:type="dxa"/>
          </w:tblCellMar>
        </w:tblPrEx>
        <w:trPr>
          <w:trHeight w:val="318" w:hRule="exact"/>
          <w:jc w:val="center"/>
        </w:trPr>
        <w:tc>
          <w:tcPr>
            <w:tcW w:w="2516" w:type="dxa"/>
            <w:tcBorders>
              <w:left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年份固定效应</w:t>
            </w:r>
          </w:p>
        </w:tc>
        <w:tc>
          <w:tcPr>
            <w:tcW w:w="2004" w:type="dxa"/>
            <w:tcBorders>
              <w:left w:val="single" w:color="auto" w:sz="4" w:space="0"/>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c>
          <w:tcPr>
            <w:tcW w:w="2004" w:type="dxa"/>
            <w:tcBorders>
              <w:left w:val="single" w:color="auto" w:sz="4" w:space="0"/>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c>
          <w:tcPr>
            <w:tcW w:w="2004" w:type="dxa"/>
            <w:tcBorders>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r>
      <w:tr>
        <w:tblPrEx>
          <w:tblLayout w:type="fixed"/>
          <w:tblCellMar>
            <w:top w:w="0" w:type="dxa"/>
            <w:left w:w="108" w:type="dxa"/>
            <w:bottom w:w="0" w:type="dxa"/>
            <w:right w:w="108" w:type="dxa"/>
          </w:tblCellMar>
        </w:tblPrEx>
        <w:trPr>
          <w:trHeight w:val="318" w:hRule="exact"/>
          <w:jc w:val="center"/>
        </w:trPr>
        <w:tc>
          <w:tcPr>
            <w:tcW w:w="2516" w:type="dxa"/>
            <w:tcBorders>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地级市固定效应</w:t>
            </w:r>
          </w:p>
        </w:tc>
        <w:tc>
          <w:tcPr>
            <w:tcW w:w="2004" w:type="dxa"/>
            <w:tcBorders>
              <w:left w:val="single" w:color="auto" w:sz="4" w:space="0"/>
              <w:bottom w:val="single" w:color="auto" w:sz="4" w:space="0"/>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c>
          <w:tcPr>
            <w:tcW w:w="2004" w:type="dxa"/>
            <w:tcBorders>
              <w:left w:val="single" w:color="auto" w:sz="4" w:space="0"/>
              <w:bottom w:val="single" w:color="auto" w:sz="4" w:space="0"/>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c>
          <w:tcPr>
            <w:tcW w:w="2004" w:type="dxa"/>
            <w:tcBorders>
              <w:left w:val="single" w:color="auto" w:sz="4" w:space="0"/>
              <w:bottom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已控制</w:t>
            </w:r>
          </w:p>
        </w:tc>
      </w:tr>
      <w:tr>
        <w:tblPrEx>
          <w:tblLayout w:type="fixed"/>
          <w:tblCellMar>
            <w:top w:w="0" w:type="dxa"/>
            <w:left w:w="108" w:type="dxa"/>
            <w:bottom w:w="0" w:type="dxa"/>
            <w:right w:w="108" w:type="dxa"/>
          </w:tblCellMar>
        </w:tblPrEx>
        <w:trPr>
          <w:trHeight w:val="318" w:hRule="exact"/>
          <w:jc w:val="center"/>
        </w:trPr>
        <w:tc>
          <w:tcPr>
            <w:tcW w:w="2516" w:type="dxa"/>
            <w:tcBorders>
              <w:top w:val="single" w:color="auto" w:sz="4" w:space="0"/>
              <w:left w:val="nil"/>
              <w:bottom w:val="nil"/>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观测值</w:t>
            </w:r>
          </w:p>
        </w:tc>
        <w:tc>
          <w:tcPr>
            <w:tcW w:w="2004" w:type="dxa"/>
            <w:tcBorders>
              <w:top w:val="single" w:color="auto" w:sz="4" w:space="0"/>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2004" w:type="dxa"/>
            <w:tcBorders>
              <w:top w:val="single" w:color="auto" w:sz="4" w:space="0"/>
              <w:left w:val="single" w:color="auto" w:sz="4" w:space="0"/>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2004" w:type="dxa"/>
            <w:tcBorders>
              <w:top w:val="single" w:color="auto" w:sz="4" w:space="0"/>
              <w:left w:val="single" w:color="auto" w:sz="4" w:space="0"/>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r>
      <w:tr>
        <w:tblPrEx>
          <w:tblLayout w:type="fixed"/>
          <w:tblCellMar>
            <w:top w:w="0" w:type="dxa"/>
            <w:left w:w="108" w:type="dxa"/>
            <w:bottom w:w="0" w:type="dxa"/>
            <w:right w:w="108" w:type="dxa"/>
          </w:tblCellMar>
        </w:tblPrEx>
        <w:trPr>
          <w:trHeight w:val="318" w:hRule="exact"/>
          <w:jc w:val="center"/>
        </w:trPr>
        <w:tc>
          <w:tcPr>
            <w:tcW w:w="2516" w:type="dxa"/>
            <w:tcBorders>
              <w:top w:val="nil"/>
              <w:left w:val="nil"/>
              <w:bottom w:val="single" w:color="auto" w:sz="12" w:space="0"/>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spacing w:val="-6"/>
                <w:kern w:val="0"/>
                <w:sz w:val="18"/>
                <w:szCs w:val="18"/>
              </w:rPr>
              <w:t>R</w:t>
            </w:r>
            <w:r>
              <w:rPr>
                <w:rFonts w:ascii="Times New Roman" w:hAnsi="Times New Roman" w:eastAsia="宋体" w:cs="Times New Roman"/>
                <w:color w:val="000000"/>
                <w:spacing w:val="-6"/>
                <w:kern w:val="0"/>
                <w:sz w:val="18"/>
                <w:szCs w:val="18"/>
                <w:vertAlign w:val="superscript"/>
              </w:rPr>
              <w:t>2</w:t>
            </w:r>
            <w:r>
              <w:rPr>
                <w:rFonts w:hint="eastAsia" w:ascii="Times New Roman" w:hAnsi="Times New Roman" w:eastAsia="宋体" w:cs="Times New Roman"/>
                <w:color w:val="000000"/>
                <w:spacing w:val="-6"/>
                <w:kern w:val="0"/>
                <w:sz w:val="18"/>
                <w:szCs w:val="18"/>
              </w:rPr>
              <w:t>值</w:t>
            </w:r>
          </w:p>
        </w:tc>
        <w:tc>
          <w:tcPr>
            <w:tcW w:w="2004" w:type="dxa"/>
            <w:tcBorders>
              <w:top w:val="nil"/>
              <w:left w:val="single" w:color="auto" w:sz="4" w:space="0"/>
              <w:bottom w:val="single" w:color="auto" w:sz="12"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0.918</w:t>
            </w:r>
          </w:p>
        </w:tc>
        <w:tc>
          <w:tcPr>
            <w:tcW w:w="2004" w:type="dxa"/>
            <w:tcBorders>
              <w:top w:val="nil"/>
              <w:left w:val="single" w:color="auto" w:sz="4" w:space="0"/>
              <w:bottom w:val="single" w:color="auto" w:sz="12"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0.828</w:t>
            </w:r>
          </w:p>
        </w:tc>
        <w:tc>
          <w:tcPr>
            <w:tcW w:w="2004" w:type="dxa"/>
            <w:tcBorders>
              <w:top w:val="nil"/>
              <w:left w:val="single" w:color="auto" w:sz="4" w:space="0"/>
              <w:bottom w:val="single" w:color="auto" w:sz="12"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0.836</w:t>
            </w:r>
          </w:p>
        </w:tc>
      </w:tr>
    </w:tbl>
    <w:p>
      <w:pPr>
        <w:widowControl/>
        <w:ind w:firstLine="332" w:firstLineChars="200"/>
        <w:jc w:val="left"/>
        <w:rPr>
          <w:rFonts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rPr>
        <w:t>注：①</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和</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分别表示1%、</w:t>
      </w:r>
      <w:r>
        <w:rPr>
          <w:rFonts w:ascii="Times New Roman" w:hAnsi="Times New Roman" w:eastAsia="宋体" w:cs="Times New Roman"/>
          <w:color w:val="000000"/>
          <w:sz w:val="18"/>
          <w:szCs w:val="18"/>
        </w:rPr>
        <w:t>5%</w:t>
      </w:r>
      <w:r>
        <w:rPr>
          <w:rFonts w:hint="eastAsia" w:ascii="Times New Roman" w:hAnsi="Times New Roman" w:eastAsia="宋体" w:cs="Times New Roman"/>
          <w:color w:val="000000"/>
          <w:sz w:val="18"/>
          <w:szCs w:val="18"/>
        </w:rPr>
        <w:t>和</w:t>
      </w:r>
      <w:r>
        <w:rPr>
          <w:rFonts w:ascii="Times New Roman" w:hAnsi="Times New Roman" w:eastAsia="宋体" w:cs="Times New Roman"/>
          <w:color w:val="000000"/>
          <w:sz w:val="18"/>
          <w:szCs w:val="18"/>
        </w:rPr>
        <w:t>10%</w:t>
      </w:r>
      <w:r>
        <w:rPr>
          <w:rFonts w:hint="eastAsia" w:ascii="Times New Roman" w:hAnsi="Times New Roman" w:eastAsia="宋体" w:cs="Times New Roman"/>
          <w:color w:val="000000"/>
          <w:sz w:val="18"/>
          <w:szCs w:val="18"/>
        </w:rPr>
        <w:t>的显著性水平；②括号内为聚类到地级市层面的标准误；③控制变量同</w:t>
      </w:r>
      <w:r>
        <w:rPr>
          <w:rFonts w:hint="eastAsia" w:ascii="Times New Roman" w:hAnsi="Times New Roman" w:eastAsia="宋体" w:cs="Times New Roman"/>
          <w:sz w:val="18"/>
          <w:szCs w:val="18"/>
        </w:rPr>
        <w:t>正文中的</w:t>
      </w:r>
      <w:r>
        <w:rPr>
          <w:rFonts w:hint="eastAsia" w:ascii="Times New Roman" w:hAnsi="Times New Roman" w:eastAsia="宋体" w:cs="Times New Roman"/>
          <w:color w:val="000000"/>
          <w:sz w:val="18"/>
          <w:szCs w:val="18"/>
        </w:rPr>
        <w:t>表</w:t>
      </w:r>
      <w:r>
        <w:rPr>
          <w:rFonts w:ascii="Times New Roman" w:hAnsi="Times New Roman" w:eastAsia="宋体" w:cs="Times New Roman"/>
          <w:color w:val="000000"/>
          <w:sz w:val="18"/>
          <w:szCs w:val="18"/>
        </w:rPr>
        <w:t>2</w:t>
      </w:r>
      <w:r>
        <w:rPr>
          <w:rFonts w:hint="eastAsia" w:ascii="Times New Roman" w:hAnsi="Times New Roman" w:eastAsia="宋体" w:cs="Times New Roman"/>
          <w:color w:val="000000"/>
          <w:sz w:val="18"/>
          <w:szCs w:val="18"/>
        </w:rPr>
        <w:t>。</w:t>
      </w:r>
    </w:p>
    <w:p>
      <w:pPr>
        <w:ind w:firstLine="420"/>
        <w:rPr>
          <w:rFonts w:ascii="仿宋_GB2312" w:hAnsi="Times New Roman" w:eastAsia="仿宋_GB2312" w:cs="仿宋_GB2312"/>
          <w:sz w:val="18"/>
          <w:szCs w:val="18"/>
        </w:rPr>
      </w:pPr>
    </w:p>
    <w:p>
      <w:pPr>
        <w:pStyle w:val="2"/>
        <w:rPr>
          <w:rFonts w:ascii="仿宋_GB2312" w:hAnsi="Times New Roman" w:eastAsia="仿宋_GB2312" w:cs="仿宋_GB2312"/>
          <w:sz w:val="18"/>
          <w:szCs w:val="18"/>
        </w:rPr>
      </w:pPr>
    </w:p>
    <w:p>
      <w:pPr>
        <w:pStyle w:val="2"/>
        <w:rPr>
          <w:rFonts w:ascii="仿宋_GB2312" w:hAnsi="Times New Roman" w:eastAsia="仿宋_GB2312" w:cs="仿宋_GB2312"/>
          <w:sz w:val="18"/>
          <w:szCs w:val="18"/>
        </w:rPr>
      </w:pPr>
    </w:p>
    <w:p>
      <w:pPr>
        <w:pStyle w:val="2"/>
        <w:rPr>
          <w:rFonts w:ascii="仿宋_GB2312" w:hAnsi="Times New Roman" w:eastAsia="仿宋_GB2312" w:cs="仿宋_GB2312"/>
          <w:sz w:val="18"/>
          <w:szCs w:val="18"/>
        </w:rPr>
      </w:pPr>
    </w:p>
    <w:p>
      <w:pPr>
        <w:pStyle w:val="2"/>
        <w:rPr>
          <w:rFonts w:ascii="仿宋_GB2312" w:hAnsi="Times New Roman" w:eastAsia="仿宋_GB2312" w:cs="仿宋_GB2312"/>
          <w:sz w:val="18"/>
          <w:szCs w:val="18"/>
        </w:rPr>
      </w:pPr>
    </w:p>
    <w:p>
      <w:pPr>
        <w:spacing w:line="240" w:lineRule="atLeast"/>
        <w:ind w:firstLine="332" w:firstLineChars="200"/>
        <w:jc w:val="left"/>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附表3</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增值税税率下调政策实施对地级市环境质量影响的稳健性检验结果：排除干扰性因素</w:t>
      </w:r>
    </w:p>
    <w:tbl>
      <w:tblPr>
        <w:tblStyle w:val="33"/>
        <w:tblW w:w="8597" w:type="dxa"/>
        <w:jc w:val="center"/>
        <w:tblInd w:w="0" w:type="dxa"/>
        <w:tblLayout w:type="fixed"/>
        <w:tblCellMar>
          <w:top w:w="0" w:type="dxa"/>
          <w:left w:w="108" w:type="dxa"/>
          <w:bottom w:w="0" w:type="dxa"/>
          <w:right w:w="108" w:type="dxa"/>
        </w:tblCellMar>
      </w:tblPr>
      <w:tblGrid>
        <w:gridCol w:w="2552"/>
        <w:gridCol w:w="1134"/>
        <w:gridCol w:w="1026"/>
        <w:gridCol w:w="971"/>
        <w:gridCol w:w="971"/>
        <w:gridCol w:w="971"/>
        <w:gridCol w:w="972"/>
      </w:tblGrid>
      <w:tr>
        <w:tblPrEx>
          <w:tblLayout w:type="fixed"/>
          <w:tblCellMar>
            <w:top w:w="0" w:type="dxa"/>
            <w:left w:w="108" w:type="dxa"/>
            <w:bottom w:w="0" w:type="dxa"/>
            <w:right w:w="108" w:type="dxa"/>
          </w:tblCellMar>
        </w:tblPrEx>
        <w:trPr>
          <w:trHeight w:val="317" w:hRule="atLeast"/>
          <w:jc w:val="center"/>
        </w:trPr>
        <w:tc>
          <w:tcPr>
            <w:tcW w:w="2552" w:type="dxa"/>
            <w:vMerge w:val="restart"/>
            <w:tcBorders>
              <w:top w:val="single" w:color="auto" w:sz="12" w:space="0"/>
              <w:left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变量</w:t>
            </w:r>
          </w:p>
        </w:tc>
        <w:tc>
          <w:tcPr>
            <w:tcW w:w="3131" w:type="dxa"/>
            <w:gridSpan w:val="3"/>
            <w:tcBorders>
              <w:top w:val="single" w:color="auto" w:sz="12"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排除环保税影响</w:t>
            </w:r>
          </w:p>
        </w:tc>
        <w:tc>
          <w:tcPr>
            <w:tcW w:w="2914" w:type="dxa"/>
            <w:gridSpan w:val="3"/>
            <w:tcBorders>
              <w:top w:val="single" w:color="auto" w:sz="12" w:space="0"/>
              <w:left w:val="single" w:color="auto" w:sz="4" w:space="0"/>
              <w:bottom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控制滞后一期被解释变量</w:t>
            </w:r>
          </w:p>
        </w:tc>
      </w:tr>
      <w:tr>
        <w:tblPrEx>
          <w:tblLayout w:type="fixed"/>
          <w:tblCellMar>
            <w:top w:w="0" w:type="dxa"/>
            <w:left w:w="108" w:type="dxa"/>
            <w:bottom w:w="0" w:type="dxa"/>
            <w:right w:w="108" w:type="dxa"/>
          </w:tblCellMar>
        </w:tblPrEx>
        <w:trPr>
          <w:trHeight w:val="317" w:hRule="atLeast"/>
          <w:jc w:val="center"/>
        </w:trPr>
        <w:tc>
          <w:tcPr>
            <w:tcW w:w="2552" w:type="dxa"/>
            <w:vMerge w:val="continue"/>
            <w:tcBorders>
              <w:left w:val="nil"/>
              <w:right w:val="single" w:color="auto" w:sz="4" w:space="0"/>
            </w:tcBorders>
            <w:shd w:val="clear" w:color="auto" w:fill="auto"/>
            <w:noWrap/>
            <w:vAlign w:val="center"/>
          </w:tcPr>
          <w:p>
            <w:pPr>
              <w:widowControl/>
              <w:spacing w:line="300" w:lineRule="exact"/>
              <w:ind w:left="168" w:leftChars="86"/>
              <w:jc w:val="left"/>
              <w:rPr>
                <w:rFonts w:ascii="Times New Roman" w:hAnsi="Times New Roman" w:eastAsia="宋体" w:cs="Times New Roman"/>
                <w:color w:val="000000"/>
                <w:kern w:val="0"/>
                <w:sz w:val="18"/>
                <w:szCs w:val="18"/>
              </w:rPr>
            </w:pPr>
          </w:p>
        </w:tc>
        <w:tc>
          <w:tcPr>
            <w:tcW w:w="1134" w:type="dxa"/>
            <w:tcBorders>
              <w:top w:val="nil"/>
              <w:left w:val="single" w:color="auto" w:sz="4" w:space="0"/>
              <w:bottom w:val="nil"/>
              <w:right w:val="nil"/>
            </w:tcBorders>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细颗粒物</w:t>
            </w:r>
          </w:p>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浓度</w:t>
            </w:r>
          </w:p>
        </w:tc>
        <w:tc>
          <w:tcPr>
            <w:tcW w:w="1026" w:type="dxa"/>
            <w:tcBorders>
              <w:top w:val="nil"/>
              <w:left w:val="nil"/>
              <w:bottom w:val="nil"/>
              <w:right w:val="nil"/>
            </w:tcBorders>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二氧化硫</w:t>
            </w:r>
          </w:p>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浓度</w:t>
            </w:r>
          </w:p>
        </w:tc>
        <w:tc>
          <w:tcPr>
            <w:tcW w:w="971" w:type="dxa"/>
            <w:tcBorders>
              <w:top w:val="nil"/>
              <w:left w:val="nil"/>
              <w:bottom w:val="nil"/>
              <w:right w:val="single" w:color="auto" w:sz="4" w:space="0"/>
            </w:tcBorders>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一氧化碳</w:t>
            </w:r>
          </w:p>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浓度</w:t>
            </w:r>
          </w:p>
        </w:tc>
        <w:tc>
          <w:tcPr>
            <w:tcW w:w="971" w:type="dxa"/>
            <w:tcBorders>
              <w:top w:val="nil"/>
              <w:left w:val="single" w:color="auto" w:sz="4" w:space="0"/>
              <w:bottom w:val="nil"/>
              <w:right w:val="nil"/>
            </w:tcBorders>
            <w:shd w:val="clear" w:color="auto" w:fill="auto"/>
            <w:noWrap/>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细颗粒物</w:t>
            </w:r>
          </w:p>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浓度</w:t>
            </w:r>
          </w:p>
        </w:tc>
        <w:tc>
          <w:tcPr>
            <w:tcW w:w="971" w:type="dxa"/>
            <w:tcBorders>
              <w:top w:val="nil"/>
              <w:left w:val="nil"/>
              <w:bottom w:val="nil"/>
              <w:right w:val="nil"/>
            </w:tcBorders>
            <w:shd w:val="clear" w:color="auto" w:fill="auto"/>
            <w:noWrap/>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二氧化硫</w:t>
            </w:r>
          </w:p>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浓度</w:t>
            </w:r>
          </w:p>
        </w:tc>
        <w:tc>
          <w:tcPr>
            <w:tcW w:w="972" w:type="dxa"/>
            <w:tcBorders>
              <w:top w:val="nil"/>
              <w:left w:val="nil"/>
              <w:bottom w:val="nil"/>
            </w:tcBorders>
            <w:shd w:val="clear" w:color="auto" w:fill="auto"/>
            <w:noWrap/>
            <w:vAlign w:val="center"/>
          </w:tcPr>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一氧化碳</w:t>
            </w:r>
          </w:p>
          <w:p>
            <w:pPr>
              <w:widowControl/>
              <w:overflowPunct w:val="0"/>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浓度</w:t>
            </w:r>
          </w:p>
        </w:tc>
      </w:tr>
      <w:tr>
        <w:tblPrEx>
          <w:tblLayout w:type="fixed"/>
          <w:tblCellMar>
            <w:top w:w="0" w:type="dxa"/>
            <w:left w:w="108" w:type="dxa"/>
            <w:bottom w:w="0" w:type="dxa"/>
            <w:right w:w="108" w:type="dxa"/>
          </w:tblCellMar>
        </w:tblPrEx>
        <w:trPr>
          <w:trHeight w:val="317" w:hRule="atLeast"/>
          <w:jc w:val="center"/>
        </w:trPr>
        <w:tc>
          <w:tcPr>
            <w:tcW w:w="2552" w:type="dxa"/>
            <w:vMerge w:val="continue"/>
            <w:tcBorders>
              <w:left w:val="nil"/>
              <w:bottom w:val="single" w:color="auto" w:sz="4" w:space="0"/>
              <w:right w:val="single" w:color="auto" w:sz="4" w:space="0"/>
            </w:tcBorders>
            <w:shd w:val="clear" w:color="auto" w:fill="auto"/>
            <w:noWrap/>
            <w:vAlign w:val="center"/>
          </w:tcPr>
          <w:p>
            <w:pPr>
              <w:widowControl/>
              <w:spacing w:line="300" w:lineRule="exact"/>
              <w:ind w:left="168" w:leftChars="86"/>
              <w:jc w:val="left"/>
              <w:rPr>
                <w:rFonts w:ascii="Times New Roman" w:hAnsi="Times New Roman" w:eastAsia="宋体" w:cs="Times New Roman"/>
                <w:color w:val="000000"/>
                <w:kern w:val="0"/>
                <w:sz w:val="18"/>
                <w:szCs w:val="18"/>
              </w:rPr>
            </w:pPr>
          </w:p>
        </w:tc>
        <w:tc>
          <w:tcPr>
            <w:tcW w:w="1134" w:type="dxa"/>
            <w:tcBorders>
              <w:top w:val="nil"/>
              <w:left w:val="single" w:color="auto" w:sz="4" w:space="0"/>
              <w:bottom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1</w:t>
            </w:r>
          </w:p>
        </w:tc>
        <w:tc>
          <w:tcPr>
            <w:tcW w:w="1026" w:type="dxa"/>
            <w:tcBorders>
              <w:top w:val="nil"/>
              <w:left w:val="nil"/>
              <w:bottom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2</w:t>
            </w:r>
          </w:p>
        </w:tc>
        <w:tc>
          <w:tcPr>
            <w:tcW w:w="971" w:type="dxa"/>
            <w:tcBorders>
              <w:top w:val="nil"/>
              <w:left w:val="nil"/>
              <w:bottom w:val="single" w:color="auto"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3</w:t>
            </w:r>
          </w:p>
        </w:tc>
        <w:tc>
          <w:tcPr>
            <w:tcW w:w="971" w:type="dxa"/>
            <w:tcBorders>
              <w:top w:val="nil"/>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4</w:t>
            </w:r>
          </w:p>
        </w:tc>
        <w:tc>
          <w:tcPr>
            <w:tcW w:w="971" w:type="dxa"/>
            <w:tcBorders>
              <w:top w:val="nil"/>
              <w:left w:val="nil"/>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5</w:t>
            </w:r>
          </w:p>
        </w:tc>
        <w:tc>
          <w:tcPr>
            <w:tcW w:w="972" w:type="dxa"/>
            <w:tcBorders>
              <w:top w:val="nil"/>
              <w:left w:val="nil"/>
              <w:bottom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6</w:t>
            </w:r>
          </w:p>
        </w:tc>
      </w:tr>
      <w:tr>
        <w:tblPrEx>
          <w:tblLayout w:type="fixed"/>
          <w:tblCellMar>
            <w:top w:w="0" w:type="dxa"/>
            <w:left w:w="108" w:type="dxa"/>
            <w:bottom w:w="0" w:type="dxa"/>
            <w:right w:w="108" w:type="dxa"/>
          </w:tblCellMar>
        </w:tblPrEx>
        <w:trPr>
          <w:trHeight w:val="317" w:hRule="atLeast"/>
          <w:jc w:val="center"/>
        </w:trPr>
        <w:tc>
          <w:tcPr>
            <w:tcW w:w="2552" w:type="dxa"/>
            <w:vMerge w:val="restart"/>
            <w:tcBorders>
              <w:top w:val="single" w:color="auto" w:sz="4" w:space="0"/>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增值税依赖度×</w:t>
            </w:r>
            <w:r>
              <w:rPr>
                <w:rFonts w:hint="eastAsia" w:ascii="Times New Roman" w:hAnsi="Times New Roman" w:eastAsia="宋体" w:cs="Times New Roman"/>
                <w:color w:val="000000"/>
                <w:kern w:val="0"/>
                <w:sz w:val="18"/>
                <w:szCs w:val="18"/>
              </w:rPr>
              <w:t>政策实施年份</w:t>
            </w:r>
          </w:p>
        </w:tc>
        <w:tc>
          <w:tcPr>
            <w:tcW w:w="1134" w:type="dxa"/>
            <w:tcBorders>
              <w:top w:val="single" w:color="auto" w:sz="4" w:space="0"/>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−0.185</w:t>
            </w:r>
            <w:r>
              <w:rPr>
                <w:rFonts w:ascii="Times New Roman" w:hAnsi="Times New Roman" w:eastAsia="宋体" w:cs="Times New Roman"/>
                <w:color w:val="000000"/>
                <w:kern w:val="0"/>
                <w:sz w:val="18"/>
                <w:szCs w:val="18"/>
                <w:vertAlign w:val="superscript"/>
              </w:rPr>
              <w:t>***</w:t>
            </w:r>
          </w:p>
        </w:tc>
        <w:tc>
          <w:tcPr>
            <w:tcW w:w="1026" w:type="dxa"/>
            <w:tcBorders>
              <w:top w:val="single" w:color="auto" w:sz="4" w:space="0"/>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−0.350</w:t>
            </w:r>
            <w:r>
              <w:rPr>
                <w:rFonts w:ascii="Times New Roman" w:hAnsi="Times New Roman" w:eastAsia="宋体" w:cs="Times New Roman"/>
                <w:color w:val="000000"/>
                <w:kern w:val="0"/>
                <w:sz w:val="18"/>
                <w:szCs w:val="18"/>
                <w:vertAlign w:val="superscript"/>
              </w:rPr>
              <w:t>***</w:t>
            </w:r>
          </w:p>
        </w:tc>
        <w:tc>
          <w:tcPr>
            <w:tcW w:w="971" w:type="dxa"/>
            <w:tcBorders>
              <w:top w:val="single" w:color="auto" w:sz="4" w:space="0"/>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−0.006</w:t>
            </w:r>
            <w:r>
              <w:rPr>
                <w:rFonts w:ascii="Times New Roman" w:hAnsi="Times New Roman" w:eastAsia="宋体" w:cs="Times New Roman"/>
                <w:color w:val="000000"/>
                <w:kern w:val="0"/>
                <w:sz w:val="18"/>
                <w:szCs w:val="18"/>
                <w:vertAlign w:val="superscript"/>
              </w:rPr>
              <w:t>***</w:t>
            </w:r>
          </w:p>
        </w:tc>
        <w:tc>
          <w:tcPr>
            <w:tcW w:w="971" w:type="dxa"/>
            <w:tcBorders>
              <w:top w:val="single" w:color="auto" w:sz="4" w:space="0"/>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sz w:val="18"/>
                <w:szCs w:val="18"/>
              </w:rPr>
              <w:t>−0.083</w:t>
            </w:r>
            <w:r>
              <w:rPr>
                <w:rFonts w:ascii="Times New Roman" w:hAnsi="Times New Roman" w:eastAsia="宋体" w:cs="Times New Roman"/>
                <w:color w:val="000000"/>
                <w:sz w:val="18"/>
                <w:szCs w:val="18"/>
                <w:vertAlign w:val="superscript"/>
              </w:rPr>
              <w:t>*</w:t>
            </w:r>
          </w:p>
        </w:tc>
        <w:tc>
          <w:tcPr>
            <w:tcW w:w="971" w:type="dxa"/>
            <w:tcBorders>
              <w:top w:val="single" w:color="auto" w:sz="4" w:space="0"/>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sz w:val="18"/>
                <w:szCs w:val="18"/>
              </w:rPr>
              <w:t>−0.146</w:t>
            </w:r>
            <w:r>
              <w:rPr>
                <w:rFonts w:ascii="Times New Roman" w:hAnsi="Times New Roman" w:eastAsia="宋体" w:cs="Times New Roman"/>
                <w:color w:val="000000"/>
                <w:sz w:val="18"/>
                <w:szCs w:val="18"/>
                <w:vertAlign w:val="superscript"/>
              </w:rPr>
              <w:t>***</w:t>
            </w:r>
          </w:p>
        </w:tc>
        <w:tc>
          <w:tcPr>
            <w:tcW w:w="972" w:type="dxa"/>
            <w:tcBorders>
              <w:top w:val="single" w:color="auto" w:sz="4" w:space="0"/>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sz w:val="18"/>
                <w:szCs w:val="18"/>
              </w:rPr>
              <w:t>−0.003</w:t>
            </w:r>
            <w:r>
              <w:rPr>
                <w:rFonts w:ascii="Times New Roman" w:hAnsi="Times New Roman" w:eastAsia="宋体" w:cs="Times New Roman"/>
                <w:color w:val="000000"/>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2552" w:type="dxa"/>
            <w:vMerge w:val="continue"/>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0.051</w:t>
            </w:r>
            <w:r>
              <w:rPr>
                <w:rFonts w:hint="eastAsia" w:ascii="Times New Roman" w:hAnsi="Times New Roman" w:eastAsia="宋体" w:cs="Times New Roman"/>
                <w:color w:val="000000"/>
                <w:kern w:val="0"/>
                <w:sz w:val="18"/>
                <w:szCs w:val="18"/>
              </w:rPr>
              <w:t>）</w:t>
            </w: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0.072</w:t>
            </w:r>
            <w:r>
              <w:rPr>
                <w:rFonts w:hint="eastAsia" w:ascii="Times New Roman" w:hAnsi="Times New Roman" w:eastAsia="宋体" w:cs="Times New Roman"/>
                <w:color w:val="000000"/>
                <w:kern w:val="0"/>
                <w:sz w:val="18"/>
                <w:szCs w:val="18"/>
              </w:rPr>
              <w:t>）</w:t>
            </w: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0.002</w:t>
            </w:r>
            <w:r>
              <w:rPr>
                <w:rFonts w:hint="eastAsia" w:ascii="Times New Roman" w:hAnsi="Times New Roman" w:eastAsia="宋体" w:cs="Times New Roman"/>
                <w:color w:val="000000"/>
                <w:kern w:val="0"/>
                <w:sz w:val="18"/>
                <w:szCs w:val="18"/>
              </w:rPr>
              <w:t>）</w:t>
            </w: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0.043</w:t>
            </w:r>
            <w:r>
              <w:rPr>
                <w:rFonts w:hint="eastAsia" w:ascii="Times New Roman" w:hAnsi="Times New Roman" w:eastAsia="宋体" w:cs="Times New Roman"/>
                <w:color w:val="000000"/>
                <w:sz w:val="18"/>
                <w:szCs w:val="18"/>
              </w:rPr>
              <w:t>）</w:t>
            </w: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0.051</w:t>
            </w:r>
            <w:r>
              <w:rPr>
                <w:rFonts w:hint="eastAsia" w:ascii="Times New Roman" w:hAnsi="Times New Roman" w:eastAsia="宋体" w:cs="Times New Roman"/>
                <w:color w:val="000000"/>
                <w:sz w:val="18"/>
                <w:szCs w:val="18"/>
              </w:rPr>
              <w:t>）</w:t>
            </w: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0.001</w:t>
            </w:r>
            <w:r>
              <w:rPr>
                <w:rFonts w:hint="eastAsia" w:ascii="Times New Roman" w:hAnsi="Times New Roman" w:eastAsia="宋体" w:cs="Times New Roman"/>
                <w:color w:val="000000"/>
                <w:sz w:val="18"/>
                <w:szCs w:val="18"/>
              </w:rPr>
              <w:t>）</w:t>
            </w: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overflowPunct w:val="0"/>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细颗粒物浓度滞后一期</w:t>
            </w: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0.339</w:t>
            </w:r>
            <w:r>
              <w:rPr>
                <w:rFonts w:ascii="Times New Roman" w:hAnsi="Times New Roman" w:eastAsia="宋体" w:cs="Times New Roman"/>
                <w:color w:val="000000"/>
                <w:kern w:val="0"/>
                <w:sz w:val="18"/>
                <w:szCs w:val="18"/>
                <w:vertAlign w:val="superscript"/>
              </w:rPr>
              <w:t>***</w:t>
            </w: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0.034</w:t>
            </w:r>
            <w:r>
              <w:rPr>
                <w:rFonts w:hint="eastAsia" w:ascii="Times New Roman" w:hAnsi="Times New Roman" w:eastAsia="宋体" w:cs="Times New Roman"/>
                <w:color w:val="000000"/>
                <w:kern w:val="0"/>
                <w:sz w:val="18"/>
                <w:szCs w:val="18"/>
              </w:rPr>
              <w:t>）</w:t>
            </w: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二氧化硫浓度滞后一期</w:t>
            </w: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sz w:val="18"/>
                <w:szCs w:val="18"/>
              </w:rPr>
              <w:t>0.642</w:t>
            </w:r>
            <w:r>
              <w:rPr>
                <w:rFonts w:ascii="Times New Roman" w:hAnsi="Times New Roman" w:eastAsia="宋体" w:cs="Times New Roman"/>
                <w:color w:val="000000"/>
                <w:sz w:val="18"/>
                <w:szCs w:val="18"/>
                <w:vertAlign w:val="superscript"/>
              </w:rPr>
              <w:t>***</w:t>
            </w: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0.028</w:t>
            </w:r>
            <w:r>
              <w:rPr>
                <w:rFonts w:hint="eastAsia" w:ascii="Times New Roman" w:hAnsi="Times New Roman" w:eastAsia="宋体" w:cs="Times New Roman"/>
                <w:color w:val="000000"/>
                <w:sz w:val="18"/>
                <w:szCs w:val="18"/>
              </w:rPr>
              <w:t>）</w:t>
            </w: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一氧化碳浓度滞后一期</w:t>
            </w: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0.474</w:t>
            </w:r>
            <w:r>
              <w:rPr>
                <w:rFonts w:ascii="Times New Roman" w:hAnsi="Times New Roman" w:eastAsia="宋体" w:cs="Times New Roman"/>
                <w:color w:val="000000"/>
                <w:kern w:val="0"/>
                <w:sz w:val="18"/>
                <w:szCs w:val="18"/>
                <w:vertAlign w:val="superscript"/>
              </w:rPr>
              <w:t>***</w:t>
            </w: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0.033</w:t>
            </w:r>
            <w:r>
              <w:rPr>
                <w:rFonts w:hint="eastAsia" w:ascii="Times New Roman" w:hAnsi="Times New Roman" w:eastAsia="宋体" w:cs="Times New Roman"/>
                <w:color w:val="000000"/>
                <w:kern w:val="0"/>
                <w:sz w:val="18"/>
                <w:szCs w:val="18"/>
              </w:rPr>
              <w:t>）</w:t>
            </w:r>
          </w:p>
        </w:tc>
      </w:tr>
      <w:tr>
        <w:tblPrEx>
          <w:tblLayout w:type="fixed"/>
          <w:tblCellMar>
            <w:top w:w="0" w:type="dxa"/>
            <w:left w:w="108" w:type="dxa"/>
            <w:bottom w:w="0" w:type="dxa"/>
            <w:right w:w="108" w:type="dxa"/>
          </w:tblCellMar>
        </w:tblPrEx>
        <w:trPr>
          <w:trHeight w:val="317" w:hRule="atLeast"/>
          <w:jc w:val="center"/>
        </w:trPr>
        <w:tc>
          <w:tcPr>
            <w:tcW w:w="2552" w:type="dxa"/>
            <w:vMerge w:val="restart"/>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是否提高环境保护税征税标准</w:t>
            </w:r>
            <w:r>
              <w:rPr>
                <w:rFonts w:hint="eastAsia" w:ascii="Times New Roman" w:hAnsi="Times New Roman" w:eastAsia="宋体" w:cs="Times New Roman"/>
                <w:color w:val="000000"/>
                <w:sz w:val="18"/>
                <w:szCs w:val="18"/>
              </w:rPr>
              <w:t>×《环保税法》实施年份</w:t>
            </w: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3.505</w:t>
            </w:r>
            <w:r>
              <w:rPr>
                <w:rFonts w:ascii="Times New Roman" w:hAnsi="Times New Roman" w:eastAsia="宋体" w:cs="Times New Roman"/>
                <w:color w:val="000000"/>
                <w:kern w:val="0"/>
                <w:sz w:val="18"/>
                <w:szCs w:val="18"/>
                <w:vertAlign w:val="superscript"/>
              </w:rPr>
              <w:t>***</w:t>
            </w: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5.964</w:t>
            </w:r>
            <w:r>
              <w:rPr>
                <w:rFonts w:ascii="Times New Roman" w:hAnsi="Times New Roman" w:eastAsia="宋体" w:cs="Times New Roman"/>
                <w:color w:val="000000"/>
                <w:kern w:val="0"/>
                <w:sz w:val="18"/>
                <w:szCs w:val="18"/>
                <w:vertAlign w:val="superscript"/>
              </w:rPr>
              <w:t>***</w:t>
            </w: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0.100</w:t>
            </w:r>
            <w:r>
              <w:rPr>
                <w:rFonts w:ascii="Times New Roman" w:hAnsi="Times New Roman" w:eastAsia="宋体" w:cs="Times New Roman"/>
                <w:color w:val="000000"/>
                <w:kern w:val="0"/>
                <w:sz w:val="18"/>
                <w:szCs w:val="18"/>
                <w:vertAlign w:val="superscript"/>
              </w:rPr>
              <w:t>***</w:t>
            </w: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jc w:val="center"/>
        </w:trPr>
        <w:tc>
          <w:tcPr>
            <w:tcW w:w="2552" w:type="dxa"/>
            <w:vMerge w:val="continue"/>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（0.778）</w:t>
            </w: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（1.097）</w:t>
            </w: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（0.025）</w:t>
            </w: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控制变量</w:t>
            </w: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Layout w:type="fixed"/>
          <w:tblCellMar>
            <w:top w:w="0" w:type="dxa"/>
            <w:left w:w="108" w:type="dxa"/>
            <w:bottom w:w="0" w:type="dxa"/>
            <w:right w:w="108" w:type="dxa"/>
          </w:tblCellMar>
        </w:tblPrEx>
        <w:trPr>
          <w:trHeight w:val="317" w:hRule="atLeast"/>
          <w:jc w:val="center"/>
        </w:trPr>
        <w:tc>
          <w:tcPr>
            <w:tcW w:w="2552" w:type="dxa"/>
            <w:tcBorders>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年份固定效应</w:t>
            </w:r>
          </w:p>
        </w:tc>
        <w:tc>
          <w:tcPr>
            <w:tcW w:w="1134" w:type="dxa"/>
            <w:tcBorders>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026" w:type="dxa"/>
            <w:tcBorders>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2" w:type="dxa"/>
            <w:tcBorders>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Layout w:type="fixed"/>
          <w:tblCellMar>
            <w:top w:w="0" w:type="dxa"/>
            <w:left w:w="108" w:type="dxa"/>
            <w:bottom w:w="0" w:type="dxa"/>
            <w:right w:w="108" w:type="dxa"/>
          </w:tblCellMar>
        </w:tblPrEx>
        <w:trPr>
          <w:trHeight w:val="317" w:hRule="atLeast"/>
          <w:jc w:val="center"/>
        </w:trPr>
        <w:tc>
          <w:tcPr>
            <w:tcW w:w="2552" w:type="dxa"/>
            <w:tcBorders>
              <w:left w:val="nil"/>
              <w:bottom w:val="single" w:color="auto" w:sz="4" w:space="0"/>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地级市固定效应</w:t>
            </w:r>
          </w:p>
        </w:tc>
        <w:tc>
          <w:tcPr>
            <w:tcW w:w="1134" w:type="dxa"/>
            <w:tcBorders>
              <w:left w:val="single" w:color="auto" w:sz="4" w:space="0"/>
              <w:bottom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026" w:type="dxa"/>
            <w:tcBorders>
              <w:left w:val="nil"/>
              <w:bottom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nil"/>
              <w:bottom w:val="single" w:color="auto" w:sz="4"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1" w:type="dxa"/>
            <w:tcBorders>
              <w:left w:val="nil"/>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972" w:type="dxa"/>
            <w:tcBorders>
              <w:left w:val="nil"/>
              <w:bottom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Layout w:type="fixed"/>
          <w:tblCellMar>
            <w:top w:w="0" w:type="dxa"/>
            <w:left w:w="108" w:type="dxa"/>
            <w:bottom w:w="0" w:type="dxa"/>
            <w:right w:w="108" w:type="dxa"/>
          </w:tblCellMar>
        </w:tblPrEx>
        <w:trPr>
          <w:trHeight w:val="317" w:hRule="atLeast"/>
          <w:jc w:val="center"/>
        </w:trPr>
        <w:tc>
          <w:tcPr>
            <w:tcW w:w="2552" w:type="dxa"/>
            <w:tcBorders>
              <w:top w:val="single" w:color="auto" w:sz="4" w:space="0"/>
              <w:left w:val="nil"/>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观测值</w:t>
            </w:r>
          </w:p>
        </w:tc>
        <w:tc>
          <w:tcPr>
            <w:tcW w:w="1134" w:type="dxa"/>
            <w:tcBorders>
              <w:top w:val="single" w:color="auto" w:sz="4" w:space="0"/>
              <w:left w:val="single" w:color="auto" w:sz="4"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1026" w:type="dxa"/>
            <w:tcBorders>
              <w:top w:val="single" w:color="auto" w:sz="4" w:space="0"/>
              <w:left w:val="nil"/>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971" w:type="dxa"/>
            <w:tcBorders>
              <w:top w:val="single" w:color="auto" w:sz="4" w:space="0"/>
              <w:left w:val="nil"/>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1316</w:t>
            </w:r>
          </w:p>
        </w:tc>
        <w:tc>
          <w:tcPr>
            <w:tcW w:w="971" w:type="dxa"/>
            <w:tcBorders>
              <w:top w:val="single" w:color="auto" w:sz="4" w:space="0"/>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1093</w:t>
            </w:r>
          </w:p>
        </w:tc>
        <w:tc>
          <w:tcPr>
            <w:tcW w:w="971" w:type="dxa"/>
            <w:tcBorders>
              <w:top w:val="single" w:color="auto" w:sz="4" w:space="0"/>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1093</w:t>
            </w:r>
          </w:p>
        </w:tc>
        <w:tc>
          <w:tcPr>
            <w:tcW w:w="972" w:type="dxa"/>
            <w:tcBorders>
              <w:top w:val="single" w:color="auto" w:sz="4" w:space="0"/>
              <w:lef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1093</w:t>
            </w:r>
          </w:p>
        </w:tc>
      </w:tr>
      <w:tr>
        <w:tblPrEx>
          <w:tblLayout w:type="fixed"/>
          <w:tblCellMar>
            <w:top w:w="0" w:type="dxa"/>
            <w:left w:w="108" w:type="dxa"/>
            <w:bottom w:w="0" w:type="dxa"/>
            <w:right w:w="108" w:type="dxa"/>
          </w:tblCellMar>
        </w:tblPrEx>
        <w:trPr>
          <w:trHeight w:val="317" w:hRule="atLeast"/>
          <w:jc w:val="center"/>
        </w:trPr>
        <w:tc>
          <w:tcPr>
            <w:tcW w:w="2552" w:type="dxa"/>
            <w:tcBorders>
              <w:left w:val="nil"/>
              <w:bottom w:val="single" w:color="auto" w:sz="12" w:space="0"/>
              <w:right w:val="single" w:color="auto" w:sz="4" w:space="0"/>
            </w:tcBorders>
            <w:shd w:val="clear" w:color="auto" w:fill="auto"/>
            <w:noWrap/>
          </w:tcPr>
          <w:p>
            <w:pPr>
              <w:widowControl/>
              <w:spacing w:line="300" w:lineRule="exac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R</w:t>
            </w:r>
            <w:r>
              <w:rPr>
                <w:rFonts w:ascii="Times New Roman" w:hAnsi="Times New Roman" w:eastAsia="宋体" w:cs="Times New Roman"/>
                <w:color w:val="000000"/>
                <w:kern w:val="0"/>
                <w:sz w:val="18"/>
                <w:szCs w:val="18"/>
                <w:vertAlign w:val="superscript"/>
              </w:rPr>
              <w:t>2</w:t>
            </w:r>
            <w:r>
              <w:rPr>
                <w:rFonts w:hint="eastAsia" w:ascii="Times New Roman" w:hAnsi="Times New Roman" w:eastAsia="宋体" w:cs="Times New Roman"/>
                <w:color w:val="000000"/>
                <w:kern w:val="0"/>
                <w:sz w:val="18"/>
                <w:szCs w:val="18"/>
              </w:rPr>
              <w:t>值</w:t>
            </w:r>
          </w:p>
        </w:tc>
        <w:tc>
          <w:tcPr>
            <w:tcW w:w="1134" w:type="dxa"/>
            <w:tcBorders>
              <w:left w:val="single" w:color="auto" w:sz="4" w:space="0"/>
              <w:bottom w:val="single" w:color="auto" w:sz="12"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0.921</w:t>
            </w:r>
          </w:p>
        </w:tc>
        <w:tc>
          <w:tcPr>
            <w:tcW w:w="1026" w:type="dxa"/>
            <w:tcBorders>
              <w:left w:val="nil"/>
              <w:bottom w:val="single" w:color="auto" w:sz="12" w:space="0"/>
              <w:right w:val="nil"/>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0.841</w:t>
            </w:r>
          </w:p>
        </w:tc>
        <w:tc>
          <w:tcPr>
            <w:tcW w:w="971" w:type="dxa"/>
            <w:tcBorders>
              <w:left w:val="nil"/>
              <w:bottom w:val="single" w:color="auto" w:sz="12" w:space="0"/>
              <w:right w:val="single" w:color="auto" w:sz="4" w:space="0"/>
            </w:tcBorders>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0.844</w:t>
            </w:r>
          </w:p>
        </w:tc>
        <w:tc>
          <w:tcPr>
            <w:tcW w:w="971" w:type="dxa"/>
            <w:tcBorders>
              <w:left w:val="single" w:color="auto" w:sz="4" w:space="0"/>
              <w:bottom w:val="single" w:color="auto" w:sz="12"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0.950</w:t>
            </w:r>
          </w:p>
        </w:tc>
        <w:tc>
          <w:tcPr>
            <w:tcW w:w="971" w:type="dxa"/>
            <w:tcBorders>
              <w:left w:val="nil"/>
              <w:bottom w:val="single" w:color="auto" w:sz="12"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0.911</w:t>
            </w:r>
          </w:p>
        </w:tc>
        <w:tc>
          <w:tcPr>
            <w:tcW w:w="972" w:type="dxa"/>
            <w:tcBorders>
              <w:left w:val="nil"/>
              <w:bottom w:val="single" w:color="auto" w:sz="12"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0.886</w:t>
            </w:r>
          </w:p>
        </w:tc>
      </w:tr>
    </w:tbl>
    <w:p>
      <w:pPr>
        <w:spacing w:line="240" w:lineRule="atLeast"/>
        <w:ind w:left="168" w:leftChars="86" w:firstLine="332" w:firstLineChars="200"/>
        <w:rPr>
          <w:rFonts w:ascii="Times New Roman" w:hAnsi="Times New Roman" w:eastAsia="楷体" w:cs="Times New Roman"/>
          <w:color w:val="000000"/>
          <w:szCs w:val="21"/>
        </w:rPr>
      </w:pPr>
      <w:r>
        <w:rPr>
          <w:rFonts w:hint="eastAsia" w:ascii="Times New Roman" w:hAnsi="Times New Roman" w:eastAsia="宋体" w:cs="Times New Roman"/>
          <w:color w:val="000000"/>
          <w:sz w:val="18"/>
          <w:szCs w:val="18"/>
        </w:rPr>
        <w:t>注：</w:t>
      </w:r>
      <w:r>
        <w:rPr>
          <w:rFonts w:hint="eastAsia" w:ascii="宋体" w:hAnsi="宋体" w:eastAsia="宋体" w:cs="宋体"/>
          <w:color w:val="000000"/>
          <w:sz w:val="18"/>
          <w:szCs w:val="18"/>
        </w:rPr>
        <w:t>①</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和</w:t>
      </w:r>
      <w:r>
        <w:rPr>
          <w:rFonts w:ascii="Times New Roman" w:hAnsi="Times New Roman" w:eastAsia="宋体" w:cs="Times New Roman"/>
          <w:color w:val="000000"/>
          <w:sz w:val="18"/>
          <w:szCs w:val="18"/>
        </w:rPr>
        <w:t>*</w:t>
      </w:r>
      <w:r>
        <w:rPr>
          <w:rFonts w:hint="eastAsia" w:ascii="Times New Roman" w:hAnsi="Times New Roman" w:eastAsia="宋体" w:cs="Times New Roman"/>
          <w:color w:val="000000"/>
          <w:sz w:val="18"/>
          <w:szCs w:val="18"/>
        </w:rPr>
        <w:t>分别表示</w:t>
      </w:r>
      <w:r>
        <w:rPr>
          <w:rFonts w:ascii="Times New Roman" w:hAnsi="Times New Roman" w:eastAsia="宋体" w:cs="Times New Roman"/>
          <w:color w:val="000000"/>
          <w:sz w:val="18"/>
          <w:szCs w:val="18"/>
        </w:rPr>
        <w:t>1%</w:t>
      </w:r>
      <w:r>
        <w:rPr>
          <w:rFonts w:hint="eastAsia" w:ascii="Times New Roman" w:hAnsi="Times New Roman" w:eastAsia="宋体" w:cs="Times New Roman"/>
          <w:color w:val="000000"/>
          <w:sz w:val="18"/>
          <w:szCs w:val="18"/>
        </w:rPr>
        <w:t>、</w:t>
      </w:r>
      <w:r>
        <w:rPr>
          <w:rFonts w:ascii="Times New Roman" w:hAnsi="Times New Roman" w:eastAsia="宋体" w:cs="Times New Roman"/>
          <w:color w:val="000000"/>
          <w:sz w:val="18"/>
          <w:szCs w:val="18"/>
        </w:rPr>
        <w:t>5%</w:t>
      </w:r>
      <w:r>
        <w:rPr>
          <w:rFonts w:hint="eastAsia" w:ascii="Times New Roman" w:hAnsi="Times New Roman" w:eastAsia="宋体" w:cs="Times New Roman"/>
          <w:color w:val="000000"/>
          <w:sz w:val="18"/>
          <w:szCs w:val="18"/>
        </w:rPr>
        <w:t>和</w:t>
      </w:r>
      <w:r>
        <w:rPr>
          <w:rFonts w:ascii="Times New Roman" w:hAnsi="Times New Roman" w:eastAsia="宋体" w:cs="Times New Roman"/>
          <w:color w:val="000000"/>
          <w:sz w:val="18"/>
          <w:szCs w:val="18"/>
        </w:rPr>
        <w:t>10%</w:t>
      </w:r>
      <w:r>
        <w:rPr>
          <w:rFonts w:hint="eastAsia" w:ascii="Times New Roman" w:hAnsi="Times New Roman" w:eastAsia="宋体" w:cs="Times New Roman"/>
          <w:color w:val="000000"/>
          <w:sz w:val="18"/>
          <w:szCs w:val="18"/>
        </w:rPr>
        <w:t>的显著性水平；②括号内为聚类到地级市层面的标准误；③</w:t>
      </w:r>
      <w:r>
        <w:rPr>
          <w:rFonts w:hint="eastAsia" w:ascii="Times New Roman" w:hAnsi="Times New Roman" w:eastAsia="宋体" w:cs="Times New Roman"/>
          <w:bCs/>
          <w:color w:val="000000"/>
          <w:sz w:val="18"/>
          <w:szCs w:val="18"/>
        </w:rPr>
        <w:t>提高应税污染物征税标准的地区包括河北、江苏、山东、河南、湖南、四川、重庆、贵州、海南、广西、山西和北京等。</w:t>
      </w:r>
      <w:r>
        <w:rPr>
          <w:rFonts w:hint="eastAsia" w:ascii="Times New Roman" w:hAnsi="Times New Roman" w:eastAsia="宋体" w:cs="Times New Roman"/>
          <w:color w:val="000000"/>
          <w:sz w:val="18"/>
          <w:szCs w:val="18"/>
        </w:rPr>
        <w:t>④控制变量同</w:t>
      </w:r>
      <w:r>
        <w:rPr>
          <w:rFonts w:hint="eastAsia" w:ascii="Times New Roman" w:hAnsi="Times New Roman" w:eastAsia="宋体" w:cs="Times New Roman"/>
          <w:sz w:val="18"/>
          <w:szCs w:val="18"/>
        </w:rPr>
        <w:t>正文中的</w:t>
      </w:r>
      <w:r>
        <w:rPr>
          <w:rFonts w:hint="eastAsia" w:ascii="Times New Roman" w:hAnsi="Times New Roman" w:eastAsia="宋体" w:cs="Times New Roman"/>
          <w:color w:val="000000"/>
          <w:sz w:val="18"/>
          <w:szCs w:val="18"/>
        </w:rPr>
        <w:t>表</w:t>
      </w:r>
      <w:r>
        <w:rPr>
          <w:rFonts w:ascii="Times New Roman" w:hAnsi="Times New Roman" w:eastAsia="宋体" w:cs="Times New Roman"/>
          <w:color w:val="000000"/>
          <w:sz w:val="18"/>
          <w:szCs w:val="18"/>
        </w:rPr>
        <w:t>2</w:t>
      </w:r>
      <w:r>
        <w:rPr>
          <w:rFonts w:hint="eastAsia" w:ascii="Times New Roman" w:hAnsi="Times New Roman" w:eastAsia="宋体" w:cs="Times New Roman"/>
          <w:color w:val="000000"/>
          <w:sz w:val="18"/>
          <w:szCs w:val="18"/>
        </w:rPr>
        <w:t>。</w:t>
      </w:r>
    </w:p>
    <w:p>
      <w:pPr>
        <w:jc w:val="center"/>
        <w:rPr>
          <w:rFonts w:ascii="Times New Roman" w:hAnsi="Times New Roman" w:eastAsia="黑体" w:cs="Times New Roman"/>
          <w:bCs/>
          <w:color w:val="000000"/>
          <w:sz w:val="18"/>
          <w:szCs w:val="18"/>
        </w:rPr>
      </w:pPr>
      <w:r>
        <w:rPr>
          <w:rFonts w:ascii="Times New Roman" w:hAnsi="Times New Roman" w:eastAsia="宋体" w:cs="Times New Roman"/>
          <w:color w:val="000000"/>
          <w:kern w:val="0"/>
          <w:sz w:val="18"/>
          <w:szCs w:val="18"/>
        </w:rPr>
        <w:drawing>
          <wp:inline distT="0" distB="0" distL="0" distR="0">
            <wp:extent cx="5277485" cy="1494155"/>
            <wp:effectExtent l="0" t="0" r="18415" b="10795"/>
            <wp:docPr id="35170549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705494"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l="903" r="724"/>
                    <a:stretch>
                      <a:fillRect/>
                    </a:stretch>
                  </pic:blipFill>
                  <pic:spPr>
                    <a:xfrm>
                      <a:off x="0" y="0"/>
                      <a:ext cx="5277600" cy="1494205"/>
                    </a:xfrm>
                    <a:prstGeom prst="rect">
                      <a:avLst/>
                    </a:prstGeom>
                    <a:noFill/>
                    <a:ln>
                      <a:noFill/>
                    </a:ln>
                  </pic:spPr>
                </pic:pic>
              </a:graphicData>
            </a:graphic>
          </wp:inline>
        </w:drawing>
      </w:r>
      <w:r>
        <w:rPr>
          <w:rFonts w:hint="eastAsia" w:ascii="Times New Roman" w:hAnsi="Times New Roman" w:eastAsia="宋体" w:cs="Times New Roman"/>
          <w:color w:val="000000"/>
          <w:kern w:val="0"/>
          <w:sz w:val="18"/>
          <w:szCs w:val="18"/>
        </w:rPr>
        <w:t xml:space="preserve">           </w:t>
      </w:r>
      <w:r>
        <w:rPr>
          <w:rFonts w:hint="eastAsia" w:ascii="Times New Roman" w:hAnsi="Times New Roman" w:eastAsia="宋体" w:cs="Times New Roman"/>
          <w:bCs/>
          <w:color w:val="000000"/>
          <w:kern w:val="0"/>
          <w:sz w:val="18"/>
          <w:szCs w:val="18"/>
        </w:rPr>
        <w:t>（</w:t>
      </w:r>
      <w:r>
        <w:rPr>
          <w:rFonts w:ascii="Times New Roman" w:hAnsi="Times New Roman" w:eastAsia="宋体" w:cs="Times New Roman"/>
          <w:bCs/>
          <w:color w:val="000000"/>
          <w:kern w:val="0"/>
          <w:sz w:val="18"/>
          <w:szCs w:val="18"/>
        </w:rPr>
        <w:t>a</w:t>
      </w:r>
      <w:r>
        <w:rPr>
          <w:rFonts w:hint="eastAsia" w:ascii="Times New Roman" w:hAnsi="Times New Roman" w:eastAsia="宋体" w:cs="Times New Roman"/>
          <w:bCs/>
          <w:color w:val="000000"/>
          <w:kern w:val="0"/>
          <w:sz w:val="18"/>
          <w:szCs w:val="18"/>
        </w:rPr>
        <w:t>）细颗粒物浓度</w:t>
      </w:r>
      <w:r>
        <w:rPr>
          <w:rFonts w:ascii="Times New Roman" w:hAnsi="Times New Roman" w:eastAsia="宋体" w:cs="Times New Roman"/>
          <w:bCs/>
          <w:color w:val="000000"/>
          <w:kern w:val="0"/>
          <w:sz w:val="18"/>
          <w:szCs w:val="18"/>
        </w:rPr>
        <w:t xml:space="preserve">      </w:t>
      </w:r>
      <w:r>
        <w:rPr>
          <w:rFonts w:hint="eastAsia" w:ascii="Times New Roman" w:hAnsi="Times New Roman" w:eastAsia="宋体" w:cs="Times New Roman"/>
          <w:bCs/>
          <w:color w:val="000000"/>
          <w:kern w:val="0"/>
          <w:sz w:val="18"/>
          <w:szCs w:val="18"/>
        </w:rPr>
        <w:t xml:space="preserve">  </w:t>
      </w:r>
      <w:r>
        <w:rPr>
          <w:rFonts w:ascii="Times New Roman" w:hAnsi="Times New Roman" w:eastAsia="宋体" w:cs="Times New Roman"/>
          <w:bCs/>
          <w:color w:val="000000"/>
          <w:kern w:val="0"/>
          <w:sz w:val="18"/>
          <w:szCs w:val="18"/>
        </w:rPr>
        <w:t xml:space="preserve">     </w:t>
      </w:r>
      <w:r>
        <w:rPr>
          <w:rFonts w:hint="eastAsia" w:ascii="Times New Roman" w:hAnsi="Times New Roman" w:eastAsia="宋体" w:cs="Times New Roman"/>
          <w:bCs/>
          <w:color w:val="000000"/>
          <w:kern w:val="0"/>
          <w:sz w:val="18"/>
          <w:szCs w:val="18"/>
        </w:rPr>
        <w:t xml:space="preserve">    </w:t>
      </w:r>
      <w:r>
        <w:rPr>
          <w:rFonts w:ascii="Times New Roman" w:hAnsi="Times New Roman" w:eastAsia="宋体" w:cs="Times New Roman"/>
          <w:bCs/>
          <w:color w:val="000000"/>
          <w:kern w:val="0"/>
          <w:sz w:val="18"/>
          <w:szCs w:val="18"/>
        </w:rPr>
        <w:t xml:space="preserve">  </w:t>
      </w:r>
      <w:r>
        <w:rPr>
          <w:rFonts w:hint="eastAsia" w:ascii="Times New Roman" w:hAnsi="Times New Roman" w:eastAsia="宋体" w:cs="Times New Roman"/>
          <w:bCs/>
          <w:color w:val="000000"/>
          <w:kern w:val="0"/>
          <w:sz w:val="18"/>
          <w:szCs w:val="18"/>
        </w:rPr>
        <w:t>（</w:t>
      </w:r>
      <w:r>
        <w:rPr>
          <w:rFonts w:ascii="Times New Roman" w:hAnsi="Times New Roman" w:eastAsia="宋体" w:cs="Times New Roman"/>
          <w:bCs/>
          <w:color w:val="000000"/>
          <w:kern w:val="0"/>
          <w:sz w:val="18"/>
          <w:szCs w:val="18"/>
        </w:rPr>
        <w:t>b</w:t>
      </w:r>
      <w:r>
        <w:rPr>
          <w:rFonts w:hint="eastAsia" w:ascii="Times New Roman" w:hAnsi="Times New Roman" w:eastAsia="宋体" w:cs="Times New Roman"/>
          <w:bCs/>
          <w:color w:val="000000"/>
          <w:kern w:val="0"/>
          <w:sz w:val="18"/>
          <w:szCs w:val="18"/>
        </w:rPr>
        <w:t>）二氧化硫浓度</w:t>
      </w:r>
      <w:r>
        <w:rPr>
          <w:rFonts w:ascii="Times New Roman" w:hAnsi="Times New Roman" w:eastAsia="宋体" w:cs="Times New Roman"/>
          <w:bCs/>
          <w:color w:val="000000"/>
          <w:kern w:val="0"/>
          <w:sz w:val="18"/>
          <w:szCs w:val="18"/>
        </w:rPr>
        <w:t xml:space="preserve">             </w:t>
      </w:r>
      <w:r>
        <w:rPr>
          <w:rFonts w:hint="eastAsia" w:ascii="Times New Roman" w:hAnsi="Times New Roman" w:eastAsia="宋体" w:cs="Times New Roman"/>
          <w:bCs/>
          <w:color w:val="000000"/>
          <w:kern w:val="0"/>
          <w:sz w:val="18"/>
          <w:szCs w:val="18"/>
        </w:rPr>
        <w:t>（</w:t>
      </w:r>
      <w:r>
        <w:rPr>
          <w:rFonts w:ascii="Times New Roman" w:hAnsi="Times New Roman" w:eastAsia="宋体" w:cs="Times New Roman"/>
          <w:bCs/>
          <w:color w:val="000000"/>
          <w:kern w:val="0"/>
          <w:sz w:val="18"/>
          <w:szCs w:val="18"/>
        </w:rPr>
        <w:t>c</w:t>
      </w:r>
      <w:r>
        <w:rPr>
          <w:rFonts w:hint="eastAsia" w:ascii="Times New Roman" w:hAnsi="Times New Roman" w:eastAsia="宋体" w:cs="Times New Roman"/>
          <w:bCs/>
          <w:color w:val="000000"/>
          <w:kern w:val="0"/>
          <w:sz w:val="18"/>
          <w:szCs w:val="18"/>
        </w:rPr>
        <w:t>）一氧化碳浓度</w:t>
      </w:r>
    </w:p>
    <w:p>
      <w:pPr>
        <w:ind w:firstLine="332" w:firstLineChars="200"/>
        <w:jc w:val="center"/>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附图3</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安慰剂检验结果</w:t>
      </w:r>
    </w:p>
    <w:p>
      <w:pPr>
        <w:ind w:firstLine="332" w:firstLineChars="200"/>
        <w:jc w:val="both"/>
        <w:rPr>
          <w:rFonts w:ascii="Times New Roman" w:hAnsi="Times New Roman" w:eastAsia="宋体" w:cs="Times New Roman"/>
          <w:color w:val="000000"/>
          <w:kern w:val="0"/>
          <w:sz w:val="18"/>
          <w:szCs w:val="15"/>
        </w:rPr>
      </w:pPr>
      <w:r>
        <w:rPr>
          <w:rFonts w:hint="eastAsia" w:ascii="Times New Roman" w:hAnsi="Times New Roman" w:eastAsia="宋体" w:cs="Times New Roman"/>
          <w:color w:val="000000"/>
          <w:kern w:val="0"/>
          <w:sz w:val="18"/>
          <w:szCs w:val="15"/>
        </w:rPr>
        <w:t>注：圆圈代表核心解释变量虚拟估计系数的</w:t>
      </w:r>
      <w:r>
        <w:rPr>
          <w:rFonts w:ascii="Times New Roman" w:hAnsi="Times New Roman" w:eastAsia="宋体" w:cs="Times New Roman"/>
          <w:color w:val="000000"/>
          <w:kern w:val="0"/>
          <w:sz w:val="18"/>
          <w:szCs w:val="15"/>
        </w:rPr>
        <w:t>p</w:t>
      </w:r>
      <w:r>
        <w:rPr>
          <w:rFonts w:hint="eastAsia" w:ascii="Times New Roman" w:hAnsi="Times New Roman" w:eastAsia="宋体" w:cs="Times New Roman"/>
          <w:color w:val="000000"/>
          <w:kern w:val="0"/>
          <w:sz w:val="18"/>
          <w:szCs w:val="15"/>
        </w:rPr>
        <w:t>值，实线曲线代表虚拟估计系数的概率密度曲线，垂直虚线代表核心解释变量的真实估计系数，垂直实线为</w:t>
      </w:r>
      <w:r>
        <w:rPr>
          <w:rFonts w:ascii="Times New Roman" w:hAnsi="Times New Roman" w:eastAsia="宋体" w:cs="Times New Roman"/>
          <w:color w:val="000000"/>
          <w:kern w:val="0"/>
          <w:sz w:val="18"/>
          <w:szCs w:val="15"/>
        </w:rPr>
        <w:t>0</w:t>
      </w:r>
      <w:r>
        <w:rPr>
          <w:rFonts w:hint="eastAsia" w:ascii="Times New Roman" w:hAnsi="Times New Roman" w:eastAsia="宋体" w:cs="Times New Roman"/>
          <w:color w:val="000000"/>
          <w:kern w:val="0"/>
          <w:sz w:val="18"/>
          <w:szCs w:val="15"/>
        </w:rPr>
        <w:t>值参考线。</w:t>
      </w:r>
    </w:p>
    <w:p>
      <w:pPr>
        <w:ind w:firstLine="392" w:firstLineChars="200"/>
        <w:jc w:val="left"/>
        <w:rPr>
          <w:rFonts w:ascii="Times New Roman" w:hAnsi="Times New Roman" w:eastAsia="宋体" w:cs="Times New Roman"/>
          <w:color w:val="000000"/>
          <w:szCs w:val="21"/>
        </w:rPr>
      </w:pPr>
    </w:p>
    <w:p>
      <w:pPr>
        <w:spacing w:line="240" w:lineRule="atLeast"/>
        <w:ind w:firstLine="332" w:firstLineChars="200"/>
        <w:jc w:val="left"/>
        <w:rPr>
          <w:rFonts w:hint="eastAsia" w:ascii="Times New Roman" w:hAnsi="Times New Roman" w:eastAsia="黑体" w:cs="Times New Roman"/>
          <w:bCs/>
          <w:color w:val="000000"/>
          <w:sz w:val="18"/>
          <w:szCs w:val="18"/>
        </w:rPr>
      </w:pPr>
    </w:p>
    <w:p>
      <w:pPr>
        <w:spacing w:line="240" w:lineRule="atLeast"/>
        <w:ind w:firstLine="332" w:firstLineChars="200"/>
        <w:jc w:val="left"/>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附表4</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基于上市公司数据的税收收入效应机制检验结果</w:t>
      </w:r>
    </w:p>
    <w:tbl>
      <w:tblPr>
        <w:tblStyle w:val="33"/>
        <w:tblW w:w="8608" w:type="dxa"/>
        <w:jc w:val="center"/>
        <w:tblInd w:w="-8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75"/>
        <w:gridCol w:w="583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vMerge w:val="restart"/>
            <w:tcBorders>
              <w:top w:val="single" w:color="auto" w:sz="12"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变量</w:t>
            </w:r>
          </w:p>
        </w:tc>
        <w:tc>
          <w:tcPr>
            <w:tcW w:w="5833" w:type="dxa"/>
            <w:tcBorders>
              <w:top w:val="single" w:color="auto" w:sz="12" w:space="0"/>
              <w:left w:val="single" w:color="auto" w:sz="4" w:space="0"/>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企业投资</w:t>
            </w:r>
            <w:r>
              <w:rPr>
                <w:rFonts w:hint="eastAsia" w:ascii="Times New Roman" w:hAnsi="Times New Roman" w:eastAsia="宋体" w:cs="Times New Roman"/>
                <w:szCs w:val="24"/>
                <w:lang w:val="en-US" w:eastAsia="zh-CN"/>
              </w:rPr>
              <w:t>规模</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vMerge w:val="continue"/>
            <w:tcBorders>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p>
        </w:tc>
        <w:tc>
          <w:tcPr>
            <w:tcW w:w="5833" w:type="dxa"/>
            <w:tcBorders>
              <w:top w:val="nil"/>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方程</w:t>
            </w:r>
            <w:r>
              <w:rPr>
                <w:rFonts w:ascii="Times New Roman" w:hAnsi="Times New Roman" w:eastAsia="宋体" w:cs="Times New Roman"/>
                <w:color w:val="000000"/>
                <w:spacing w:val="-8"/>
                <w:kern w:val="0"/>
                <w:sz w:val="18"/>
                <w:szCs w:val="18"/>
              </w:rPr>
              <w:t>1</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tcBorders>
              <w:top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增值税依赖度</w:t>
            </w:r>
            <w:r>
              <w:rPr>
                <w:rFonts w:hint="eastAsia" w:ascii="Times New Roman" w:hAnsi="Times New Roman" w:eastAsia="宋体" w:cs="Times New Roman"/>
                <w:color w:val="000000"/>
                <w:spacing w:val="-8"/>
                <w:sz w:val="18"/>
                <w:szCs w:val="18"/>
              </w:rPr>
              <w:t>×</w:t>
            </w:r>
            <w:r>
              <w:rPr>
                <w:rFonts w:hint="eastAsia" w:ascii="Times New Roman" w:hAnsi="Times New Roman" w:eastAsia="宋体" w:cs="Times New Roman"/>
                <w:color w:val="000000"/>
                <w:spacing w:val="-8"/>
                <w:kern w:val="0"/>
                <w:sz w:val="18"/>
                <w:szCs w:val="18"/>
              </w:rPr>
              <w:t>政策实施年份</w:t>
            </w:r>
          </w:p>
        </w:tc>
        <w:tc>
          <w:tcPr>
            <w:tcW w:w="5833" w:type="dxa"/>
            <w:tcBorders>
              <w:top w:val="single" w:color="auto" w:sz="4" w:space="0"/>
              <w:left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ascii="Times New Roman" w:hAnsi="Times New Roman" w:eastAsia="宋体" w:cs="Times New Roman"/>
                <w:color w:val="000000"/>
                <w:spacing w:val="-8"/>
                <w:kern w:val="0"/>
                <w:sz w:val="18"/>
                <w:szCs w:val="18"/>
              </w:rPr>
              <w:t>0.037</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p>
        </w:tc>
        <w:tc>
          <w:tcPr>
            <w:tcW w:w="5833" w:type="dxa"/>
            <w:tcBorders>
              <w:left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w:t>
            </w:r>
            <w:r>
              <w:rPr>
                <w:rFonts w:ascii="Times New Roman" w:hAnsi="Times New Roman" w:eastAsia="宋体" w:cs="Times New Roman"/>
                <w:color w:val="000000"/>
                <w:spacing w:val="-8"/>
                <w:kern w:val="0"/>
                <w:sz w:val="18"/>
                <w:szCs w:val="18"/>
              </w:rPr>
              <w:t>0.036</w:t>
            </w:r>
            <w:r>
              <w:rPr>
                <w:rFonts w:hint="eastAsia" w:ascii="Times New Roman" w:hAnsi="Times New Roman" w:eastAsia="宋体" w:cs="Times New Roman"/>
                <w:color w:val="000000"/>
                <w:spacing w:val="-8"/>
                <w:kern w:val="0"/>
                <w:sz w:val="18"/>
                <w:szCs w:val="18"/>
              </w:rPr>
              <w:t>）</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vMerge w:val="restart"/>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增值税依赖度×政策实施年份×是否为重污染企业</w:t>
            </w:r>
          </w:p>
        </w:tc>
        <w:tc>
          <w:tcPr>
            <w:tcW w:w="5833" w:type="dxa"/>
            <w:tcBorders>
              <w:left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ascii="Times New Roman" w:hAnsi="Times New Roman" w:eastAsia="宋体" w:cs="Times New Roman"/>
                <w:color w:val="000000"/>
                <w:spacing w:val="-8"/>
                <w:kern w:val="0"/>
                <w:sz w:val="18"/>
                <w:szCs w:val="18"/>
              </w:rPr>
              <w:t>0.011</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vMerge w:val="continue"/>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p>
        </w:tc>
        <w:tc>
          <w:tcPr>
            <w:tcW w:w="5833" w:type="dxa"/>
            <w:tcBorders>
              <w:left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w:t>
            </w:r>
            <w:r>
              <w:rPr>
                <w:rFonts w:ascii="Times New Roman" w:hAnsi="Times New Roman" w:eastAsia="宋体" w:cs="Times New Roman"/>
                <w:color w:val="000000"/>
                <w:spacing w:val="-8"/>
                <w:kern w:val="0"/>
                <w:sz w:val="18"/>
                <w:szCs w:val="18"/>
              </w:rPr>
              <w:t>0.017</w:t>
            </w:r>
            <w:r>
              <w:rPr>
                <w:rFonts w:hint="eastAsia" w:ascii="Times New Roman" w:hAnsi="Times New Roman" w:eastAsia="宋体" w:cs="Times New Roman"/>
                <w:color w:val="000000"/>
                <w:spacing w:val="-8"/>
                <w:kern w:val="0"/>
                <w:sz w:val="18"/>
                <w:szCs w:val="18"/>
              </w:rPr>
              <w:t>）</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控制变量</w:t>
            </w:r>
          </w:p>
        </w:tc>
        <w:tc>
          <w:tcPr>
            <w:tcW w:w="5833" w:type="dxa"/>
            <w:tcBorders>
              <w:left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tcBorders>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年份固定效应</w:t>
            </w:r>
          </w:p>
        </w:tc>
        <w:tc>
          <w:tcPr>
            <w:tcW w:w="5833" w:type="dxa"/>
            <w:tcBorders>
              <w:left w:val="single" w:color="auto" w:sz="4" w:space="0"/>
              <w:right w:val="nil"/>
            </w:tcBorders>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tcBorders>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企业固定效应</w:t>
            </w:r>
          </w:p>
        </w:tc>
        <w:tc>
          <w:tcPr>
            <w:tcW w:w="5833" w:type="dxa"/>
            <w:tcBorders>
              <w:left w:val="single" w:color="auto" w:sz="4" w:space="0"/>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tcBorders>
              <w:top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r>
              <w:rPr>
                <w:rFonts w:hint="eastAsia" w:ascii="Times New Roman" w:hAnsi="Times New Roman" w:eastAsia="宋体" w:cs="Times New Roman"/>
                <w:color w:val="000000"/>
                <w:spacing w:val="-8"/>
                <w:kern w:val="0"/>
                <w:sz w:val="18"/>
                <w:szCs w:val="18"/>
              </w:rPr>
              <w:t>观测值</w:t>
            </w:r>
          </w:p>
        </w:tc>
        <w:tc>
          <w:tcPr>
            <w:tcW w:w="5833" w:type="dxa"/>
            <w:tcBorders>
              <w:top w:val="single" w:color="auto" w:sz="4" w:space="0"/>
              <w:left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ascii="Times New Roman" w:hAnsi="Times New Roman" w:eastAsia="宋体" w:cs="Times New Roman"/>
                <w:color w:val="000000"/>
                <w:spacing w:val="-8"/>
                <w:kern w:val="0"/>
                <w:sz w:val="18"/>
                <w:szCs w:val="18"/>
              </w:rPr>
              <w:t>13162</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7" w:hRule="exact"/>
          <w:jc w:val="center"/>
        </w:trPr>
        <w:tc>
          <w:tcPr>
            <w:tcW w:w="2775" w:type="dxa"/>
            <w:tcBorders>
              <w:bottom w:val="single" w:color="auto" w:sz="12"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Times New Roman" w:hAnsi="Times New Roman" w:eastAsia="宋体" w:cs="Times New Roman"/>
                <w:color w:val="000000"/>
                <w:spacing w:val="-8"/>
                <w:kern w:val="0"/>
                <w:sz w:val="18"/>
                <w:szCs w:val="18"/>
              </w:rPr>
            </w:pPr>
            <w:r>
              <w:rPr>
                <w:rFonts w:ascii="Times New Roman" w:hAnsi="Times New Roman" w:eastAsia="宋体" w:cs="Times New Roman"/>
                <w:color w:val="000000"/>
                <w:spacing w:val="-8"/>
                <w:kern w:val="0"/>
                <w:sz w:val="18"/>
                <w:szCs w:val="18"/>
              </w:rPr>
              <w:t>R</w:t>
            </w:r>
            <w:r>
              <w:rPr>
                <w:rFonts w:ascii="Times New Roman" w:hAnsi="Times New Roman" w:eastAsia="宋体" w:cs="Times New Roman"/>
                <w:color w:val="000000"/>
                <w:spacing w:val="-8"/>
                <w:kern w:val="0"/>
                <w:sz w:val="18"/>
                <w:szCs w:val="18"/>
                <w:vertAlign w:val="superscript"/>
              </w:rPr>
              <w:t>2</w:t>
            </w:r>
            <w:r>
              <w:rPr>
                <w:rFonts w:hint="eastAsia" w:ascii="Times New Roman" w:hAnsi="Times New Roman" w:eastAsia="宋体" w:cs="Times New Roman"/>
                <w:color w:val="000000"/>
                <w:spacing w:val="-8"/>
                <w:kern w:val="0"/>
                <w:sz w:val="18"/>
                <w:szCs w:val="18"/>
              </w:rPr>
              <w:t>值</w:t>
            </w:r>
          </w:p>
        </w:tc>
        <w:tc>
          <w:tcPr>
            <w:tcW w:w="5833" w:type="dxa"/>
            <w:tcBorders>
              <w:left w:val="single" w:color="auto" w:sz="4" w:space="0"/>
              <w:bottom w:val="single" w:color="auto" w:sz="12" w:space="0"/>
              <w:right w:val="nil"/>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000000"/>
                <w:spacing w:val="-8"/>
                <w:kern w:val="0"/>
                <w:sz w:val="18"/>
                <w:szCs w:val="18"/>
              </w:rPr>
            </w:pPr>
            <w:r>
              <w:rPr>
                <w:rFonts w:ascii="Times New Roman" w:hAnsi="Times New Roman" w:eastAsia="宋体" w:cs="Times New Roman"/>
                <w:color w:val="000000"/>
                <w:spacing w:val="-8"/>
                <w:kern w:val="0"/>
                <w:sz w:val="18"/>
                <w:szCs w:val="18"/>
              </w:rPr>
              <w:t>0.476</w:t>
            </w:r>
          </w:p>
        </w:tc>
      </w:tr>
    </w:tbl>
    <w:p>
      <w:pPr>
        <w:spacing w:line="240" w:lineRule="atLeast"/>
        <w:ind w:firstLine="332" w:firstLineChars="200"/>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注：</w:t>
      </w:r>
      <w:r>
        <w:rPr>
          <w:rFonts w:hint="eastAsia" w:ascii="宋体" w:hAnsi="宋体" w:eastAsia="宋体" w:cs="宋体"/>
          <w:color w:val="000000"/>
          <w:sz w:val="18"/>
          <w:szCs w:val="18"/>
        </w:rPr>
        <w:t>①</w:t>
      </w:r>
      <w:r>
        <w:rPr>
          <w:rFonts w:hint="eastAsia" w:ascii="Times New Roman" w:hAnsi="Times New Roman" w:eastAsia="宋体" w:cs="Times New Roman"/>
          <w:color w:val="000000"/>
          <w:sz w:val="18"/>
          <w:szCs w:val="18"/>
        </w:rPr>
        <w:t>括号内为聚类到地级市层面的标准误；②上市公司数据的样本区间为2015</w:t>
      </w:r>
      <w:r>
        <w:rPr>
          <w:rFonts w:hint="eastAsia" w:ascii="Times New Roman" w:hAnsi="Times New Roman" w:eastAsia="宋体" w:cs="Times New Roman"/>
          <w:b/>
          <w:bCs/>
          <w:szCs w:val="24"/>
        </w:rPr>
        <w:t>－</w:t>
      </w:r>
      <w:r>
        <w:rPr>
          <w:rFonts w:hint="eastAsia" w:ascii="Times New Roman" w:hAnsi="Times New Roman" w:eastAsia="宋体" w:cs="Times New Roman"/>
          <w:color w:val="000000"/>
          <w:sz w:val="18"/>
          <w:szCs w:val="18"/>
        </w:rPr>
        <w:t>2020年，数据来源于Wind数据库；</w:t>
      </w:r>
      <w:r>
        <w:rPr>
          <w:rFonts w:hint="eastAsia" w:ascii="Cambria Math" w:hAnsi="Cambria Math" w:eastAsia="宋体" w:cs="Cambria Math"/>
          <w:color w:val="000000"/>
          <w:kern w:val="0"/>
          <w:sz w:val="18"/>
          <w:szCs w:val="18"/>
        </w:rPr>
        <w:t>③</w:t>
      </w:r>
      <w:r>
        <w:rPr>
          <w:rFonts w:hint="eastAsia" w:ascii="Times New Roman" w:hAnsi="Times New Roman" w:eastAsia="宋体" w:cs="Times New Roman"/>
          <w:color w:val="000000"/>
          <w:sz w:val="18"/>
          <w:szCs w:val="18"/>
        </w:rPr>
        <w:t>除地级市层面控制变量外，还控制了企业规模、资产负债率、股权集中度、现金流水平、资产收益率和历史绩效等企业层面控制变量；</w:t>
      </w:r>
      <w:r>
        <w:rPr>
          <w:rFonts w:hint="eastAsia" w:ascii="宋体" w:hAnsi="宋体" w:eastAsia="宋体" w:cs="宋体"/>
          <w:color w:val="000000"/>
          <w:sz w:val="18"/>
          <w:szCs w:val="18"/>
        </w:rPr>
        <w:t>④</w:t>
      </w:r>
      <w:r>
        <w:rPr>
          <w:rFonts w:hint="eastAsia" w:ascii="Cambria Math" w:hAnsi="Cambria Math" w:eastAsia="宋体" w:cs="Cambria Math"/>
          <w:color w:val="000000"/>
          <w:kern w:val="0"/>
          <w:sz w:val="18"/>
          <w:szCs w:val="18"/>
        </w:rPr>
        <w:t>地级市层面</w:t>
      </w:r>
      <w:r>
        <w:rPr>
          <w:rFonts w:hint="eastAsia" w:ascii="Times New Roman" w:hAnsi="Times New Roman" w:eastAsia="宋体" w:cs="Times New Roman"/>
          <w:color w:val="000000"/>
          <w:kern w:val="0"/>
          <w:sz w:val="18"/>
          <w:szCs w:val="18"/>
        </w:rPr>
        <w:t>控制变量同</w:t>
      </w:r>
      <w:r>
        <w:rPr>
          <w:rFonts w:hint="eastAsia" w:ascii="Times New Roman" w:hAnsi="Times New Roman" w:eastAsia="宋体" w:cs="Times New Roman"/>
          <w:sz w:val="18"/>
          <w:szCs w:val="18"/>
        </w:rPr>
        <w:t>正文中的</w:t>
      </w:r>
      <w:r>
        <w:rPr>
          <w:rFonts w:hint="eastAsia" w:ascii="Times New Roman" w:hAnsi="Times New Roman" w:eastAsia="宋体" w:cs="Times New Roman"/>
          <w:color w:val="000000"/>
          <w:kern w:val="0"/>
          <w:sz w:val="18"/>
          <w:szCs w:val="18"/>
        </w:rPr>
        <w:t>表2</w:t>
      </w:r>
      <w:r>
        <w:rPr>
          <w:rFonts w:ascii="Times New Roman" w:hAnsi="Times New Roman" w:eastAsia="宋体" w:cs="Times New Roman"/>
          <w:color w:val="000000"/>
          <w:kern w:val="0"/>
          <w:sz w:val="18"/>
          <w:szCs w:val="18"/>
        </w:rPr>
        <w:t>。</w:t>
      </w:r>
    </w:p>
    <w:p>
      <w:pPr>
        <w:spacing w:line="240" w:lineRule="atLeast"/>
        <w:ind w:firstLine="392" w:firstLineChars="200"/>
        <w:rPr>
          <w:rFonts w:ascii="Times New Roman" w:hAnsi="Times New Roman" w:eastAsia="宋体" w:cs="Times New Roman"/>
          <w:color w:val="000000"/>
          <w:kern w:val="0"/>
          <w:szCs w:val="21"/>
        </w:rPr>
      </w:pPr>
    </w:p>
    <w:p>
      <w:pPr>
        <w:spacing w:line="240" w:lineRule="atLeast"/>
        <w:ind w:firstLine="332" w:firstLineChars="200"/>
        <w:jc w:val="left"/>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附表5</w:t>
      </w:r>
      <w:r>
        <w:rPr>
          <w:rFonts w:ascii="Times New Roman" w:hAnsi="Times New Roman" w:eastAsia="黑体" w:cs="Times New Roman"/>
          <w:bCs/>
          <w:color w:val="000000"/>
          <w:sz w:val="18"/>
          <w:szCs w:val="18"/>
        </w:rPr>
        <w:t xml:space="preserve"> </w:t>
      </w:r>
      <w:r>
        <w:rPr>
          <w:rFonts w:ascii="宋体" w:hAnsi="宋体" w:eastAsia="宋体" w:cs="Times New Roman"/>
          <w:bCs/>
          <w:color w:val="000000"/>
          <w:sz w:val="18"/>
          <w:szCs w:val="18"/>
        </w:rPr>
        <w:t xml:space="preserve">  </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 xml:space="preserve"> 被解释变量标准化后的增值税税率下调政策实施对环保处罚力度影响的估计结果</w:t>
      </w:r>
    </w:p>
    <w:tbl>
      <w:tblPr>
        <w:tblStyle w:val="33"/>
        <w:tblW w:w="8409" w:type="dxa"/>
        <w:tblInd w:w="119" w:type="dxa"/>
        <w:tblLayout w:type="fixed"/>
        <w:tblCellMar>
          <w:top w:w="0" w:type="dxa"/>
          <w:left w:w="108" w:type="dxa"/>
          <w:bottom w:w="0" w:type="dxa"/>
          <w:right w:w="108" w:type="dxa"/>
        </w:tblCellMar>
      </w:tblPr>
      <w:tblGrid>
        <w:gridCol w:w="2775"/>
        <w:gridCol w:w="1755"/>
        <w:gridCol w:w="1939"/>
        <w:gridCol w:w="1940"/>
      </w:tblGrid>
      <w:tr>
        <w:tblPrEx>
          <w:tblLayout w:type="fixed"/>
          <w:tblCellMar>
            <w:top w:w="0" w:type="dxa"/>
            <w:left w:w="108" w:type="dxa"/>
            <w:bottom w:w="0" w:type="dxa"/>
            <w:right w:w="108" w:type="dxa"/>
          </w:tblCellMar>
        </w:tblPrEx>
        <w:trPr>
          <w:trHeight w:val="318" w:hRule="exact"/>
        </w:trPr>
        <w:tc>
          <w:tcPr>
            <w:tcW w:w="2775" w:type="dxa"/>
            <w:vMerge w:val="restart"/>
            <w:tcBorders>
              <w:top w:val="single" w:color="auto" w:sz="12" w:space="0"/>
              <w:left w:val="nil"/>
              <w:bottom w:val="single" w:color="000000" w:sz="4"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变量</w:t>
            </w:r>
          </w:p>
        </w:tc>
        <w:tc>
          <w:tcPr>
            <w:tcW w:w="5634" w:type="dxa"/>
            <w:gridSpan w:val="3"/>
            <w:tcBorders>
              <w:top w:val="single" w:color="auto" w:sz="12" w:space="0"/>
              <w:left w:val="single" w:color="auto" w:sz="4" w:space="0"/>
              <w:bottom w:val="single" w:color="auto" w:sz="4" w:space="0"/>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环保处罚力度</w:t>
            </w:r>
          </w:p>
        </w:tc>
      </w:tr>
      <w:tr>
        <w:tblPrEx>
          <w:tblLayout w:type="fixed"/>
          <w:tblCellMar>
            <w:top w:w="0" w:type="dxa"/>
            <w:left w:w="108" w:type="dxa"/>
            <w:bottom w:w="0" w:type="dxa"/>
            <w:right w:w="108" w:type="dxa"/>
          </w:tblCellMar>
        </w:tblPrEx>
        <w:trPr>
          <w:trHeight w:val="318" w:hRule="exact"/>
        </w:trPr>
        <w:tc>
          <w:tcPr>
            <w:tcW w:w="2775" w:type="dxa"/>
            <w:vMerge w:val="continue"/>
            <w:tcBorders>
              <w:top w:val="single" w:color="auto" w:sz="4" w:space="0"/>
              <w:left w:val="nil"/>
              <w:bottom w:val="single" w:color="000000" w:sz="4" w:space="0"/>
              <w:right w:val="single" w:color="auto" w:sz="4" w:space="0"/>
            </w:tcBorders>
            <w:vAlign w:val="center"/>
          </w:tcPr>
          <w:p>
            <w:pPr>
              <w:widowControl/>
              <w:spacing w:line="240" w:lineRule="atLeast"/>
              <w:jc w:val="left"/>
              <w:rPr>
                <w:rFonts w:ascii="Times New Roman" w:hAnsi="Times New Roman" w:eastAsia="宋体" w:cs="Times New Roman"/>
                <w:color w:val="000000"/>
                <w:spacing w:val="-4"/>
                <w:kern w:val="0"/>
                <w:sz w:val="18"/>
                <w:szCs w:val="18"/>
              </w:rPr>
            </w:pPr>
          </w:p>
        </w:tc>
        <w:tc>
          <w:tcPr>
            <w:tcW w:w="1755"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细颗粒物浓度</w:t>
            </w:r>
          </w:p>
        </w:tc>
        <w:tc>
          <w:tcPr>
            <w:tcW w:w="1939"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二氧化硫浓度</w:t>
            </w:r>
          </w:p>
        </w:tc>
        <w:tc>
          <w:tcPr>
            <w:tcW w:w="1940" w:type="dxa"/>
            <w:tcBorders>
              <w:top w:val="single" w:color="auto" w:sz="4" w:space="0"/>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一氧化碳浓度</w:t>
            </w:r>
          </w:p>
        </w:tc>
      </w:tr>
      <w:tr>
        <w:tblPrEx>
          <w:tblLayout w:type="fixed"/>
          <w:tblCellMar>
            <w:top w:w="0" w:type="dxa"/>
            <w:left w:w="108" w:type="dxa"/>
            <w:bottom w:w="0" w:type="dxa"/>
            <w:right w:w="108" w:type="dxa"/>
          </w:tblCellMar>
        </w:tblPrEx>
        <w:trPr>
          <w:trHeight w:val="318" w:hRule="exact"/>
        </w:trPr>
        <w:tc>
          <w:tcPr>
            <w:tcW w:w="2775" w:type="dxa"/>
            <w:vMerge w:val="continue"/>
            <w:tcBorders>
              <w:top w:val="single" w:color="auto" w:sz="4" w:space="0"/>
              <w:left w:val="nil"/>
              <w:bottom w:val="single" w:color="000000" w:sz="4" w:space="0"/>
              <w:right w:val="single" w:color="auto" w:sz="4" w:space="0"/>
            </w:tcBorders>
            <w:vAlign w:val="center"/>
          </w:tcPr>
          <w:p>
            <w:pPr>
              <w:widowControl/>
              <w:spacing w:line="240" w:lineRule="atLeast"/>
              <w:jc w:val="left"/>
              <w:rPr>
                <w:rFonts w:ascii="Times New Roman" w:hAnsi="Times New Roman" w:eastAsia="宋体" w:cs="Times New Roman"/>
                <w:color w:val="000000"/>
                <w:spacing w:val="-4"/>
                <w:kern w:val="0"/>
                <w:sz w:val="18"/>
                <w:szCs w:val="18"/>
              </w:rPr>
            </w:pPr>
          </w:p>
        </w:tc>
        <w:tc>
          <w:tcPr>
            <w:tcW w:w="1755"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方程</w:t>
            </w:r>
            <w:r>
              <w:rPr>
                <w:rFonts w:ascii="Times New Roman" w:hAnsi="Times New Roman" w:eastAsia="宋体" w:cs="Times New Roman"/>
                <w:color w:val="000000"/>
                <w:spacing w:val="-4"/>
                <w:kern w:val="0"/>
                <w:sz w:val="18"/>
                <w:szCs w:val="18"/>
              </w:rPr>
              <w:t>1</w:t>
            </w:r>
          </w:p>
        </w:tc>
        <w:tc>
          <w:tcPr>
            <w:tcW w:w="1939"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方程</w:t>
            </w:r>
            <w:r>
              <w:rPr>
                <w:rFonts w:ascii="Times New Roman" w:hAnsi="Times New Roman" w:eastAsia="宋体" w:cs="Times New Roman"/>
                <w:color w:val="000000"/>
                <w:spacing w:val="-4"/>
                <w:kern w:val="0"/>
                <w:sz w:val="18"/>
                <w:szCs w:val="18"/>
              </w:rPr>
              <w:t>2</w:t>
            </w:r>
          </w:p>
        </w:tc>
        <w:tc>
          <w:tcPr>
            <w:tcW w:w="1940" w:type="dxa"/>
            <w:tcBorders>
              <w:top w:val="nil"/>
              <w:left w:val="single" w:color="auto" w:sz="4" w:space="0"/>
              <w:bottom w:val="single" w:color="auto" w:sz="4" w:space="0"/>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方程</w:t>
            </w:r>
            <w:r>
              <w:rPr>
                <w:rFonts w:ascii="Times New Roman" w:hAnsi="Times New Roman" w:eastAsia="宋体" w:cs="Times New Roman"/>
                <w:color w:val="000000"/>
                <w:spacing w:val="-4"/>
                <w:kern w:val="0"/>
                <w:sz w:val="18"/>
                <w:szCs w:val="18"/>
              </w:rPr>
              <w:t>3</w:t>
            </w:r>
          </w:p>
        </w:tc>
      </w:tr>
      <w:tr>
        <w:tblPrEx>
          <w:tblLayout w:type="fixed"/>
          <w:tblCellMar>
            <w:top w:w="0" w:type="dxa"/>
            <w:left w:w="108" w:type="dxa"/>
            <w:bottom w:w="0" w:type="dxa"/>
            <w:right w:w="108" w:type="dxa"/>
          </w:tblCellMar>
        </w:tblPrEx>
        <w:trPr>
          <w:trHeight w:val="318" w:hRule="exact"/>
        </w:trPr>
        <w:tc>
          <w:tcPr>
            <w:tcW w:w="2775" w:type="dxa"/>
            <w:tcBorders>
              <w:top w:val="nil"/>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增值税依赖度×政策实施年份</w:t>
            </w:r>
          </w:p>
        </w:tc>
        <w:tc>
          <w:tcPr>
            <w:tcW w:w="1755"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0.073</w:t>
            </w:r>
            <w:r>
              <w:rPr>
                <w:rFonts w:ascii="Times New Roman" w:hAnsi="Times New Roman" w:eastAsia="宋体" w:cs="Times New Roman"/>
                <w:color w:val="000000"/>
                <w:spacing w:val="-4"/>
                <w:kern w:val="0"/>
                <w:sz w:val="18"/>
                <w:szCs w:val="18"/>
                <w:vertAlign w:val="superscript"/>
              </w:rPr>
              <w:t>***</w:t>
            </w:r>
          </w:p>
        </w:tc>
        <w:tc>
          <w:tcPr>
            <w:tcW w:w="1939"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0.400</w:t>
            </w:r>
            <w:r>
              <w:rPr>
                <w:rFonts w:ascii="Times New Roman" w:hAnsi="Times New Roman" w:eastAsia="宋体" w:cs="Times New Roman"/>
                <w:color w:val="000000"/>
                <w:spacing w:val="-4"/>
                <w:kern w:val="0"/>
                <w:sz w:val="18"/>
                <w:szCs w:val="18"/>
                <w:vertAlign w:val="superscript"/>
              </w:rPr>
              <w:t>***</w:t>
            </w:r>
          </w:p>
        </w:tc>
        <w:tc>
          <w:tcPr>
            <w:tcW w:w="1940" w:type="dxa"/>
            <w:tcBorders>
              <w:top w:val="nil"/>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3.670</w:t>
            </w:r>
            <w:r>
              <w:rPr>
                <w:rFonts w:ascii="Times New Roman" w:hAnsi="Times New Roman" w:eastAsia="宋体" w:cs="Times New Roman"/>
                <w:color w:val="000000"/>
                <w:spacing w:val="-4"/>
                <w:kern w:val="0"/>
                <w:sz w:val="18"/>
                <w:szCs w:val="18"/>
                <w:vertAlign w:val="superscript"/>
              </w:rPr>
              <w:t>***</w:t>
            </w:r>
          </w:p>
        </w:tc>
      </w:tr>
      <w:tr>
        <w:tblPrEx>
          <w:tblLayout w:type="fixed"/>
          <w:tblCellMar>
            <w:top w:w="0" w:type="dxa"/>
            <w:left w:w="108" w:type="dxa"/>
            <w:bottom w:w="0" w:type="dxa"/>
            <w:right w:w="108" w:type="dxa"/>
          </w:tblCellMar>
        </w:tblPrEx>
        <w:trPr>
          <w:trHeight w:val="318" w:hRule="exact"/>
        </w:trPr>
        <w:tc>
          <w:tcPr>
            <w:tcW w:w="2775" w:type="dxa"/>
            <w:tcBorders>
              <w:top w:val="nil"/>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p>
        </w:tc>
        <w:tc>
          <w:tcPr>
            <w:tcW w:w="1755"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w:t>
            </w:r>
            <w:r>
              <w:rPr>
                <w:rFonts w:ascii="Times New Roman" w:hAnsi="Times New Roman" w:eastAsia="宋体" w:cs="Times New Roman"/>
                <w:color w:val="000000"/>
                <w:spacing w:val="-4"/>
                <w:kern w:val="0"/>
                <w:sz w:val="18"/>
                <w:szCs w:val="18"/>
              </w:rPr>
              <w:t>0.027</w:t>
            </w:r>
            <w:r>
              <w:rPr>
                <w:rFonts w:hint="eastAsia" w:ascii="Times New Roman" w:hAnsi="Times New Roman" w:eastAsia="宋体" w:cs="Times New Roman"/>
                <w:color w:val="000000"/>
                <w:spacing w:val="-4"/>
                <w:kern w:val="0"/>
                <w:sz w:val="18"/>
                <w:szCs w:val="18"/>
              </w:rPr>
              <w:t>）</w:t>
            </w:r>
          </w:p>
        </w:tc>
        <w:tc>
          <w:tcPr>
            <w:tcW w:w="1939"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w:t>
            </w:r>
            <w:r>
              <w:rPr>
                <w:rFonts w:ascii="Times New Roman" w:hAnsi="Times New Roman" w:eastAsia="宋体" w:cs="Times New Roman"/>
                <w:color w:val="000000"/>
                <w:spacing w:val="-4"/>
                <w:kern w:val="0"/>
                <w:sz w:val="18"/>
                <w:szCs w:val="18"/>
              </w:rPr>
              <w:t>0.129</w:t>
            </w:r>
            <w:r>
              <w:rPr>
                <w:rFonts w:hint="eastAsia" w:ascii="Times New Roman" w:hAnsi="Times New Roman" w:eastAsia="宋体" w:cs="Times New Roman"/>
                <w:color w:val="000000"/>
                <w:spacing w:val="-4"/>
                <w:kern w:val="0"/>
                <w:sz w:val="18"/>
                <w:szCs w:val="18"/>
              </w:rPr>
              <w:t>）</w:t>
            </w:r>
          </w:p>
        </w:tc>
        <w:tc>
          <w:tcPr>
            <w:tcW w:w="1940" w:type="dxa"/>
            <w:tcBorders>
              <w:top w:val="nil"/>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w:t>
            </w:r>
            <w:r>
              <w:rPr>
                <w:rFonts w:ascii="Times New Roman" w:hAnsi="Times New Roman" w:eastAsia="宋体" w:cs="Times New Roman"/>
                <w:color w:val="000000"/>
                <w:spacing w:val="-4"/>
                <w:kern w:val="0"/>
                <w:sz w:val="18"/>
                <w:szCs w:val="18"/>
              </w:rPr>
              <w:t>1.359</w:t>
            </w:r>
            <w:r>
              <w:rPr>
                <w:rFonts w:hint="eastAsia" w:ascii="Times New Roman" w:hAnsi="Times New Roman" w:eastAsia="宋体" w:cs="Times New Roman"/>
                <w:color w:val="000000"/>
                <w:spacing w:val="-4"/>
                <w:kern w:val="0"/>
                <w:sz w:val="18"/>
                <w:szCs w:val="18"/>
              </w:rPr>
              <w:t>）</w:t>
            </w:r>
          </w:p>
        </w:tc>
      </w:tr>
      <w:tr>
        <w:tblPrEx>
          <w:tblLayout w:type="fixed"/>
          <w:tblCellMar>
            <w:top w:w="0" w:type="dxa"/>
            <w:left w:w="108" w:type="dxa"/>
            <w:bottom w:w="0" w:type="dxa"/>
            <w:right w:w="108" w:type="dxa"/>
          </w:tblCellMar>
        </w:tblPrEx>
        <w:trPr>
          <w:trHeight w:val="318" w:hRule="exact"/>
        </w:trPr>
        <w:tc>
          <w:tcPr>
            <w:tcW w:w="2775" w:type="dxa"/>
            <w:tcBorders>
              <w:top w:val="nil"/>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控制变量</w:t>
            </w:r>
          </w:p>
        </w:tc>
        <w:tc>
          <w:tcPr>
            <w:tcW w:w="1755" w:type="dxa"/>
            <w:tcBorders>
              <w:top w:val="nil"/>
              <w:left w:val="single" w:color="auto" w:sz="4" w:space="0"/>
              <w:bottom w:val="nil"/>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39" w:type="dxa"/>
            <w:tcBorders>
              <w:top w:val="nil"/>
              <w:left w:val="single" w:color="auto" w:sz="4" w:space="0"/>
              <w:bottom w:val="nil"/>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40" w:type="dxa"/>
            <w:tcBorders>
              <w:top w:val="nil"/>
              <w:left w:val="single" w:color="auto" w:sz="4" w:space="0"/>
              <w:bottom w:val="nil"/>
              <w:right w:val="nil"/>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r>
      <w:tr>
        <w:tblPrEx>
          <w:tblLayout w:type="fixed"/>
          <w:tblCellMar>
            <w:top w:w="0" w:type="dxa"/>
            <w:left w:w="108" w:type="dxa"/>
            <w:bottom w:w="0" w:type="dxa"/>
            <w:right w:w="108" w:type="dxa"/>
          </w:tblCellMar>
        </w:tblPrEx>
        <w:trPr>
          <w:trHeight w:val="318" w:hRule="exact"/>
        </w:trPr>
        <w:tc>
          <w:tcPr>
            <w:tcW w:w="2775" w:type="dxa"/>
            <w:tcBorders>
              <w:top w:val="nil"/>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年份固定效应</w:t>
            </w:r>
          </w:p>
        </w:tc>
        <w:tc>
          <w:tcPr>
            <w:tcW w:w="1755" w:type="dxa"/>
            <w:tcBorders>
              <w:top w:val="nil"/>
              <w:left w:val="single" w:color="auto" w:sz="4" w:space="0"/>
              <w:bottom w:val="nil"/>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39" w:type="dxa"/>
            <w:tcBorders>
              <w:top w:val="nil"/>
              <w:left w:val="single" w:color="auto" w:sz="4" w:space="0"/>
              <w:bottom w:val="nil"/>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40" w:type="dxa"/>
            <w:tcBorders>
              <w:top w:val="nil"/>
              <w:left w:val="single" w:color="auto" w:sz="4" w:space="0"/>
              <w:bottom w:val="nil"/>
              <w:right w:val="nil"/>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r>
      <w:tr>
        <w:tblPrEx>
          <w:tblLayout w:type="fixed"/>
          <w:tblCellMar>
            <w:top w:w="0" w:type="dxa"/>
            <w:left w:w="108" w:type="dxa"/>
            <w:bottom w:w="0" w:type="dxa"/>
            <w:right w:w="108" w:type="dxa"/>
          </w:tblCellMar>
        </w:tblPrEx>
        <w:trPr>
          <w:trHeight w:val="318" w:hRule="exact"/>
        </w:trPr>
        <w:tc>
          <w:tcPr>
            <w:tcW w:w="2775" w:type="dxa"/>
            <w:tcBorders>
              <w:top w:val="nil"/>
              <w:left w:val="nil"/>
              <w:bottom w:val="single" w:color="auto" w:sz="4" w:space="0"/>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地级市固定效应</w:t>
            </w:r>
          </w:p>
        </w:tc>
        <w:tc>
          <w:tcPr>
            <w:tcW w:w="1755" w:type="dxa"/>
            <w:tcBorders>
              <w:top w:val="nil"/>
              <w:left w:val="single" w:color="auto" w:sz="4" w:space="0"/>
              <w:bottom w:val="single" w:color="auto" w:sz="4" w:space="0"/>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39" w:type="dxa"/>
            <w:tcBorders>
              <w:top w:val="nil"/>
              <w:left w:val="single" w:color="auto" w:sz="4" w:space="0"/>
              <w:bottom w:val="single" w:color="auto" w:sz="4" w:space="0"/>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40" w:type="dxa"/>
            <w:tcBorders>
              <w:top w:val="nil"/>
              <w:left w:val="single" w:color="auto" w:sz="4" w:space="0"/>
              <w:bottom w:val="single" w:color="auto" w:sz="4" w:space="0"/>
              <w:right w:val="nil"/>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r>
      <w:tr>
        <w:tblPrEx>
          <w:tblLayout w:type="fixed"/>
          <w:tblCellMar>
            <w:top w:w="0" w:type="dxa"/>
            <w:left w:w="108" w:type="dxa"/>
            <w:bottom w:w="0" w:type="dxa"/>
            <w:right w:w="108" w:type="dxa"/>
          </w:tblCellMar>
        </w:tblPrEx>
        <w:trPr>
          <w:trHeight w:val="318" w:hRule="exact"/>
        </w:trPr>
        <w:tc>
          <w:tcPr>
            <w:tcW w:w="2775" w:type="dxa"/>
            <w:tcBorders>
              <w:top w:val="single" w:color="auto" w:sz="4" w:space="0"/>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观测值</w:t>
            </w:r>
          </w:p>
        </w:tc>
        <w:tc>
          <w:tcPr>
            <w:tcW w:w="1755"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1316</w:t>
            </w:r>
          </w:p>
        </w:tc>
        <w:tc>
          <w:tcPr>
            <w:tcW w:w="1939"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1316</w:t>
            </w:r>
          </w:p>
        </w:tc>
        <w:tc>
          <w:tcPr>
            <w:tcW w:w="1940" w:type="dxa"/>
            <w:tcBorders>
              <w:top w:val="single" w:color="auto" w:sz="4" w:space="0"/>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1316</w:t>
            </w:r>
          </w:p>
        </w:tc>
      </w:tr>
      <w:tr>
        <w:tblPrEx>
          <w:tblLayout w:type="fixed"/>
          <w:tblCellMar>
            <w:top w:w="0" w:type="dxa"/>
            <w:left w:w="108" w:type="dxa"/>
            <w:bottom w:w="0" w:type="dxa"/>
            <w:right w:w="108" w:type="dxa"/>
          </w:tblCellMar>
        </w:tblPrEx>
        <w:trPr>
          <w:trHeight w:val="318" w:hRule="exact"/>
        </w:trPr>
        <w:tc>
          <w:tcPr>
            <w:tcW w:w="2775" w:type="dxa"/>
            <w:tcBorders>
              <w:top w:val="nil"/>
              <w:left w:val="nil"/>
              <w:bottom w:val="single" w:color="auto" w:sz="12" w:space="0"/>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R</w:t>
            </w:r>
            <w:r>
              <w:rPr>
                <w:rFonts w:ascii="Times New Roman" w:hAnsi="Times New Roman" w:eastAsia="宋体" w:cs="Times New Roman"/>
                <w:color w:val="000000"/>
                <w:spacing w:val="-4"/>
                <w:kern w:val="0"/>
                <w:sz w:val="18"/>
                <w:szCs w:val="18"/>
                <w:vertAlign w:val="superscript"/>
              </w:rPr>
              <w:t>2</w:t>
            </w:r>
            <w:r>
              <w:rPr>
                <w:rFonts w:hint="eastAsia" w:ascii="Times New Roman" w:hAnsi="Times New Roman" w:eastAsia="宋体" w:cs="Times New Roman"/>
                <w:color w:val="000000"/>
                <w:spacing w:val="-4"/>
                <w:kern w:val="0"/>
                <w:sz w:val="18"/>
                <w:szCs w:val="18"/>
              </w:rPr>
              <w:t>值</w:t>
            </w:r>
          </w:p>
        </w:tc>
        <w:tc>
          <w:tcPr>
            <w:tcW w:w="1755" w:type="dxa"/>
            <w:tcBorders>
              <w:top w:val="nil"/>
              <w:left w:val="single" w:color="auto" w:sz="4" w:space="0"/>
              <w:bottom w:val="single" w:color="auto" w:sz="12"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0.6</w:t>
            </w:r>
            <w:r>
              <w:rPr>
                <w:rFonts w:hint="eastAsia" w:ascii="Times New Roman" w:hAnsi="Times New Roman" w:eastAsia="宋体" w:cs="Times New Roman"/>
                <w:color w:val="000000"/>
                <w:spacing w:val="-4"/>
                <w:kern w:val="0"/>
                <w:sz w:val="18"/>
                <w:szCs w:val="18"/>
              </w:rPr>
              <w:t>38</w:t>
            </w:r>
          </w:p>
        </w:tc>
        <w:tc>
          <w:tcPr>
            <w:tcW w:w="1939" w:type="dxa"/>
            <w:tcBorders>
              <w:top w:val="nil"/>
              <w:left w:val="single" w:color="auto" w:sz="4" w:space="0"/>
              <w:bottom w:val="single" w:color="auto" w:sz="12"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0.6</w:t>
            </w:r>
            <w:r>
              <w:rPr>
                <w:rFonts w:hint="eastAsia" w:ascii="Times New Roman" w:hAnsi="Times New Roman" w:eastAsia="宋体" w:cs="Times New Roman"/>
                <w:color w:val="000000"/>
                <w:spacing w:val="-4"/>
                <w:kern w:val="0"/>
                <w:sz w:val="18"/>
                <w:szCs w:val="18"/>
              </w:rPr>
              <w:t>52</w:t>
            </w:r>
          </w:p>
        </w:tc>
        <w:tc>
          <w:tcPr>
            <w:tcW w:w="1940" w:type="dxa"/>
            <w:tcBorders>
              <w:top w:val="nil"/>
              <w:left w:val="single" w:color="auto" w:sz="4" w:space="0"/>
              <w:bottom w:val="single" w:color="auto" w:sz="12" w:space="0"/>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0.6</w:t>
            </w:r>
            <w:r>
              <w:rPr>
                <w:rFonts w:hint="eastAsia" w:ascii="Times New Roman" w:hAnsi="Times New Roman" w:eastAsia="宋体" w:cs="Times New Roman"/>
                <w:color w:val="000000"/>
                <w:spacing w:val="-4"/>
                <w:kern w:val="0"/>
                <w:sz w:val="18"/>
                <w:szCs w:val="18"/>
              </w:rPr>
              <w:t>49</w:t>
            </w:r>
          </w:p>
        </w:tc>
      </w:tr>
    </w:tbl>
    <w:p>
      <w:pPr>
        <w:spacing w:line="240" w:lineRule="atLeast"/>
        <w:ind w:firstLine="332" w:firstLineChars="200"/>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注：①</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表示1</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的显著性水平；②括号内为聚类到地级市层面的标准误；</w:t>
      </w:r>
      <w:r>
        <w:rPr>
          <w:rFonts w:hint="eastAsia" w:ascii="Cambria Math" w:hAnsi="Cambria Math" w:eastAsia="宋体" w:cs="Cambria Math"/>
          <w:color w:val="000000"/>
          <w:kern w:val="0"/>
          <w:sz w:val="18"/>
          <w:szCs w:val="18"/>
        </w:rPr>
        <w:t>③</w:t>
      </w:r>
      <w:r>
        <w:rPr>
          <w:rFonts w:hint="eastAsia" w:ascii="Times New Roman" w:hAnsi="Times New Roman" w:eastAsia="宋体" w:cs="Times New Roman"/>
          <w:color w:val="000000"/>
          <w:kern w:val="0"/>
          <w:sz w:val="18"/>
          <w:szCs w:val="18"/>
        </w:rPr>
        <w:t>控制变量同</w:t>
      </w:r>
      <w:r>
        <w:rPr>
          <w:rFonts w:hint="eastAsia" w:ascii="Times New Roman" w:hAnsi="Times New Roman" w:eastAsia="宋体" w:cs="Times New Roman"/>
          <w:sz w:val="18"/>
          <w:szCs w:val="18"/>
        </w:rPr>
        <w:t>正文中的</w:t>
      </w:r>
      <w:r>
        <w:rPr>
          <w:rFonts w:hint="eastAsia" w:ascii="Times New Roman" w:hAnsi="Times New Roman" w:eastAsia="宋体" w:cs="Times New Roman"/>
          <w:color w:val="000000"/>
          <w:kern w:val="0"/>
          <w:sz w:val="18"/>
          <w:szCs w:val="18"/>
        </w:rPr>
        <w:t>表</w:t>
      </w:r>
      <w:r>
        <w:rPr>
          <w:rFonts w:ascii="Times New Roman" w:hAnsi="Times New Roman" w:eastAsia="宋体" w:cs="Times New Roman"/>
          <w:color w:val="000000"/>
          <w:kern w:val="0"/>
          <w:sz w:val="18"/>
          <w:szCs w:val="18"/>
        </w:rPr>
        <w:t>2</w:t>
      </w:r>
      <w:r>
        <w:rPr>
          <w:rFonts w:hint="eastAsia" w:ascii="Times New Roman" w:hAnsi="Times New Roman" w:eastAsia="宋体" w:cs="Times New Roman"/>
          <w:color w:val="000000"/>
          <w:kern w:val="0"/>
          <w:sz w:val="18"/>
          <w:szCs w:val="18"/>
        </w:rPr>
        <w:t>。</w:t>
      </w:r>
    </w:p>
    <w:p>
      <w:pPr>
        <w:spacing w:line="240" w:lineRule="atLeast"/>
        <w:ind w:firstLine="332" w:firstLineChars="200"/>
        <w:jc w:val="left"/>
        <w:rPr>
          <w:rFonts w:ascii="Times New Roman" w:hAnsi="Times New Roman" w:eastAsia="宋体" w:cs="Times New Roman"/>
          <w:color w:val="000000"/>
          <w:kern w:val="0"/>
          <w:sz w:val="18"/>
          <w:szCs w:val="18"/>
        </w:rPr>
      </w:pPr>
    </w:p>
    <w:p>
      <w:pPr>
        <w:keepNext w:val="0"/>
        <w:keepLines w:val="0"/>
        <w:pageBreakBefore w:val="0"/>
        <w:widowControl w:val="0"/>
        <w:kinsoku/>
        <w:wordWrap/>
        <w:overflowPunct/>
        <w:topLinePunct w:val="0"/>
        <w:autoSpaceDE/>
        <w:autoSpaceDN/>
        <w:bidi w:val="0"/>
        <w:adjustRightInd/>
        <w:snapToGrid/>
        <w:spacing w:line="240" w:lineRule="atLeast"/>
        <w:ind w:firstLine="332" w:firstLineChars="200"/>
        <w:jc w:val="both"/>
        <w:textAlignment w:val="auto"/>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附表6</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 xml:space="preserve">    增值税税率下调政策实施对环保处罚力度影响的估计结果（采用取残差方法度量环保处罚力度）</w:t>
      </w:r>
    </w:p>
    <w:tbl>
      <w:tblPr>
        <w:tblStyle w:val="33"/>
        <w:tblW w:w="8608" w:type="dxa"/>
        <w:tblInd w:w="119" w:type="dxa"/>
        <w:tblLayout w:type="fixed"/>
        <w:tblCellMar>
          <w:top w:w="0" w:type="dxa"/>
          <w:left w:w="108" w:type="dxa"/>
          <w:bottom w:w="0" w:type="dxa"/>
          <w:right w:w="108" w:type="dxa"/>
        </w:tblCellMar>
      </w:tblPr>
      <w:tblGrid>
        <w:gridCol w:w="2781"/>
        <w:gridCol w:w="1915"/>
        <w:gridCol w:w="2009"/>
        <w:gridCol w:w="1903"/>
      </w:tblGrid>
      <w:tr>
        <w:tblPrEx>
          <w:tblLayout w:type="fixed"/>
          <w:tblCellMar>
            <w:top w:w="0" w:type="dxa"/>
            <w:left w:w="108" w:type="dxa"/>
            <w:bottom w:w="0" w:type="dxa"/>
            <w:right w:w="108" w:type="dxa"/>
          </w:tblCellMar>
        </w:tblPrEx>
        <w:trPr>
          <w:trHeight w:val="318" w:hRule="exact"/>
        </w:trPr>
        <w:tc>
          <w:tcPr>
            <w:tcW w:w="2781" w:type="dxa"/>
            <w:vMerge w:val="restart"/>
            <w:tcBorders>
              <w:top w:val="single" w:color="auto" w:sz="12" w:space="0"/>
              <w:left w:val="nil"/>
              <w:bottom w:val="single" w:color="000000" w:sz="4"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变量</w:t>
            </w:r>
          </w:p>
        </w:tc>
        <w:tc>
          <w:tcPr>
            <w:tcW w:w="5827" w:type="dxa"/>
            <w:gridSpan w:val="3"/>
            <w:tcBorders>
              <w:top w:val="single" w:color="auto" w:sz="12" w:space="0"/>
              <w:left w:val="single" w:color="auto" w:sz="4" w:space="0"/>
              <w:bottom w:val="single" w:color="auto" w:sz="4" w:space="0"/>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环保处罚力度</w:t>
            </w:r>
          </w:p>
        </w:tc>
      </w:tr>
      <w:tr>
        <w:tblPrEx>
          <w:tblLayout w:type="fixed"/>
          <w:tblCellMar>
            <w:top w:w="0" w:type="dxa"/>
            <w:left w:w="108" w:type="dxa"/>
            <w:bottom w:w="0" w:type="dxa"/>
            <w:right w:w="108" w:type="dxa"/>
          </w:tblCellMar>
        </w:tblPrEx>
        <w:trPr>
          <w:trHeight w:val="318" w:hRule="exact"/>
        </w:trPr>
        <w:tc>
          <w:tcPr>
            <w:tcW w:w="2781" w:type="dxa"/>
            <w:vMerge w:val="continue"/>
            <w:tcBorders>
              <w:top w:val="single" w:color="auto" w:sz="4" w:space="0"/>
              <w:left w:val="nil"/>
              <w:bottom w:val="single" w:color="000000" w:sz="4" w:space="0"/>
              <w:right w:val="single" w:color="auto" w:sz="4" w:space="0"/>
            </w:tcBorders>
            <w:vAlign w:val="center"/>
          </w:tcPr>
          <w:p>
            <w:pPr>
              <w:widowControl/>
              <w:spacing w:line="240" w:lineRule="atLeast"/>
              <w:jc w:val="left"/>
              <w:rPr>
                <w:rFonts w:ascii="Times New Roman" w:hAnsi="Times New Roman" w:eastAsia="宋体" w:cs="Times New Roman"/>
                <w:color w:val="000000"/>
                <w:spacing w:val="-4"/>
                <w:kern w:val="0"/>
                <w:sz w:val="18"/>
                <w:szCs w:val="18"/>
              </w:rPr>
            </w:pPr>
          </w:p>
        </w:tc>
        <w:tc>
          <w:tcPr>
            <w:tcW w:w="1915"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细颗粒物浓度</w:t>
            </w:r>
          </w:p>
        </w:tc>
        <w:tc>
          <w:tcPr>
            <w:tcW w:w="2009"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二氧化硫浓度</w:t>
            </w:r>
          </w:p>
        </w:tc>
        <w:tc>
          <w:tcPr>
            <w:tcW w:w="1903" w:type="dxa"/>
            <w:tcBorders>
              <w:top w:val="single" w:color="auto" w:sz="4" w:space="0"/>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一氧化碳浓度</w:t>
            </w:r>
          </w:p>
        </w:tc>
      </w:tr>
      <w:tr>
        <w:tblPrEx>
          <w:tblLayout w:type="fixed"/>
          <w:tblCellMar>
            <w:top w:w="0" w:type="dxa"/>
            <w:left w:w="108" w:type="dxa"/>
            <w:bottom w:w="0" w:type="dxa"/>
            <w:right w:w="108" w:type="dxa"/>
          </w:tblCellMar>
        </w:tblPrEx>
        <w:trPr>
          <w:trHeight w:val="318" w:hRule="exact"/>
        </w:trPr>
        <w:tc>
          <w:tcPr>
            <w:tcW w:w="2781" w:type="dxa"/>
            <w:vMerge w:val="continue"/>
            <w:tcBorders>
              <w:top w:val="single" w:color="auto" w:sz="4" w:space="0"/>
              <w:left w:val="nil"/>
              <w:bottom w:val="single" w:color="000000" w:sz="4" w:space="0"/>
              <w:right w:val="single" w:color="auto" w:sz="4" w:space="0"/>
            </w:tcBorders>
            <w:vAlign w:val="center"/>
          </w:tcPr>
          <w:p>
            <w:pPr>
              <w:widowControl/>
              <w:spacing w:line="240" w:lineRule="atLeast"/>
              <w:jc w:val="left"/>
              <w:rPr>
                <w:rFonts w:ascii="Times New Roman" w:hAnsi="Times New Roman" w:eastAsia="宋体" w:cs="Times New Roman"/>
                <w:color w:val="000000"/>
                <w:spacing w:val="-4"/>
                <w:kern w:val="0"/>
                <w:sz w:val="18"/>
                <w:szCs w:val="18"/>
              </w:rPr>
            </w:pPr>
          </w:p>
        </w:tc>
        <w:tc>
          <w:tcPr>
            <w:tcW w:w="1915"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方程</w:t>
            </w:r>
            <w:r>
              <w:rPr>
                <w:rFonts w:ascii="Times New Roman" w:hAnsi="Times New Roman" w:eastAsia="宋体" w:cs="Times New Roman"/>
                <w:color w:val="000000"/>
                <w:spacing w:val="-4"/>
                <w:kern w:val="0"/>
                <w:sz w:val="18"/>
                <w:szCs w:val="18"/>
              </w:rPr>
              <w:t>1</w:t>
            </w:r>
          </w:p>
        </w:tc>
        <w:tc>
          <w:tcPr>
            <w:tcW w:w="2009"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方程</w:t>
            </w:r>
            <w:r>
              <w:rPr>
                <w:rFonts w:ascii="Times New Roman" w:hAnsi="Times New Roman" w:eastAsia="宋体" w:cs="Times New Roman"/>
                <w:color w:val="000000"/>
                <w:spacing w:val="-4"/>
                <w:kern w:val="0"/>
                <w:sz w:val="18"/>
                <w:szCs w:val="18"/>
              </w:rPr>
              <w:t>2</w:t>
            </w:r>
          </w:p>
        </w:tc>
        <w:tc>
          <w:tcPr>
            <w:tcW w:w="1903" w:type="dxa"/>
            <w:tcBorders>
              <w:top w:val="nil"/>
              <w:left w:val="single" w:color="auto" w:sz="4" w:space="0"/>
              <w:bottom w:val="single" w:color="auto" w:sz="4" w:space="0"/>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方程</w:t>
            </w:r>
            <w:r>
              <w:rPr>
                <w:rFonts w:ascii="Times New Roman" w:hAnsi="Times New Roman" w:eastAsia="宋体" w:cs="Times New Roman"/>
                <w:color w:val="000000"/>
                <w:spacing w:val="-4"/>
                <w:kern w:val="0"/>
                <w:sz w:val="18"/>
                <w:szCs w:val="18"/>
              </w:rPr>
              <w:t>3</w:t>
            </w:r>
          </w:p>
        </w:tc>
      </w:tr>
      <w:tr>
        <w:tblPrEx>
          <w:tblLayout w:type="fixed"/>
          <w:tblCellMar>
            <w:top w:w="0" w:type="dxa"/>
            <w:left w:w="108" w:type="dxa"/>
            <w:bottom w:w="0" w:type="dxa"/>
            <w:right w:w="108" w:type="dxa"/>
          </w:tblCellMar>
        </w:tblPrEx>
        <w:trPr>
          <w:trHeight w:val="318" w:hRule="exact"/>
        </w:trPr>
        <w:tc>
          <w:tcPr>
            <w:tcW w:w="2781" w:type="dxa"/>
            <w:tcBorders>
              <w:top w:val="nil"/>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增值税依赖度×政策实施年份</w:t>
            </w:r>
          </w:p>
        </w:tc>
        <w:tc>
          <w:tcPr>
            <w:tcW w:w="1915"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2.945</w:t>
            </w:r>
            <w:r>
              <w:rPr>
                <w:rFonts w:ascii="Times New Roman" w:hAnsi="Times New Roman" w:eastAsia="宋体" w:cs="Times New Roman"/>
                <w:color w:val="000000"/>
                <w:spacing w:val="-4"/>
                <w:kern w:val="0"/>
                <w:sz w:val="18"/>
                <w:szCs w:val="18"/>
                <w:vertAlign w:val="superscript"/>
              </w:rPr>
              <w:t>***</w:t>
            </w:r>
          </w:p>
        </w:tc>
        <w:tc>
          <w:tcPr>
            <w:tcW w:w="2009"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2.444</w:t>
            </w:r>
            <w:r>
              <w:rPr>
                <w:rFonts w:ascii="Times New Roman" w:hAnsi="Times New Roman" w:eastAsia="宋体" w:cs="Times New Roman"/>
                <w:color w:val="000000"/>
                <w:spacing w:val="-4"/>
                <w:kern w:val="0"/>
                <w:sz w:val="18"/>
                <w:szCs w:val="18"/>
                <w:vertAlign w:val="superscript"/>
              </w:rPr>
              <w:t>**</w:t>
            </w:r>
          </w:p>
        </w:tc>
        <w:tc>
          <w:tcPr>
            <w:tcW w:w="1903" w:type="dxa"/>
            <w:tcBorders>
              <w:top w:val="nil"/>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2.695</w:t>
            </w:r>
            <w:r>
              <w:rPr>
                <w:rFonts w:ascii="Times New Roman" w:hAnsi="Times New Roman" w:eastAsia="宋体" w:cs="Times New Roman"/>
                <w:color w:val="000000"/>
                <w:spacing w:val="-4"/>
                <w:kern w:val="0"/>
                <w:sz w:val="18"/>
                <w:szCs w:val="18"/>
                <w:vertAlign w:val="superscript"/>
              </w:rPr>
              <w:t>**</w:t>
            </w:r>
          </w:p>
        </w:tc>
      </w:tr>
      <w:tr>
        <w:tblPrEx>
          <w:tblLayout w:type="fixed"/>
          <w:tblCellMar>
            <w:top w:w="0" w:type="dxa"/>
            <w:left w:w="108" w:type="dxa"/>
            <w:bottom w:w="0" w:type="dxa"/>
            <w:right w:w="108" w:type="dxa"/>
          </w:tblCellMar>
        </w:tblPrEx>
        <w:trPr>
          <w:trHeight w:val="318" w:hRule="exact"/>
        </w:trPr>
        <w:tc>
          <w:tcPr>
            <w:tcW w:w="2781" w:type="dxa"/>
            <w:tcBorders>
              <w:top w:val="nil"/>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p>
        </w:tc>
        <w:tc>
          <w:tcPr>
            <w:tcW w:w="1915"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（1.112）</w:t>
            </w:r>
          </w:p>
        </w:tc>
        <w:tc>
          <w:tcPr>
            <w:tcW w:w="2009" w:type="dxa"/>
            <w:tcBorders>
              <w:top w:val="nil"/>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（1.097）</w:t>
            </w:r>
          </w:p>
        </w:tc>
        <w:tc>
          <w:tcPr>
            <w:tcW w:w="1903" w:type="dxa"/>
            <w:tcBorders>
              <w:top w:val="nil"/>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w:t>
            </w:r>
            <w:r>
              <w:rPr>
                <w:rFonts w:ascii="Times New Roman" w:hAnsi="Times New Roman" w:eastAsia="宋体" w:cs="Times New Roman"/>
                <w:color w:val="000000"/>
                <w:spacing w:val="-4"/>
                <w:kern w:val="0"/>
                <w:sz w:val="18"/>
                <w:szCs w:val="18"/>
              </w:rPr>
              <w:t>1.</w:t>
            </w:r>
            <w:r>
              <w:rPr>
                <w:rFonts w:hint="eastAsia" w:ascii="Times New Roman" w:hAnsi="Times New Roman" w:eastAsia="宋体" w:cs="Times New Roman"/>
                <w:color w:val="000000"/>
                <w:spacing w:val="-4"/>
                <w:kern w:val="0"/>
                <w:sz w:val="18"/>
                <w:szCs w:val="18"/>
              </w:rPr>
              <w:t>096）</w:t>
            </w:r>
          </w:p>
        </w:tc>
      </w:tr>
      <w:tr>
        <w:tblPrEx>
          <w:tblLayout w:type="fixed"/>
          <w:tblCellMar>
            <w:top w:w="0" w:type="dxa"/>
            <w:left w:w="108" w:type="dxa"/>
            <w:bottom w:w="0" w:type="dxa"/>
            <w:right w:w="108" w:type="dxa"/>
          </w:tblCellMar>
        </w:tblPrEx>
        <w:trPr>
          <w:trHeight w:val="318" w:hRule="exact"/>
        </w:trPr>
        <w:tc>
          <w:tcPr>
            <w:tcW w:w="2781" w:type="dxa"/>
            <w:tcBorders>
              <w:top w:val="nil"/>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控制变量</w:t>
            </w:r>
          </w:p>
        </w:tc>
        <w:tc>
          <w:tcPr>
            <w:tcW w:w="1915" w:type="dxa"/>
            <w:tcBorders>
              <w:top w:val="nil"/>
              <w:left w:val="single" w:color="auto" w:sz="4" w:space="0"/>
              <w:bottom w:val="nil"/>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2009" w:type="dxa"/>
            <w:tcBorders>
              <w:top w:val="nil"/>
              <w:left w:val="single" w:color="auto" w:sz="4" w:space="0"/>
              <w:bottom w:val="nil"/>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03" w:type="dxa"/>
            <w:tcBorders>
              <w:top w:val="nil"/>
              <w:left w:val="single" w:color="auto" w:sz="4" w:space="0"/>
              <w:bottom w:val="nil"/>
              <w:right w:val="nil"/>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r>
      <w:tr>
        <w:tblPrEx>
          <w:tblLayout w:type="fixed"/>
          <w:tblCellMar>
            <w:top w:w="0" w:type="dxa"/>
            <w:left w:w="108" w:type="dxa"/>
            <w:bottom w:w="0" w:type="dxa"/>
            <w:right w:w="108" w:type="dxa"/>
          </w:tblCellMar>
        </w:tblPrEx>
        <w:trPr>
          <w:trHeight w:val="318" w:hRule="exact"/>
        </w:trPr>
        <w:tc>
          <w:tcPr>
            <w:tcW w:w="2781" w:type="dxa"/>
            <w:tcBorders>
              <w:top w:val="nil"/>
              <w:left w:val="nil"/>
              <w:bottom w:val="single" w:color="auto" w:sz="4" w:space="0"/>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年份固定效应</w:t>
            </w:r>
          </w:p>
        </w:tc>
        <w:tc>
          <w:tcPr>
            <w:tcW w:w="1915" w:type="dxa"/>
            <w:tcBorders>
              <w:top w:val="nil"/>
              <w:left w:val="single" w:color="auto" w:sz="4" w:space="0"/>
              <w:bottom w:val="single" w:color="auto" w:sz="4" w:space="0"/>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2009" w:type="dxa"/>
            <w:tcBorders>
              <w:top w:val="nil"/>
              <w:left w:val="single" w:color="auto" w:sz="4" w:space="0"/>
              <w:bottom w:val="single" w:color="auto" w:sz="4" w:space="0"/>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03" w:type="dxa"/>
            <w:tcBorders>
              <w:top w:val="nil"/>
              <w:left w:val="single" w:color="auto" w:sz="4" w:space="0"/>
              <w:bottom w:val="single" w:color="auto" w:sz="4" w:space="0"/>
              <w:right w:val="nil"/>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sz w:val="18"/>
          <w:lang w:val="en-US" w:eastAsia="zh-CN"/>
        </w:rPr>
      </w:pPr>
      <w:r>
        <w:rPr>
          <w:rFonts w:hint="eastAsia" w:eastAsia="黑体"/>
          <w:sz w:val="18"/>
          <w:lang w:val="en-US" w:eastAsia="zh-CN"/>
        </w:rPr>
        <w:t>附表6（续）</w:t>
      </w:r>
    </w:p>
    <w:tbl>
      <w:tblPr>
        <w:tblStyle w:val="33"/>
        <w:tblW w:w="8608" w:type="dxa"/>
        <w:tblInd w:w="119" w:type="dxa"/>
        <w:tblLayout w:type="fixed"/>
        <w:tblCellMar>
          <w:top w:w="0" w:type="dxa"/>
          <w:left w:w="108" w:type="dxa"/>
          <w:bottom w:w="0" w:type="dxa"/>
          <w:right w:w="108" w:type="dxa"/>
        </w:tblCellMar>
      </w:tblPr>
      <w:tblGrid>
        <w:gridCol w:w="2781"/>
        <w:gridCol w:w="1915"/>
        <w:gridCol w:w="2009"/>
        <w:gridCol w:w="1903"/>
      </w:tblGrid>
      <w:tr>
        <w:tblPrEx>
          <w:tblLayout w:type="fixed"/>
          <w:tblCellMar>
            <w:top w:w="0" w:type="dxa"/>
            <w:left w:w="108" w:type="dxa"/>
            <w:bottom w:w="0" w:type="dxa"/>
            <w:right w:w="108" w:type="dxa"/>
          </w:tblCellMar>
        </w:tblPrEx>
        <w:trPr>
          <w:trHeight w:val="318" w:hRule="exact"/>
        </w:trPr>
        <w:tc>
          <w:tcPr>
            <w:tcW w:w="2781" w:type="dxa"/>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地级市固定效应</w:t>
            </w:r>
          </w:p>
        </w:tc>
        <w:tc>
          <w:tcPr>
            <w:tcW w:w="1915" w:type="dxa"/>
            <w:tcBorders>
              <w:top w:val="single" w:color="auto" w:sz="4" w:space="0"/>
              <w:left w:val="single" w:color="auto" w:sz="4" w:space="0"/>
              <w:bottom w:val="single" w:color="auto" w:sz="4" w:space="0"/>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2009" w:type="dxa"/>
            <w:tcBorders>
              <w:top w:val="single" w:color="auto" w:sz="4" w:space="0"/>
              <w:left w:val="single" w:color="auto" w:sz="4" w:space="0"/>
              <w:bottom w:val="single" w:color="auto" w:sz="4" w:space="0"/>
              <w:right w:val="single" w:color="auto" w:sz="4" w:space="0"/>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c>
          <w:tcPr>
            <w:tcW w:w="1903" w:type="dxa"/>
            <w:tcBorders>
              <w:top w:val="single" w:color="auto" w:sz="4" w:space="0"/>
              <w:left w:val="single" w:color="auto" w:sz="4" w:space="0"/>
              <w:bottom w:val="single" w:color="auto" w:sz="4" w:space="0"/>
              <w:right w:val="nil"/>
            </w:tcBorders>
            <w:shd w:val="clear" w:color="auto" w:fill="auto"/>
            <w:noWrap/>
          </w:tcPr>
          <w:p>
            <w:pPr>
              <w:widowControl/>
              <w:spacing w:line="240" w:lineRule="atLeast"/>
              <w:jc w:val="center"/>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控制</w:t>
            </w:r>
          </w:p>
        </w:tc>
      </w:tr>
      <w:tr>
        <w:tblPrEx>
          <w:tblLayout w:type="fixed"/>
          <w:tblCellMar>
            <w:top w:w="0" w:type="dxa"/>
            <w:left w:w="108" w:type="dxa"/>
            <w:bottom w:w="0" w:type="dxa"/>
            <w:right w:w="108" w:type="dxa"/>
          </w:tblCellMar>
        </w:tblPrEx>
        <w:trPr>
          <w:trHeight w:val="318" w:hRule="exact"/>
        </w:trPr>
        <w:tc>
          <w:tcPr>
            <w:tcW w:w="2781" w:type="dxa"/>
            <w:tcBorders>
              <w:top w:val="single" w:color="auto" w:sz="4" w:space="0"/>
              <w:left w:val="nil"/>
              <w:bottom w:val="nil"/>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hint="eastAsia" w:ascii="Times New Roman" w:hAnsi="Times New Roman" w:eastAsia="宋体" w:cs="Times New Roman"/>
                <w:color w:val="000000"/>
                <w:spacing w:val="-4"/>
                <w:kern w:val="0"/>
                <w:sz w:val="18"/>
                <w:szCs w:val="18"/>
              </w:rPr>
              <w:t>观测值</w:t>
            </w:r>
          </w:p>
        </w:tc>
        <w:tc>
          <w:tcPr>
            <w:tcW w:w="1915"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1316</w:t>
            </w:r>
          </w:p>
        </w:tc>
        <w:tc>
          <w:tcPr>
            <w:tcW w:w="2009" w:type="dxa"/>
            <w:tcBorders>
              <w:top w:val="single" w:color="auto" w:sz="4" w:space="0"/>
              <w:left w:val="single" w:color="auto" w:sz="4" w:space="0"/>
              <w:bottom w:val="nil"/>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1316</w:t>
            </w:r>
          </w:p>
        </w:tc>
        <w:tc>
          <w:tcPr>
            <w:tcW w:w="1903" w:type="dxa"/>
            <w:tcBorders>
              <w:top w:val="single" w:color="auto" w:sz="4" w:space="0"/>
              <w:left w:val="single" w:color="auto" w:sz="4" w:space="0"/>
              <w:bottom w:val="nil"/>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1316</w:t>
            </w:r>
          </w:p>
        </w:tc>
      </w:tr>
      <w:tr>
        <w:tblPrEx>
          <w:tblLayout w:type="fixed"/>
          <w:tblCellMar>
            <w:top w:w="0" w:type="dxa"/>
            <w:left w:w="108" w:type="dxa"/>
            <w:bottom w:w="0" w:type="dxa"/>
            <w:right w:w="108" w:type="dxa"/>
          </w:tblCellMar>
        </w:tblPrEx>
        <w:trPr>
          <w:trHeight w:val="318" w:hRule="exact"/>
        </w:trPr>
        <w:tc>
          <w:tcPr>
            <w:tcW w:w="2781" w:type="dxa"/>
            <w:tcBorders>
              <w:top w:val="nil"/>
              <w:left w:val="nil"/>
              <w:bottom w:val="single" w:color="auto" w:sz="12" w:space="0"/>
              <w:right w:val="single" w:color="auto" w:sz="4" w:space="0"/>
            </w:tcBorders>
            <w:shd w:val="clear" w:color="auto" w:fill="auto"/>
            <w:noWrap/>
            <w:vAlign w:val="center"/>
          </w:tcPr>
          <w:p>
            <w:pPr>
              <w:widowControl/>
              <w:spacing w:line="240" w:lineRule="atLeast"/>
              <w:jc w:val="left"/>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R</w:t>
            </w:r>
            <w:r>
              <w:rPr>
                <w:rFonts w:ascii="Times New Roman" w:hAnsi="Times New Roman" w:eastAsia="宋体" w:cs="Times New Roman"/>
                <w:color w:val="000000"/>
                <w:spacing w:val="-4"/>
                <w:kern w:val="0"/>
                <w:sz w:val="18"/>
                <w:szCs w:val="18"/>
                <w:vertAlign w:val="superscript"/>
              </w:rPr>
              <w:t>2</w:t>
            </w:r>
            <w:r>
              <w:rPr>
                <w:rFonts w:hint="eastAsia" w:ascii="Times New Roman" w:hAnsi="Times New Roman" w:eastAsia="宋体" w:cs="Times New Roman"/>
                <w:color w:val="000000"/>
                <w:spacing w:val="-4"/>
                <w:kern w:val="0"/>
                <w:sz w:val="18"/>
                <w:szCs w:val="18"/>
              </w:rPr>
              <w:t>值</w:t>
            </w:r>
          </w:p>
        </w:tc>
        <w:tc>
          <w:tcPr>
            <w:tcW w:w="1915" w:type="dxa"/>
            <w:tcBorders>
              <w:top w:val="nil"/>
              <w:left w:val="single" w:color="auto" w:sz="4" w:space="0"/>
              <w:bottom w:val="single" w:color="auto" w:sz="12"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0.640</w:t>
            </w:r>
          </w:p>
        </w:tc>
        <w:tc>
          <w:tcPr>
            <w:tcW w:w="2009" w:type="dxa"/>
            <w:tcBorders>
              <w:top w:val="nil"/>
              <w:left w:val="single" w:color="auto" w:sz="4" w:space="0"/>
              <w:bottom w:val="single" w:color="auto" w:sz="12" w:space="0"/>
              <w:right w:val="single" w:color="auto" w:sz="4" w:space="0"/>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0.644</w:t>
            </w:r>
          </w:p>
        </w:tc>
        <w:tc>
          <w:tcPr>
            <w:tcW w:w="1903" w:type="dxa"/>
            <w:tcBorders>
              <w:top w:val="nil"/>
              <w:left w:val="single" w:color="auto" w:sz="4" w:space="0"/>
              <w:bottom w:val="single" w:color="auto" w:sz="12" w:space="0"/>
              <w:right w:val="nil"/>
            </w:tcBorders>
            <w:shd w:val="clear" w:color="auto" w:fill="auto"/>
            <w:noWrap/>
            <w:vAlign w:val="center"/>
          </w:tcPr>
          <w:p>
            <w:pPr>
              <w:widowControl/>
              <w:spacing w:line="240" w:lineRule="atLeast"/>
              <w:jc w:val="center"/>
              <w:rPr>
                <w:rFonts w:ascii="Times New Roman" w:hAnsi="Times New Roman" w:eastAsia="宋体" w:cs="Times New Roman"/>
                <w:color w:val="000000"/>
                <w:spacing w:val="-4"/>
                <w:kern w:val="0"/>
                <w:sz w:val="18"/>
                <w:szCs w:val="18"/>
              </w:rPr>
            </w:pPr>
            <w:r>
              <w:rPr>
                <w:rFonts w:ascii="Times New Roman" w:hAnsi="Times New Roman" w:eastAsia="宋体" w:cs="Times New Roman"/>
                <w:color w:val="000000"/>
                <w:spacing w:val="-4"/>
                <w:kern w:val="0"/>
                <w:sz w:val="18"/>
                <w:szCs w:val="18"/>
              </w:rPr>
              <w:t>0.644</w:t>
            </w:r>
          </w:p>
        </w:tc>
      </w:tr>
    </w:tbl>
    <w:p>
      <w:pPr>
        <w:spacing w:line="240" w:lineRule="atLeast"/>
        <w:ind w:firstLine="332" w:firstLineChars="200"/>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注：①</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和</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分别表示1</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和5</w:t>
      </w:r>
      <w:r>
        <w:rPr>
          <w:rFonts w:ascii="Times New Roman" w:hAnsi="Times New Roman" w:eastAsia="宋体" w:cs="Times New Roman"/>
          <w:color w:val="000000"/>
          <w:kern w:val="0"/>
          <w:sz w:val="18"/>
          <w:szCs w:val="18"/>
        </w:rPr>
        <w:t>%</w:t>
      </w:r>
      <w:r>
        <w:rPr>
          <w:rFonts w:hint="eastAsia" w:ascii="Times New Roman" w:hAnsi="Times New Roman" w:eastAsia="宋体" w:cs="Times New Roman"/>
          <w:color w:val="000000"/>
          <w:kern w:val="0"/>
          <w:sz w:val="18"/>
          <w:szCs w:val="18"/>
        </w:rPr>
        <w:t>的显著性水平；②括号内为聚类到地级市层面的标准误；</w:t>
      </w:r>
      <w:r>
        <w:rPr>
          <w:rFonts w:hint="eastAsia" w:ascii="Cambria Math" w:hAnsi="Cambria Math" w:eastAsia="宋体" w:cs="Cambria Math"/>
          <w:color w:val="000000"/>
          <w:kern w:val="0"/>
          <w:sz w:val="18"/>
          <w:szCs w:val="18"/>
        </w:rPr>
        <w:t>③</w:t>
      </w:r>
      <w:r>
        <w:rPr>
          <w:rFonts w:hint="eastAsia" w:ascii="Times New Roman" w:hAnsi="Times New Roman" w:eastAsia="宋体" w:cs="Times New Roman"/>
          <w:color w:val="000000"/>
          <w:kern w:val="0"/>
          <w:sz w:val="18"/>
          <w:szCs w:val="18"/>
        </w:rPr>
        <w:t>控制变量同</w:t>
      </w:r>
      <w:r>
        <w:rPr>
          <w:rFonts w:hint="eastAsia" w:ascii="Times New Roman" w:hAnsi="Times New Roman" w:eastAsia="宋体" w:cs="Times New Roman"/>
          <w:sz w:val="18"/>
          <w:szCs w:val="18"/>
        </w:rPr>
        <w:t>正文中的</w:t>
      </w:r>
      <w:r>
        <w:rPr>
          <w:rFonts w:hint="eastAsia" w:ascii="Times New Roman" w:hAnsi="Times New Roman" w:eastAsia="宋体" w:cs="Times New Roman"/>
          <w:color w:val="000000"/>
          <w:kern w:val="0"/>
          <w:sz w:val="18"/>
          <w:szCs w:val="18"/>
        </w:rPr>
        <w:t>表</w:t>
      </w:r>
      <w:r>
        <w:rPr>
          <w:rFonts w:ascii="Times New Roman" w:hAnsi="Times New Roman" w:eastAsia="宋体" w:cs="Times New Roman"/>
          <w:color w:val="000000"/>
          <w:kern w:val="0"/>
          <w:sz w:val="18"/>
          <w:szCs w:val="18"/>
        </w:rPr>
        <w:t>2</w:t>
      </w:r>
      <w:r>
        <w:rPr>
          <w:rFonts w:hint="eastAsia" w:ascii="Times New Roman" w:hAnsi="Times New Roman" w:eastAsia="宋体" w:cs="Times New Roman"/>
          <w:color w:val="000000"/>
          <w:kern w:val="0"/>
          <w:sz w:val="18"/>
          <w:szCs w:val="18"/>
        </w:rPr>
        <w:t>。</w:t>
      </w:r>
    </w:p>
    <w:p>
      <w:pPr>
        <w:spacing w:line="240" w:lineRule="atLeast"/>
        <w:ind w:firstLine="392" w:firstLineChars="200"/>
        <w:rPr>
          <w:rFonts w:ascii="Times New Roman" w:hAnsi="Times New Roman" w:eastAsia="宋体" w:cs="Times New Roman"/>
          <w:color w:val="000000"/>
          <w:kern w:val="0"/>
          <w:szCs w:val="21"/>
        </w:rPr>
      </w:pPr>
    </w:p>
    <w:p>
      <w:pPr>
        <w:keepNext w:val="0"/>
        <w:keepLines w:val="0"/>
        <w:pageBreakBefore w:val="0"/>
        <w:widowControl w:val="0"/>
        <w:kinsoku/>
        <w:wordWrap/>
        <w:overflowPunct/>
        <w:topLinePunct w:val="0"/>
        <w:autoSpaceDE/>
        <w:autoSpaceDN/>
        <w:bidi w:val="0"/>
        <w:adjustRightInd/>
        <w:snapToGrid/>
        <w:spacing w:line="240" w:lineRule="atLeast"/>
        <w:ind w:right="0" w:firstLine="332" w:firstLineChars="200"/>
        <w:jc w:val="both"/>
        <w:textAlignment w:val="auto"/>
        <w:rPr>
          <w:rFonts w:ascii="Times New Roman" w:hAnsi="Times New Roman" w:eastAsia="宋体" w:cs="Times New Roman"/>
          <w:color w:val="000000"/>
          <w:kern w:val="0"/>
          <w:szCs w:val="21"/>
        </w:rPr>
      </w:pPr>
      <w:r>
        <w:rPr>
          <w:rFonts w:hint="eastAsia" w:ascii="Times New Roman" w:hAnsi="Times New Roman" w:eastAsia="黑体" w:cs="Times New Roman"/>
          <w:bCs/>
          <w:color w:val="000000"/>
          <w:sz w:val="18"/>
          <w:szCs w:val="18"/>
        </w:rPr>
        <w:t>附表7</w:t>
      </w:r>
      <w:r>
        <w:rPr>
          <w:rFonts w:ascii="Times New Roman" w:hAnsi="Times New Roman" w:eastAsia="黑体" w:cs="Times New Roman"/>
          <w:bCs/>
          <w:color w:val="000000"/>
          <w:sz w:val="18"/>
          <w:szCs w:val="18"/>
        </w:rPr>
        <w:t xml:space="preserve"> </w:t>
      </w:r>
      <w:r>
        <w:rPr>
          <w:rFonts w:hint="eastAsia" w:ascii="Times New Roman" w:hAnsi="Times New Roman" w:eastAsia="黑体" w:cs="Times New Roman"/>
          <w:bCs/>
          <w:color w:val="000000"/>
          <w:sz w:val="18"/>
          <w:szCs w:val="18"/>
        </w:rPr>
        <w:t>经济增长目标约束下增值税税率下调政策实施对地级市环境质量影响的</w:t>
      </w:r>
      <w:r>
        <w:rPr>
          <w:rFonts w:hint="eastAsia" w:ascii="Times New Roman" w:hAnsi="Times New Roman" w:eastAsia="黑体" w:cs="Times New Roman"/>
          <w:bCs/>
          <w:color w:val="000000"/>
          <w:sz w:val="18"/>
          <w:szCs w:val="18"/>
          <w:lang w:val="en-US" w:eastAsia="zh-CN"/>
        </w:rPr>
        <w:t>其他</w:t>
      </w:r>
      <w:r>
        <w:rPr>
          <w:rFonts w:hint="eastAsia" w:ascii="Times New Roman" w:hAnsi="Times New Roman" w:eastAsia="黑体" w:cs="Times New Roman"/>
          <w:bCs/>
          <w:color w:val="000000"/>
          <w:sz w:val="18"/>
          <w:szCs w:val="18"/>
        </w:rPr>
        <w:t>作用机制异质性检验结果</w:t>
      </w:r>
    </w:p>
    <w:tbl>
      <w:tblPr>
        <w:tblStyle w:val="33"/>
        <w:tblW w:w="8649" w:type="dxa"/>
        <w:jc w:val="center"/>
        <w:tblInd w:w="184"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08"/>
        <w:gridCol w:w="1460"/>
        <w:gridCol w:w="1460"/>
        <w:gridCol w:w="1460"/>
        <w:gridCol w:w="1461"/>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vMerge w:val="restart"/>
            <w:tcBorders>
              <w:top w:val="single" w:color="auto" w:sz="12"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变量</w:t>
            </w:r>
          </w:p>
        </w:tc>
        <w:tc>
          <w:tcPr>
            <w:tcW w:w="2920" w:type="dxa"/>
            <w:gridSpan w:val="2"/>
            <w:tcBorders>
              <w:top w:val="single" w:color="auto" w:sz="12"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新注册重污染企业占比</w:t>
            </w:r>
          </w:p>
        </w:tc>
        <w:tc>
          <w:tcPr>
            <w:tcW w:w="2921" w:type="dxa"/>
            <w:gridSpan w:val="2"/>
            <w:tcBorders>
              <w:top w:val="single" w:color="auto" w:sz="12" w:space="0"/>
              <w:left w:val="single" w:color="auto" w:sz="4" w:space="0"/>
              <w:bottom w:val="single" w:color="auto" w:sz="4" w:space="0"/>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环保支出占比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vMerge w:val="continue"/>
            <w:tcBorders>
              <w:right w:val="single" w:color="auto" w:sz="4" w:space="0"/>
            </w:tcBorders>
            <w:shd w:val="clear" w:color="auto" w:fill="auto"/>
            <w:noWrap/>
            <w:vAlign w:val="center"/>
          </w:tcPr>
          <w:p>
            <w:pPr>
              <w:widowControl/>
              <w:jc w:val="left"/>
              <w:rPr>
                <w:rFonts w:ascii="Times New Roman" w:hAnsi="Times New Roman" w:eastAsia="宋体" w:cs="Times New Roman"/>
                <w:color w:val="000000"/>
                <w:kern w:val="0"/>
                <w:sz w:val="18"/>
                <w:szCs w:val="18"/>
              </w:rPr>
            </w:pPr>
          </w:p>
        </w:tc>
        <w:tc>
          <w:tcPr>
            <w:tcW w:w="1460" w:type="dxa"/>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软约束组</w:t>
            </w:r>
          </w:p>
        </w:tc>
        <w:tc>
          <w:tcPr>
            <w:tcW w:w="1460" w:type="dxa"/>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硬约束组</w:t>
            </w:r>
          </w:p>
        </w:tc>
        <w:tc>
          <w:tcPr>
            <w:tcW w:w="1460" w:type="dxa"/>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软约束组</w:t>
            </w:r>
          </w:p>
        </w:tc>
        <w:tc>
          <w:tcPr>
            <w:tcW w:w="1461" w:type="dxa"/>
            <w:tcBorders>
              <w:top w:val="single" w:color="auto" w:sz="4" w:space="0"/>
              <w:left w:val="single" w:color="auto" w:sz="4" w:space="0"/>
              <w:bottom w:val="nil"/>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硬约束组</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vMerge w:val="continue"/>
            <w:tcBorders>
              <w:bottom w:val="single" w:color="auto" w:sz="4" w:space="0"/>
              <w:right w:val="single" w:color="auto" w:sz="4" w:space="0"/>
            </w:tcBorders>
            <w:shd w:val="clear" w:color="auto" w:fill="auto"/>
            <w:noWrap/>
            <w:vAlign w:val="center"/>
          </w:tcPr>
          <w:p>
            <w:pPr>
              <w:widowControl/>
              <w:jc w:val="left"/>
              <w:rPr>
                <w:rFonts w:ascii="Times New Roman" w:hAnsi="Times New Roman" w:eastAsia="宋体" w:cs="Times New Roman"/>
                <w:color w:val="000000"/>
                <w:kern w:val="0"/>
                <w:sz w:val="18"/>
                <w:szCs w:val="18"/>
              </w:rPr>
            </w:pPr>
          </w:p>
        </w:tc>
        <w:tc>
          <w:tcPr>
            <w:tcW w:w="1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1</w:t>
            </w:r>
          </w:p>
        </w:tc>
        <w:tc>
          <w:tcPr>
            <w:tcW w:w="1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2</w:t>
            </w:r>
          </w:p>
        </w:tc>
        <w:tc>
          <w:tcPr>
            <w:tcW w:w="1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3</w:t>
            </w:r>
          </w:p>
        </w:tc>
        <w:tc>
          <w:tcPr>
            <w:tcW w:w="1461" w:type="dxa"/>
            <w:tcBorders>
              <w:top w:val="nil"/>
              <w:left w:val="single" w:color="auto" w:sz="4" w:space="0"/>
              <w:bottom w:val="single" w:color="auto" w:sz="4" w:space="0"/>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4</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vMerge w:val="restart"/>
            <w:tcBorders>
              <w:top w:val="single" w:color="auto" w:sz="4" w:space="0"/>
              <w:right w:val="single" w:color="auto" w:sz="4" w:space="0"/>
            </w:tcBorders>
            <w:shd w:val="clear" w:color="auto" w:fill="auto"/>
            <w:noWrap/>
            <w:vAlign w:val="top"/>
          </w:tcPr>
          <w:p>
            <w:pPr>
              <w:widowControl/>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增值税依赖度×</w:t>
            </w:r>
            <w:r>
              <w:rPr>
                <w:rFonts w:hint="eastAsia" w:ascii="Times New Roman" w:hAnsi="Times New Roman" w:eastAsia="宋体" w:cs="Times New Roman"/>
                <w:color w:val="000000"/>
                <w:kern w:val="0"/>
                <w:sz w:val="18"/>
                <w:szCs w:val="18"/>
              </w:rPr>
              <w:t>政策实施年份</w:t>
            </w:r>
          </w:p>
        </w:tc>
        <w:tc>
          <w:tcPr>
            <w:tcW w:w="1460" w:type="dxa"/>
            <w:tcBorders>
              <w:top w:val="single" w:color="auto" w:sz="4" w:space="0"/>
              <w:left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−0.008</w:t>
            </w:r>
          </w:p>
        </w:tc>
        <w:tc>
          <w:tcPr>
            <w:tcW w:w="1460" w:type="dxa"/>
            <w:tcBorders>
              <w:top w:val="single" w:color="auto" w:sz="4" w:space="0"/>
              <w:left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0.178</w:t>
            </w:r>
          </w:p>
        </w:tc>
        <w:tc>
          <w:tcPr>
            <w:tcW w:w="1460" w:type="dxa"/>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0.027</w:t>
            </w:r>
          </w:p>
        </w:tc>
        <w:tc>
          <w:tcPr>
            <w:tcW w:w="1461" w:type="dxa"/>
            <w:tcBorders>
              <w:top w:val="single" w:color="auto" w:sz="4" w:space="0"/>
              <w:left w:val="single" w:color="auto" w:sz="4" w:space="0"/>
              <w:bottom w:val="nil"/>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0.103</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vMerge w:val="continue"/>
            <w:tcBorders>
              <w:right w:val="single" w:color="auto" w:sz="4" w:space="0"/>
            </w:tcBorders>
            <w:shd w:val="clear" w:color="auto" w:fill="auto"/>
            <w:noWrap/>
            <w:vAlign w:val="top"/>
          </w:tcPr>
          <w:p>
            <w:pPr>
              <w:widowControl/>
              <w:jc w:val="both"/>
              <w:rPr>
                <w:rFonts w:ascii="Times New Roman" w:hAnsi="Times New Roman" w:eastAsia="宋体" w:cs="Times New Roman"/>
                <w:color w:val="000000"/>
                <w:kern w:val="0"/>
                <w:sz w:val="18"/>
                <w:szCs w:val="18"/>
              </w:rPr>
            </w:pPr>
          </w:p>
        </w:tc>
        <w:tc>
          <w:tcPr>
            <w:tcW w:w="1460" w:type="dxa"/>
            <w:tcBorders>
              <w:left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0.053</w:t>
            </w:r>
            <w:r>
              <w:rPr>
                <w:rFonts w:hint="eastAsia" w:ascii="Times New Roman" w:hAnsi="Times New Roman" w:eastAsia="宋体" w:cs="Times New Roman"/>
                <w:color w:val="000000"/>
                <w:kern w:val="0"/>
                <w:sz w:val="18"/>
                <w:szCs w:val="18"/>
              </w:rPr>
              <w:t>）</w:t>
            </w:r>
          </w:p>
        </w:tc>
        <w:tc>
          <w:tcPr>
            <w:tcW w:w="1460" w:type="dxa"/>
            <w:tcBorders>
              <w:left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0.119</w:t>
            </w:r>
            <w:r>
              <w:rPr>
                <w:rFonts w:hint="eastAsia" w:ascii="Times New Roman" w:hAnsi="Times New Roman" w:eastAsia="宋体" w:cs="Times New Roman"/>
                <w:color w:val="000000"/>
                <w:kern w:val="0"/>
                <w:sz w:val="18"/>
                <w:szCs w:val="18"/>
              </w:rPr>
              <w:t>）</w:t>
            </w:r>
          </w:p>
        </w:tc>
        <w:tc>
          <w:tcPr>
            <w:tcW w:w="1460" w:type="dxa"/>
            <w:tcBorders>
              <w:top w:val="nil"/>
              <w:left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0.023</w:t>
            </w:r>
            <w:r>
              <w:rPr>
                <w:rFonts w:hint="eastAsia" w:ascii="Times New Roman" w:hAnsi="Times New Roman" w:eastAsia="宋体" w:cs="Times New Roman"/>
                <w:color w:val="000000"/>
                <w:kern w:val="0"/>
                <w:sz w:val="18"/>
                <w:szCs w:val="18"/>
              </w:rPr>
              <w:t>）</w:t>
            </w:r>
          </w:p>
        </w:tc>
        <w:tc>
          <w:tcPr>
            <w:tcW w:w="1461" w:type="dxa"/>
            <w:tcBorders>
              <w:top w:val="nil"/>
              <w:left w:val="single" w:color="auto" w:sz="4" w:space="0"/>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0.139</w:t>
            </w:r>
            <w:r>
              <w:rPr>
                <w:rFonts w:hint="eastAsia" w:ascii="Times New Roman" w:hAnsi="Times New Roman" w:eastAsia="宋体" w:cs="Times New Roman"/>
                <w:color w:val="000000"/>
                <w:kern w:val="0"/>
                <w:sz w:val="18"/>
                <w:szCs w:val="18"/>
              </w:rPr>
              <w:t>）</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tcBorders>
              <w:right w:val="single" w:color="auto" w:sz="4" w:space="0"/>
            </w:tcBorders>
            <w:shd w:val="clear" w:color="auto" w:fill="auto"/>
            <w:noWrap/>
            <w:vAlign w:val="top"/>
          </w:tcPr>
          <w:p>
            <w:pPr>
              <w:widowControl/>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控制变量</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1" w:type="dxa"/>
            <w:tcBorders>
              <w:left w:val="single" w:color="auto" w:sz="4" w:space="0"/>
              <w:right w:val="nil"/>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tcBorders>
              <w:right w:val="single" w:color="auto" w:sz="4" w:space="0"/>
            </w:tcBorders>
            <w:shd w:val="clear" w:color="auto" w:fill="auto"/>
            <w:noWrap/>
            <w:vAlign w:val="top"/>
          </w:tcPr>
          <w:p>
            <w:pPr>
              <w:widowControl/>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年份固定效应</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1" w:type="dxa"/>
            <w:tcBorders>
              <w:left w:val="single" w:color="auto" w:sz="4" w:space="0"/>
              <w:right w:val="nil"/>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tcBorders>
              <w:right w:val="single" w:color="auto" w:sz="4" w:space="0"/>
            </w:tcBorders>
            <w:shd w:val="clear" w:color="auto" w:fill="auto"/>
            <w:noWrap/>
            <w:vAlign w:val="top"/>
          </w:tcPr>
          <w:p>
            <w:pPr>
              <w:widowControl/>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地级市固定效应</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0" w:type="dxa"/>
            <w:tcBorders>
              <w:left w:val="single" w:color="auto" w:sz="4" w:space="0"/>
              <w:right w:val="single" w:color="auto" w:sz="4" w:space="0"/>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61" w:type="dxa"/>
            <w:tcBorders>
              <w:left w:val="single" w:color="auto" w:sz="4" w:space="0"/>
              <w:right w:val="nil"/>
            </w:tcBorders>
            <w:shd w:val="clear" w:color="auto" w:fill="auto"/>
            <w:noWrap/>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tcBorders>
              <w:bottom w:val="nil"/>
              <w:right w:val="single" w:color="auto" w:sz="4" w:space="0"/>
            </w:tcBorders>
            <w:shd w:val="clear" w:color="auto" w:fill="auto"/>
            <w:noWrap/>
            <w:vAlign w:val="top"/>
          </w:tcPr>
          <w:p>
            <w:pPr>
              <w:widowControl/>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观测值</w:t>
            </w:r>
          </w:p>
        </w:tc>
        <w:tc>
          <w:tcPr>
            <w:tcW w:w="1460" w:type="dxa"/>
            <w:tcBorders>
              <w:left w:val="single" w:color="auto" w:sz="4" w:space="0"/>
              <w:bottom w:val="nil"/>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1027</w:t>
            </w:r>
          </w:p>
        </w:tc>
        <w:tc>
          <w:tcPr>
            <w:tcW w:w="1460" w:type="dxa"/>
            <w:tcBorders>
              <w:left w:val="single" w:color="auto" w:sz="4" w:space="0"/>
              <w:bottom w:val="nil"/>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164</w:t>
            </w:r>
          </w:p>
        </w:tc>
        <w:tc>
          <w:tcPr>
            <w:tcW w:w="1460" w:type="dxa"/>
            <w:tcBorders>
              <w:left w:val="single" w:color="auto" w:sz="4" w:space="0"/>
              <w:bottom w:val="nil"/>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822</w:t>
            </w:r>
          </w:p>
        </w:tc>
        <w:tc>
          <w:tcPr>
            <w:tcW w:w="1461" w:type="dxa"/>
            <w:tcBorders>
              <w:left w:val="single" w:color="auto" w:sz="4" w:space="0"/>
              <w:bottom w:val="nil"/>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125</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tcBorders>
              <w:top w:val="nil"/>
              <w:bottom w:val="single" w:color="auto" w:sz="4" w:space="0"/>
              <w:right w:val="single" w:color="auto" w:sz="4" w:space="0"/>
            </w:tcBorders>
            <w:shd w:val="clear" w:color="auto" w:fill="auto"/>
            <w:noWrap/>
            <w:vAlign w:val="center"/>
          </w:tcPr>
          <w:p>
            <w:pPr>
              <w:widowControl/>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R</w:t>
            </w:r>
            <w:r>
              <w:rPr>
                <w:rFonts w:ascii="Times New Roman" w:hAnsi="Times New Roman" w:eastAsia="宋体" w:cs="Times New Roman"/>
                <w:color w:val="000000"/>
                <w:kern w:val="0"/>
                <w:sz w:val="18"/>
                <w:szCs w:val="18"/>
                <w:vertAlign w:val="superscript"/>
              </w:rPr>
              <w:t>2</w:t>
            </w:r>
            <w:r>
              <w:rPr>
                <w:rFonts w:hint="eastAsia" w:ascii="Times New Roman" w:hAnsi="Times New Roman" w:eastAsia="宋体" w:cs="Times New Roman"/>
                <w:color w:val="000000"/>
                <w:kern w:val="0"/>
                <w:sz w:val="18"/>
                <w:szCs w:val="18"/>
              </w:rPr>
              <w:t>值</w:t>
            </w:r>
          </w:p>
        </w:tc>
        <w:tc>
          <w:tcPr>
            <w:tcW w:w="1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0.879</w:t>
            </w:r>
          </w:p>
        </w:tc>
        <w:tc>
          <w:tcPr>
            <w:tcW w:w="1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0.922</w:t>
            </w:r>
          </w:p>
        </w:tc>
        <w:tc>
          <w:tcPr>
            <w:tcW w:w="14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0.441</w:t>
            </w:r>
          </w:p>
        </w:tc>
        <w:tc>
          <w:tcPr>
            <w:tcW w:w="1461" w:type="dxa"/>
            <w:tcBorders>
              <w:top w:val="nil"/>
              <w:left w:val="single" w:color="auto" w:sz="4" w:space="0"/>
              <w:bottom w:val="single" w:color="auto" w:sz="4" w:space="0"/>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0.568</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08" w:type="dxa"/>
            <w:tcBorders>
              <w:top w:val="single" w:color="auto" w:sz="4" w:space="0"/>
              <w:bottom w:val="single" w:color="auto" w:sz="12" w:space="0"/>
              <w:right w:val="single" w:color="auto" w:sz="4" w:space="0"/>
            </w:tcBorders>
            <w:shd w:val="clear" w:color="auto" w:fill="auto"/>
            <w:noWrap/>
            <w:vAlign w:val="center"/>
          </w:tcPr>
          <w:p>
            <w:pPr>
              <w:widowControl/>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组间差异检验p值</w:t>
            </w:r>
          </w:p>
        </w:tc>
        <w:tc>
          <w:tcPr>
            <w:tcW w:w="2920" w:type="dxa"/>
            <w:gridSpan w:val="2"/>
            <w:tcBorders>
              <w:top w:val="single" w:color="auto" w:sz="4" w:space="0"/>
              <w:left w:val="single" w:color="auto" w:sz="4" w:space="0"/>
              <w:bottom w:val="single" w:color="auto" w:sz="12" w:space="0"/>
              <w:right w:val="single" w:color="auto" w:sz="4" w:space="0"/>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0.000</w:t>
            </w:r>
            <w:r>
              <w:rPr>
                <w:rFonts w:ascii="Times New Roman" w:hAnsi="Times New Roman" w:eastAsia="宋体" w:cs="Times New Roman"/>
                <w:color w:val="000000"/>
                <w:kern w:val="0"/>
                <w:sz w:val="18"/>
                <w:szCs w:val="18"/>
                <w:vertAlign w:val="superscript"/>
              </w:rPr>
              <w:t>***</w:t>
            </w:r>
          </w:p>
        </w:tc>
        <w:tc>
          <w:tcPr>
            <w:tcW w:w="2921" w:type="dxa"/>
            <w:gridSpan w:val="2"/>
            <w:tcBorders>
              <w:top w:val="single" w:color="auto" w:sz="4" w:space="0"/>
              <w:left w:val="single" w:color="auto" w:sz="4" w:space="0"/>
              <w:bottom w:val="single" w:color="auto" w:sz="12" w:space="0"/>
              <w:right w:val="nil"/>
            </w:tcBorders>
            <w:shd w:val="clear" w:color="auto" w:fill="auto"/>
            <w:noWrap/>
            <w:vAlign w:val="center"/>
          </w:tcPr>
          <w:p>
            <w:pPr>
              <w:widowControl/>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0.004</w:t>
            </w:r>
            <w:r>
              <w:rPr>
                <w:rFonts w:ascii="Times New Roman" w:hAnsi="Times New Roman" w:eastAsia="宋体" w:cs="Times New Roman"/>
                <w:color w:val="000000"/>
                <w:kern w:val="0"/>
                <w:sz w:val="18"/>
                <w:szCs w:val="18"/>
                <w:vertAlign w:val="superscript"/>
              </w:rPr>
              <w:t>***</w:t>
            </w:r>
          </w:p>
        </w:tc>
      </w:tr>
    </w:tbl>
    <w:p>
      <w:pPr>
        <w:spacing w:line="240" w:lineRule="atLeast"/>
        <w:ind w:firstLine="332" w:firstLineChars="200"/>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注：①括号内为聚类到地级市层面的标准误；②</w:t>
      </w:r>
      <w:r>
        <w:rPr>
          <w:rFonts w:hint="eastAsia" w:ascii="Times New Roman" w:hAnsi="Times New Roman" w:eastAsia="宋体" w:cs="Times New Roman"/>
          <w:color w:val="000000"/>
          <w:sz w:val="18"/>
          <w:szCs w:val="18"/>
        </w:rPr>
        <w:t>核心解释变量系数的</w:t>
      </w:r>
      <w:r>
        <w:rPr>
          <w:rFonts w:hint="eastAsia" w:ascii="Times New Roman" w:hAnsi="Times New Roman" w:eastAsia="宋体" w:cs="Times New Roman"/>
          <w:color w:val="000000"/>
          <w:kern w:val="0"/>
          <w:sz w:val="18"/>
          <w:szCs w:val="18"/>
        </w:rPr>
        <w:t>组间差异检验的p值采用费舍尔组合检验（抽样1000次）计算得到；③控制变量</w:t>
      </w:r>
      <w:bookmarkStart w:id="1" w:name="_GoBack"/>
      <w:bookmarkEnd w:id="1"/>
      <w:r>
        <w:rPr>
          <w:rFonts w:hint="eastAsia" w:ascii="Times New Roman" w:hAnsi="Times New Roman" w:eastAsia="宋体" w:cs="Times New Roman"/>
          <w:color w:val="000000"/>
          <w:kern w:val="0"/>
          <w:sz w:val="18"/>
          <w:szCs w:val="18"/>
        </w:rPr>
        <w:t>同</w:t>
      </w:r>
      <w:r>
        <w:rPr>
          <w:rFonts w:hint="eastAsia" w:ascii="Times New Roman" w:hAnsi="Times New Roman" w:eastAsia="宋体" w:cs="Times New Roman"/>
          <w:sz w:val="18"/>
          <w:szCs w:val="18"/>
        </w:rPr>
        <w:t>正文中的</w:t>
      </w:r>
      <w:r>
        <w:rPr>
          <w:rFonts w:hint="eastAsia" w:ascii="Times New Roman" w:hAnsi="Times New Roman" w:eastAsia="宋体" w:cs="Times New Roman"/>
          <w:color w:val="000000"/>
          <w:kern w:val="0"/>
          <w:sz w:val="18"/>
          <w:szCs w:val="18"/>
        </w:rPr>
        <w:t>表</w:t>
      </w:r>
      <w:r>
        <w:rPr>
          <w:rFonts w:ascii="Times New Roman" w:hAnsi="Times New Roman" w:eastAsia="宋体" w:cs="Times New Roman"/>
          <w:color w:val="000000"/>
          <w:kern w:val="0"/>
          <w:sz w:val="18"/>
          <w:szCs w:val="18"/>
        </w:rPr>
        <w:t>2</w:t>
      </w:r>
      <w:r>
        <w:rPr>
          <w:rFonts w:hint="eastAsia" w:ascii="Times New Roman" w:hAnsi="Times New Roman" w:eastAsia="宋体" w:cs="Times New Roman"/>
          <w:color w:val="000000"/>
          <w:kern w:val="0"/>
          <w:sz w:val="18"/>
          <w:szCs w:val="18"/>
        </w:rPr>
        <w:t>。</w:t>
      </w:r>
    </w:p>
    <w:p>
      <w:pPr>
        <w:ind w:firstLine="420"/>
        <w:rPr>
          <w:rFonts w:ascii="仿宋_GB2312" w:hAnsi="Times New Roman" w:eastAsia="仿宋_GB2312" w:cs="仿宋_GB2312"/>
          <w:sz w:val="18"/>
          <w:szCs w:val="18"/>
        </w:rPr>
      </w:pPr>
    </w:p>
    <w:p>
      <w:pPr>
        <w:spacing w:line="240" w:lineRule="atLeast"/>
        <w:ind w:firstLine="332" w:firstLineChars="200"/>
        <w:jc w:val="left"/>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rPr>
        <w:t>附表8 环境保护目标约束下增值税税率下调政策实施对地级市环境质量影响的</w:t>
      </w:r>
      <w:r>
        <w:rPr>
          <w:rFonts w:hint="eastAsia" w:ascii="Times New Roman" w:hAnsi="Times New Roman" w:eastAsia="黑体" w:cs="Times New Roman"/>
          <w:bCs/>
          <w:color w:val="000000"/>
          <w:sz w:val="18"/>
          <w:szCs w:val="18"/>
          <w:lang w:val="en-US" w:eastAsia="zh-CN"/>
        </w:rPr>
        <w:t>其他</w:t>
      </w:r>
      <w:r>
        <w:rPr>
          <w:rFonts w:hint="eastAsia" w:ascii="Times New Roman" w:hAnsi="Times New Roman" w:eastAsia="黑体" w:cs="Times New Roman"/>
          <w:bCs/>
          <w:color w:val="000000"/>
          <w:sz w:val="18"/>
          <w:szCs w:val="18"/>
        </w:rPr>
        <w:t>作用机制异质性检验结果</w:t>
      </w:r>
    </w:p>
    <w:tbl>
      <w:tblPr>
        <w:tblStyle w:val="33"/>
        <w:tblW w:w="8638" w:type="dxa"/>
        <w:jc w:val="center"/>
        <w:tblInd w:w="108"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13"/>
        <w:gridCol w:w="1456"/>
        <w:gridCol w:w="1456"/>
        <w:gridCol w:w="1456"/>
        <w:gridCol w:w="1457"/>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vMerge w:val="restart"/>
            <w:tcBorders>
              <w:top w:val="single" w:color="auto" w:sz="12"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变量</w:t>
            </w:r>
          </w:p>
        </w:tc>
        <w:tc>
          <w:tcPr>
            <w:tcW w:w="2912" w:type="dxa"/>
            <w:gridSpan w:val="2"/>
            <w:tcBorders>
              <w:top w:val="single" w:color="auto" w:sz="12"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新注册重污染企业占比</w:t>
            </w:r>
          </w:p>
        </w:tc>
        <w:tc>
          <w:tcPr>
            <w:tcW w:w="2913" w:type="dxa"/>
            <w:gridSpan w:val="2"/>
            <w:tcBorders>
              <w:top w:val="single" w:color="auto" w:sz="12" w:space="0"/>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环保支出占比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vMerge w:val="continue"/>
            <w:tcBorders>
              <w:right w:val="single" w:color="auto" w:sz="4" w:space="0"/>
            </w:tcBorders>
            <w:vAlign w:val="center"/>
          </w:tcPr>
          <w:p>
            <w:pPr>
              <w:widowControl/>
              <w:spacing w:line="300" w:lineRule="exact"/>
              <w:jc w:val="left"/>
              <w:rPr>
                <w:rFonts w:ascii="Times New Roman" w:hAnsi="Times New Roman" w:eastAsia="宋体" w:cs="Times New Roman"/>
                <w:color w:val="000000"/>
                <w:kern w:val="0"/>
                <w:sz w:val="18"/>
                <w:szCs w:val="18"/>
              </w:rPr>
            </w:pPr>
          </w:p>
        </w:tc>
        <w:tc>
          <w:tcPr>
            <w:tcW w:w="1456" w:type="dxa"/>
            <w:tcBorders>
              <w:top w:val="single" w:color="auto" w:sz="4" w:space="0"/>
              <w:left w:val="single" w:color="auto" w:sz="4" w:space="0"/>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弱目标组</w:t>
            </w:r>
          </w:p>
        </w:tc>
        <w:tc>
          <w:tcPr>
            <w:tcW w:w="1456" w:type="dxa"/>
            <w:tcBorders>
              <w:top w:val="single" w:color="auto" w:sz="4" w:space="0"/>
              <w:left w:val="nil"/>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强目标组</w:t>
            </w:r>
          </w:p>
        </w:tc>
        <w:tc>
          <w:tcPr>
            <w:tcW w:w="1456" w:type="dxa"/>
            <w:tcBorders>
              <w:top w:val="single" w:color="auto" w:sz="4" w:space="0"/>
              <w:left w:val="single" w:color="auto" w:sz="4" w:space="0"/>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弱目标组</w:t>
            </w:r>
          </w:p>
        </w:tc>
        <w:tc>
          <w:tcPr>
            <w:tcW w:w="1457" w:type="dxa"/>
            <w:tcBorders>
              <w:top w:val="single" w:color="auto" w:sz="4" w:space="0"/>
              <w:left w:val="nil"/>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强目标组</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vMerge w:val="continue"/>
            <w:tcBorders>
              <w:bottom w:val="single" w:color="auto" w:sz="4" w:space="0"/>
              <w:right w:val="single" w:color="auto" w:sz="4" w:space="0"/>
            </w:tcBorders>
            <w:vAlign w:val="center"/>
          </w:tcPr>
          <w:p>
            <w:pPr>
              <w:widowControl/>
              <w:spacing w:line="300" w:lineRule="exact"/>
              <w:jc w:val="left"/>
              <w:rPr>
                <w:rFonts w:ascii="Times New Roman" w:hAnsi="Times New Roman" w:eastAsia="宋体" w:cs="Times New Roman"/>
                <w:color w:val="000000"/>
                <w:kern w:val="0"/>
                <w:sz w:val="18"/>
                <w:szCs w:val="18"/>
              </w:rPr>
            </w:pPr>
          </w:p>
        </w:tc>
        <w:tc>
          <w:tcPr>
            <w:tcW w:w="1456" w:type="dxa"/>
            <w:tcBorders>
              <w:top w:val="nil"/>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1</w:t>
            </w:r>
          </w:p>
        </w:tc>
        <w:tc>
          <w:tcPr>
            <w:tcW w:w="1456"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2</w:t>
            </w:r>
          </w:p>
        </w:tc>
        <w:tc>
          <w:tcPr>
            <w:tcW w:w="1456" w:type="dxa"/>
            <w:tcBorders>
              <w:top w:val="nil"/>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3</w:t>
            </w:r>
          </w:p>
        </w:tc>
        <w:tc>
          <w:tcPr>
            <w:tcW w:w="1457" w:type="dxa"/>
            <w:tcBorders>
              <w:top w:val="nil"/>
              <w:left w:val="nil"/>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方程</w:t>
            </w:r>
            <w:r>
              <w:rPr>
                <w:rFonts w:ascii="Times New Roman" w:hAnsi="Times New Roman" w:eastAsia="宋体" w:cs="Times New Roman"/>
                <w:color w:val="000000"/>
                <w:kern w:val="0"/>
                <w:sz w:val="18"/>
                <w:szCs w:val="18"/>
              </w:rPr>
              <w:t>4</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vMerge w:val="restart"/>
            <w:tcBorders>
              <w:top w:val="single" w:color="auto" w:sz="4" w:space="0"/>
              <w:right w:val="single" w:color="auto" w:sz="4" w:space="0"/>
            </w:tcBorders>
            <w:shd w:val="clear" w:color="auto" w:fill="auto"/>
            <w:noWrap/>
            <w:vAlign w:val="top"/>
          </w:tcPr>
          <w:p>
            <w:pPr>
              <w:widowControl/>
              <w:spacing w:line="300" w:lineRule="exact"/>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增值税依赖度×</w:t>
            </w:r>
            <w:r>
              <w:rPr>
                <w:rFonts w:hint="eastAsia" w:ascii="Times New Roman" w:hAnsi="Times New Roman" w:eastAsia="宋体" w:cs="Times New Roman"/>
                <w:color w:val="000000"/>
                <w:kern w:val="0"/>
                <w:sz w:val="18"/>
                <w:szCs w:val="18"/>
              </w:rPr>
              <w:t>政策实施年份</w:t>
            </w:r>
          </w:p>
        </w:tc>
        <w:tc>
          <w:tcPr>
            <w:tcW w:w="1456" w:type="dxa"/>
            <w:tcBorders>
              <w:top w:val="single" w:color="auto" w:sz="4" w:space="0"/>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−0.045</w:t>
            </w:r>
          </w:p>
        </w:tc>
        <w:tc>
          <w:tcPr>
            <w:tcW w:w="1456" w:type="dxa"/>
            <w:tcBorders>
              <w:top w:val="single" w:color="auto" w:sz="4" w:space="0"/>
              <w:left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0.116</w:t>
            </w:r>
          </w:p>
        </w:tc>
        <w:tc>
          <w:tcPr>
            <w:tcW w:w="1456" w:type="dxa"/>
            <w:tcBorders>
              <w:top w:val="single" w:color="auto" w:sz="4" w:space="0"/>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0.000</w:t>
            </w:r>
          </w:p>
        </w:tc>
        <w:tc>
          <w:tcPr>
            <w:tcW w:w="1457" w:type="dxa"/>
            <w:tcBorders>
              <w:top w:val="single" w:color="auto" w:sz="4" w:space="0"/>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0.017</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vMerge w:val="continue"/>
            <w:tcBorders>
              <w:right w:val="single" w:color="auto" w:sz="4" w:space="0"/>
            </w:tcBorders>
            <w:shd w:val="clear" w:color="auto" w:fill="auto"/>
            <w:noWrap/>
            <w:vAlign w:val="top"/>
          </w:tcPr>
          <w:p>
            <w:pPr>
              <w:widowControl/>
              <w:spacing w:line="300" w:lineRule="exact"/>
              <w:jc w:val="both"/>
              <w:rPr>
                <w:rFonts w:ascii="Times New Roman" w:hAnsi="Times New Roman" w:eastAsia="宋体" w:cs="Times New Roman"/>
                <w:color w:val="000000"/>
                <w:kern w:val="0"/>
                <w:sz w:val="18"/>
                <w:szCs w:val="18"/>
              </w:rPr>
            </w:pPr>
          </w:p>
        </w:tc>
        <w:tc>
          <w:tcPr>
            <w:tcW w:w="1456"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0.070</w:t>
            </w:r>
            <w:r>
              <w:rPr>
                <w:rFonts w:hint="eastAsia" w:ascii="Times New Roman" w:hAnsi="Times New Roman" w:eastAsia="宋体" w:cs="Times New Roman"/>
                <w:color w:val="000000"/>
                <w:kern w:val="0"/>
                <w:sz w:val="18"/>
                <w:szCs w:val="18"/>
              </w:rPr>
              <w:t>）</w:t>
            </w:r>
          </w:p>
        </w:tc>
        <w:tc>
          <w:tcPr>
            <w:tcW w:w="1456" w:type="dxa"/>
            <w:tcBorders>
              <w:left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0.073</w:t>
            </w:r>
            <w:r>
              <w:rPr>
                <w:rFonts w:hint="eastAsia" w:ascii="Times New Roman" w:hAnsi="Times New Roman" w:eastAsia="宋体" w:cs="Times New Roman"/>
                <w:color w:val="000000"/>
                <w:kern w:val="0"/>
                <w:sz w:val="18"/>
                <w:szCs w:val="18"/>
              </w:rPr>
              <w:t>）</w:t>
            </w:r>
          </w:p>
        </w:tc>
        <w:tc>
          <w:tcPr>
            <w:tcW w:w="1456"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0.023</w:t>
            </w:r>
            <w:r>
              <w:rPr>
                <w:rFonts w:hint="eastAsia" w:ascii="Times New Roman" w:hAnsi="Times New Roman" w:eastAsia="宋体" w:cs="Times New Roman"/>
                <w:color w:val="000000"/>
                <w:kern w:val="0"/>
                <w:sz w:val="18"/>
                <w:szCs w:val="18"/>
              </w:rPr>
              <w:t>）</w:t>
            </w:r>
          </w:p>
        </w:tc>
        <w:tc>
          <w:tcPr>
            <w:tcW w:w="1457"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w:t>
            </w:r>
            <w:r>
              <w:rPr>
                <w:rFonts w:ascii="Times New Roman" w:hAnsi="Times New Roman" w:eastAsia="宋体" w:cs="Times New Roman"/>
                <w:color w:val="000000"/>
                <w:kern w:val="0"/>
                <w:sz w:val="18"/>
                <w:szCs w:val="18"/>
              </w:rPr>
              <w:t>0.042</w:t>
            </w:r>
            <w:r>
              <w:rPr>
                <w:rFonts w:hint="eastAsia" w:ascii="Times New Roman" w:hAnsi="Times New Roman" w:eastAsia="宋体" w:cs="Times New Roman"/>
                <w:color w:val="000000"/>
                <w:kern w:val="0"/>
                <w:sz w:val="18"/>
                <w:szCs w:val="18"/>
              </w:rPr>
              <w:t>）</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tcBorders>
              <w:right w:val="single" w:color="auto" w:sz="4" w:space="0"/>
            </w:tcBorders>
            <w:shd w:val="clear" w:color="auto" w:fill="auto"/>
            <w:noWrap/>
            <w:vAlign w:val="top"/>
          </w:tcPr>
          <w:p>
            <w:pPr>
              <w:widowControl/>
              <w:spacing w:line="300" w:lineRule="exact"/>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控制变量</w:t>
            </w:r>
          </w:p>
        </w:tc>
        <w:tc>
          <w:tcPr>
            <w:tcW w:w="1456" w:type="dxa"/>
            <w:tcBorders>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6" w:type="dxa"/>
            <w:tcBorders>
              <w:left w:val="nil"/>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6" w:type="dxa"/>
            <w:tcBorders>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7" w:type="dxa"/>
            <w:tcBorders>
              <w:left w:val="nil"/>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tcBorders>
              <w:right w:val="single" w:color="auto" w:sz="4" w:space="0"/>
            </w:tcBorders>
            <w:shd w:val="clear" w:color="auto" w:fill="auto"/>
            <w:noWrap/>
            <w:vAlign w:val="top"/>
          </w:tcPr>
          <w:p>
            <w:pPr>
              <w:widowControl/>
              <w:spacing w:line="300" w:lineRule="exact"/>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年份固定效应</w:t>
            </w:r>
          </w:p>
        </w:tc>
        <w:tc>
          <w:tcPr>
            <w:tcW w:w="1456" w:type="dxa"/>
            <w:tcBorders>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6" w:type="dxa"/>
            <w:tcBorders>
              <w:left w:val="nil"/>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6" w:type="dxa"/>
            <w:tcBorders>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7" w:type="dxa"/>
            <w:tcBorders>
              <w:left w:val="nil"/>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tcBorders>
              <w:right w:val="single" w:color="auto" w:sz="4" w:space="0"/>
            </w:tcBorders>
            <w:shd w:val="clear" w:color="auto" w:fill="auto"/>
            <w:noWrap/>
            <w:vAlign w:val="top"/>
          </w:tcPr>
          <w:p>
            <w:pPr>
              <w:widowControl/>
              <w:spacing w:line="300" w:lineRule="exact"/>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地级市固定效应</w:t>
            </w:r>
          </w:p>
        </w:tc>
        <w:tc>
          <w:tcPr>
            <w:tcW w:w="1456" w:type="dxa"/>
            <w:tcBorders>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6" w:type="dxa"/>
            <w:tcBorders>
              <w:left w:val="nil"/>
              <w:right w:val="single" w:color="auto" w:sz="4" w:space="0"/>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6" w:type="dxa"/>
            <w:tcBorders>
              <w:left w:val="single" w:color="auto" w:sz="4" w:space="0"/>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c>
          <w:tcPr>
            <w:tcW w:w="1457" w:type="dxa"/>
            <w:tcBorders>
              <w:left w:val="nil"/>
              <w:right w:val="nil"/>
            </w:tcBorders>
            <w:shd w:val="clear" w:color="auto" w:fill="auto"/>
            <w:noWrap/>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控制</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tcBorders>
              <w:right w:val="single" w:color="auto" w:sz="4" w:space="0"/>
            </w:tcBorders>
            <w:shd w:val="clear" w:color="auto" w:fill="auto"/>
            <w:noWrap/>
            <w:vAlign w:val="top"/>
          </w:tcPr>
          <w:p>
            <w:pPr>
              <w:widowControl/>
              <w:spacing w:line="300" w:lineRule="exact"/>
              <w:jc w:val="both"/>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观测值</w:t>
            </w:r>
          </w:p>
        </w:tc>
        <w:tc>
          <w:tcPr>
            <w:tcW w:w="1456" w:type="dxa"/>
            <w:tcBorders>
              <w:left w:val="single" w:color="auto" w:sz="4" w:space="0"/>
              <w:bottom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615</w:t>
            </w:r>
          </w:p>
        </w:tc>
        <w:tc>
          <w:tcPr>
            <w:tcW w:w="1456" w:type="dxa"/>
            <w:tcBorders>
              <w:left w:val="nil"/>
              <w:bottom w:val="nil"/>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603</w:t>
            </w:r>
          </w:p>
        </w:tc>
        <w:tc>
          <w:tcPr>
            <w:tcW w:w="1456" w:type="dxa"/>
            <w:tcBorders>
              <w:left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473</w:t>
            </w:r>
          </w:p>
        </w:tc>
        <w:tc>
          <w:tcPr>
            <w:tcW w:w="1457" w:type="dxa"/>
            <w:tcBorders>
              <w:left w:val="nil"/>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482</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tcBorders>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R</w:t>
            </w:r>
            <w:r>
              <w:rPr>
                <w:rFonts w:ascii="Times New Roman" w:hAnsi="Times New Roman" w:eastAsia="宋体" w:cs="Times New Roman"/>
                <w:color w:val="000000"/>
                <w:kern w:val="0"/>
                <w:sz w:val="18"/>
                <w:szCs w:val="18"/>
                <w:vertAlign w:val="superscript"/>
              </w:rPr>
              <w:t>2</w:t>
            </w:r>
            <w:r>
              <w:rPr>
                <w:rFonts w:hint="eastAsia" w:ascii="Times New Roman" w:hAnsi="Times New Roman" w:eastAsia="宋体" w:cs="Times New Roman"/>
                <w:color w:val="000000"/>
                <w:kern w:val="0"/>
                <w:sz w:val="18"/>
                <w:szCs w:val="18"/>
              </w:rPr>
              <w:t>值</w:t>
            </w:r>
          </w:p>
        </w:tc>
        <w:tc>
          <w:tcPr>
            <w:tcW w:w="1456" w:type="dxa"/>
            <w:tcBorders>
              <w:top w:val="nil"/>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0.879</w:t>
            </w:r>
          </w:p>
        </w:tc>
        <w:tc>
          <w:tcPr>
            <w:tcW w:w="1456"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0.899</w:t>
            </w:r>
          </w:p>
        </w:tc>
        <w:tc>
          <w:tcPr>
            <w:tcW w:w="1456" w:type="dxa"/>
            <w:tcBorders>
              <w:left w:val="single" w:color="auto" w:sz="4" w:space="0"/>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0.452</w:t>
            </w:r>
          </w:p>
        </w:tc>
        <w:tc>
          <w:tcPr>
            <w:tcW w:w="1457" w:type="dxa"/>
            <w:tcBorders>
              <w:left w:val="nil"/>
              <w:bottom w:val="single" w:color="auto" w:sz="4"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ascii="Times New Roman" w:hAnsi="Times New Roman" w:eastAsia="宋体" w:cs="Times New Roman"/>
                <w:color w:val="000000"/>
                <w:kern w:val="0"/>
                <w:sz w:val="18"/>
                <w:szCs w:val="18"/>
              </w:rPr>
              <w:t>0.467</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exact"/>
          <w:jc w:val="center"/>
        </w:trPr>
        <w:tc>
          <w:tcPr>
            <w:tcW w:w="2813" w:type="dxa"/>
            <w:tcBorders>
              <w:top w:val="single" w:color="auto" w:sz="4" w:space="0"/>
              <w:bottom w:val="single" w:color="auto" w:sz="12" w:space="0"/>
              <w:right w:val="single" w:color="auto" w:sz="4" w:space="0"/>
            </w:tcBorders>
            <w:shd w:val="clear" w:color="auto" w:fill="auto"/>
            <w:noWrap/>
            <w:vAlign w:val="center"/>
          </w:tcPr>
          <w:p>
            <w:pPr>
              <w:widowControl/>
              <w:spacing w:line="300" w:lineRule="exact"/>
              <w:jc w:val="left"/>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组间差异检验p值</w:t>
            </w:r>
          </w:p>
        </w:tc>
        <w:tc>
          <w:tcPr>
            <w:tcW w:w="2912" w:type="dxa"/>
            <w:gridSpan w:val="2"/>
            <w:tcBorders>
              <w:top w:val="single" w:color="auto" w:sz="4" w:space="0"/>
              <w:left w:val="single" w:color="auto" w:sz="4" w:space="0"/>
              <w:bottom w:val="single" w:color="auto" w:sz="12" w:space="0"/>
              <w:right w:val="single" w:color="auto" w:sz="4" w:space="0"/>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0.004</w:t>
            </w:r>
            <w:r>
              <w:rPr>
                <w:rFonts w:ascii="Times New Roman" w:hAnsi="Times New Roman" w:eastAsia="宋体" w:cs="Times New Roman"/>
                <w:color w:val="000000"/>
                <w:kern w:val="0"/>
                <w:sz w:val="18"/>
                <w:szCs w:val="18"/>
                <w:vertAlign w:val="superscript"/>
              </w:rPr>
              <w:t>***</w:t>
            </w:r>
          </w:p>
        </w:tc>
        <w:tc>
          <w:tcPr>
            <w:tcW w:w="2913" w:type="dxa"/>
            <w:gridSpan w:val="2"/>
            <w:tcBorders>
              <w:top w:val="single" w:color="auto" w:sz="4" w:space="0"/>
              <w:left w:val="single" w:color="auto" w:sz="4" w:space="0"/>
              <w:bottom w:val="single" w:color="auto" w:sz="12" w:space="0"/>
              <w:right w:val="nil"/>
            </w:tcBorders>
            <w:shd w:val="clear" w:color="auto" w:fill="auto"/>
            <w:noWrap/>
            <w:vAlign w:val="center"/>
          </w:tcPr>
          <w:p>
            <w:pPr>
              <w:widowControl/>
              <w:spacing w:line="300" w:lineRule="exact"/>
              <w:jc w:val="center"/>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kern w:val="0"/>
                <w:sz w:val="18"/>
                <w:szCs w:val="18"/>
              </w:rPr>
              <w:t>0.378</w:t>
            </w:r>
          </w:p>
        </w:tc>
      </w:tr>
    </w:tbl>
    <w:p>
      <w:pPr>
        <w:ind w:firstLine="332" w:firstLineChars="200"/>
        <w:rPr>
          <w:rFonts w:ascii="Times New Roman" w:hAnsi="Times New Roman" w:eastAsia="宋体" w:cs="Times New Roman"/>
          <w:color w:val="000000"/>
          <w:kern w:val="0"/>
          <w:sz w:val="18"/>
          <w:szCs w:val="18"/>
        </w:rPr>
      </w:pPr>
      <w:r>
        <w:rPr>
          <w:rFonts w:hint="eastAsia" w:ascii="Times New Roman" w:hAnsi="Times New Roman" w:eastAsia="宋体" w:cs="Times New Roman"/>
          <w:color w:val="000000"/>
          <w:sz w:val="18"/>
          <w:szCs w:val="18"/>
        </w:rPr>
        <w:t>注：</w:t>
      </w:r>
      <w:r>
        <w:rPr>
          <w:rFonts w:hint="eastAsia" w:ascii="Times New Roman" w:hAnsi="Times New Roman" w:eastAsia="宋体" w:cs="Times New Roman"/>
          <w:color w:val="000000"/>
          <w:kern w:val="0"/>
          <w:sz w:val="18"/>
          <w:szCs w:val="18"/>
        </w:rPr>
        <w:t>①括号内为聚类到地级市层面的标准误；②</w:t>
      </w:r>
      <w:r>
        <w:rPr>
          <w:rFonts w:hint="eastAsia" w:ascii="Times New Roman" w:hAnsi="Times New Roman" w:eastAsia="宋体" w:cs="Times New Roman"/>
          <w:color w:val="000000"/>
          <w:sz w:val="18"/>
          <w:szCs w:val="18"/>
        </w:rPr>
        <w:t>核心解释变量系数的</w:t>
      </w:r>
      <w:r>
        <w:rPr>
          <w:rFonts w:hint="eastAsia" w:ascii="Times New Roman" w:hAnsi="Times New Roman" w:eastAsia="宋体" w:cs="Times New Roman"/>
          <w:color w:val="000000"/>
          <w:kern w:val="0"/>
          <w:sz w:val="18"/>
          <w:szCs w:val="18"/>
        </w:rPr>
        <w:t>组间差异检验的p值采用费舍尔组合检验（抽样1000次）计算得到；③控制变量同正文中的表</w:t>
      </w:r>
      <w:r>
        <w:rPr>
          <w:rFonts w:ascii="Times New Roman" w:hAnsi="Times New Roman" w:eastAsia="宋体" w:cs="Times New Roman"/>
          <w:color w:val="000000"/>
          <w:kern w:val="0"/>
          <w:sz w:val="18"/>
          <w:szCs w:val="18"/>
        </w:rPr>
        <w:t>2</w:t>
      </w:r>
      <w:r>
        <w:rPr>
          <w:rFonts w:hint="eastAsia" w:ascii="Times New Roman" w:hAnsi="Times New Roman" w:eastAsia="宋体" w:cs="Times New Roman"/>
          <w:color w:val="000000"/>
          <w:kern w:val="0"/>
          <w:sz w:val="18"/>
          <w:szCs w:val="18"/>
        </w:rPr>
        <w:t>。</w:t>
      </w:r>
    </w:p>
    <w:p>
      <w:pPr>
        <w:rPr>
          <w:rFonts w:hint="eastAsia"/>
        </w:rPr>
      </w:pPr>
    </w:p>
    <w:p>
      <w:pPr>
        <w:rPr>
          <w:rFonts w:ascii="Calibri" w:hAnsi="Calibri" w:eastAsia="宋体"/>
        </w:rPr>
      </w:pPr>
    </w:p>
    <w:p>
      <w:pPr>
        <w:rPr>
          <w:rFonts w:ascii="Calibri" w:hAnsi="Calibri" w:eastAsia="宋体"/>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 xml:space="preserve">（具体请根据目标投稿期刊对应调整体例）：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 xml:space="preserve">如果研究中使用了未在《中国农村经济》纸质版刊发、但在杂志网站上正式公开发表的数字 </w:t>
      </w: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ascii="宋体" w:hAnsi="宋体" w:eastAsia="宋体" w:cs="宋体"/>
      </w:rPr>
    </w:pPr>
    <w:r>
      <w:rPr>
        <w:rFonts w:hint="eastAsia" w:ascii="宋体" w:hAnsi="宋体" w:eastAsia="宋体" w:cs="宋体"/>
      </w:rPr>
      <w:t>未预期减税的环保效应：来自增值税税率下调政策的证据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宋体"/>
        <w:lang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ascii="Times New Roman" w:hAnsi="Times New Roman" w:cs="Times New Roman"/>
      </w:rPr>
      <w:t xml:space="preserve">      </w:t>
    </w:r>
    <w:r>
      <w:rPr>
        <w:rFonts w:hint="eastAsia" w:ascii="Times New Roman" w:hAnsi="Times New Roman" w:cs="Times New Roman"/>
      </w:rPr>
      <w:t>未预期减税的环保效应：来自增值税税率下调政策的证据</w:t>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cs="Times New Roman"/>
      </w:rPr>
      <w:t xml:space="preserve">   202</w:t>
    </w:r>
    <w:r>
      <w:rPr>
        <w:rFonts w:hint="eastAsia" w:cs="Times New Roman"/>
        <w:lang w:val="en-US" w:eastAsia="zh-CN"/>
      </w:rPr>
      <w:t>4</w:t>
    </w:r>
    <w:r>
      <w:rPr>
        <w:rFonts w:ascii="Times New Roman" w:hAnsi="Times New Roman" w:cs="Times New Roman"/>
      </w:rPr>
      <w:t>.</w:t>
    </w:r>
    <w:r>
      <w:rPr>
        <w:rFonts w:hint="eastAsia" w:cs="Times New Roman"/>
        <w:lang w:val="en-US" w:eastAsia="zh-CN"/>
      </w:rPr>
      <w:t>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2A675A"/>
    <w:rsid w:val="36944ACF"/>
    <w:rsid w:val="36B349A1"/>
    <w:rsid w:val="36BB0D7A"/>
    <w:rsid w:val="36BD4313"/>
    <w:rsid w:val="36DF7544"/>
    <w:rsid w:val="36F112F2"/>
    <w:rsid w:val="36F85394"/>
    <w:rsid w:val="374133E6"/>
    <w:rsid w:val="3744384B"/>
    <w:rsid w:val="37485EF7"/>
    <w:rsid w:val="374D0724"/>
    <w:rsid w:val="376B0DD8"/>
    <w:rsid w:val="37810F86"/>
    <w:rsid w:val="3782055B"/>
    <w:rsid w:val="378C5DAA"/>
    <w:rsid w:val="378C5E3A"/>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3"/>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5"/>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2"/>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1"/>
    <w:next w:val="1"/>
    <w:link w:val="99"/>
    <w:qFormat/>
    <w:uiPriority w:val="0"/>
    <w:pPr>
      <w:tabs>
        <w:tab w:val="center" w:pos="4320"/>
        <w:tab w:val="right" w:pos="8620"/>
      </w:tabs>
      <w:spacing w:line="380" w:lineRule="exact"/>
      <w:ind w:firstLine="392" w:firstLineChars="200"/>
    </w:pPr>
    <w:rPr>
      <w:rFonts w:ascii="Times New Roman" w:hAnsi="Times New Roman" w:eastAsia="宋体" w:cs="Times New Roman"/>
      <w:i/>
      <w:iCs/>
      <w:szCs w:val="22"/>
    </w:rPr>
  </w:style>
  <w:style w:type="character" w:customStyle="1" w:styleId="99">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0">
    <w:name w:val="未处理的提及1"/>
    <w:basedOn w:val="19"/>
    <w:semiHidden/>
    <w:unhideWhenUsed/>
    <w:qFormat/>
    <w:uiPriority w:val="99"/>
    <w:rPr>
      <w:color w:val="605E5C"/>
      <w:shd w:val="clear" w:color="auto" w:fill="E1DFDD"/>
    </w:rPr>
  </w:style>
  <w:style w:type="paragraph" w:customStyle="1" w:styleId="101">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2">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3">
    <w:name w:val="标题 2 字符"/>
    <w:basedOn w:val="19"/>
    <w:link w:val="5"/>
    <w:qFormat/>
    <w:uiPriority w:val="0"/>
    <w:rPr>
      <w:rFonts w:ascii="宋体" w:hAnsi="宋体" w:eastAsiaTheme="minorEastAsia"/>
      <w:b/>
      <w:bCs/>
      <w:sz w:val="28"/>
      <w:szCs w:val="36"/>
    </w:rPr>
  </w:style>
  <w:style w:type="character" w:customStyle="1" w:styleId="104">
    <w:name w:val="未处理的提及2"/>
    <w:basedOn w:val="19"/>
    <w:semiHidden/>
    <w:unhideWhenUsed/>
    <w:qFormat/>
    <w:uiPriority w:val="99"/>
    <w:rPr>
      <w:color w:val="605E5C"/>
      <w:shd w:val="clear" w:color="auto" w:fill="E1DFDD"/>
    </w:rPr>
  </w:style>
  <w:style w:type="character" w:customStyle="1" w:styleId="105">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6">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7">
    <w:name w:val="Unresolved Mention"/>
    <w:basedOn w:val="19"/>
    <w:semiHidden/>
    <w:unhideWhenUsed/>
    <w:qFormat/>
    <w:uiPriority w:val="99"/>
    <w:rPr>
      <w:color w:val="605E5C"/>
      <w:shd w:val="clear" w:color="auto" w:fill="E1DFDD"/>
    </w:rPr>
  </w:style>
  <w:style w:type="paragraph" w:customStyle="1" w:styleId="108">
    <w:name w:val="3"/>
    <w:basedOn w:val="1"/>
    <w:next w:val="91"/>
    <w:qFormat/>
    <w:uiPriority w:val="34"/>
    <w:pPr>
      <w:ind w:firstLine="420" w:firstLineChars="200"/>
    </w:pPr>
    <w:rPr>
      <w:rFonts w:ascii="等线" w:hAnsi="等线" w:eastAsia="等线"/>
    </w:rPr>
  </w:style>
  <w:style w:type="paragraph" w:customStyle="1" w:styleId="109">
    <w:name w:val="4正文"/>
    <w:basedOn w:val="1"/>
    <w:qFormat/>
    <w:uiPriority w:val="0"/>
    <w:pPr>
      <w:spacing w:line="400" w:lineRule="exact"/>
    </w:pPr>
    <w:rPr>
      <w:rFonts w:ascii="Times New Roman" w:hAnsi="Times New Roman" w:cs="Times New Roman"/>
      <w:szCs w:val="24"/>
    </w:rPr>
  </w:style>
  <w:style w:type="table" w:customStyle="1" w:styleId="110">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1">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8</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crecrs</cp:lastModifiedBy>
  <cp:lastPrinted>2023-06-28T09:19:00Z</cp:lastPrinted>
  <dcterms:modified xsi:type="dcterms:W3CDTF">2024-09-10T02:17:13Z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