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vertAlign w:val="superscript"/>
          <w:lang w:val="en-US" w:eastAsia="zh-CN" w:bidi="ar-SA"/>
        </w:rPr>
      </w:pPr>
    </w:p>
    <w:p>
      <w:pPr>
        <w:jc w:val="both"/>
        <w:rPr>
          <w:rFonts w:ascii="Times New Roman" w:hAnsi="Times New Roman" w:eastAsia="宋体" w:cs="Times New Roman"/>
          <w:kern w:val="0"/>
          <w:szCs w:val="32"/>
        </w:rPr>
      </w:pPr>
    </w:p>
    <w:p>
      <w:pPr>
        <w:spacing w:line="240" w:lineRule="atLeast"/>
        <w:jc w:val="center"/>
        <w:rPr>
          <w:rFonts w:ascii="Times New Roman" w:hAnsi="Times New Roman" w:eastAsia="楷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0"/>
          <w:szCs w:val="20"/>
        </w:rPr>
        <w:drawing>
          <wp:inline distT="0" distB="0" distL="0" distR="0">
            <wp:extent cx="5438775" cy="3524250"/>
            <wp:effectExtent l="0" t="0" r="9525" b="0"/>
            <wp:docPr id="9708456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图1  丝绸之路经济带恐怖活动的演变特征（2002</w:t>
      </w:r>
      <w:r>
        <w:rPr>
          <w:rFonts w:hint="eastAsia" w:ascii="宋体" w:hAnsi="宋体" w:eastAsia="宋体" w:cs="宋体"/>
          <w:bCs/>
          <w:sz w:val="18"/>
          <w:szCs w:val="18"/>
        </w:rPr>
        <w:t>－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>2021）</w:t>
      </w:r>
    </w:p>
    <w:p>
      <w:pPr>
        <w:ind w:left="1260" w:hanging="1176" w:hangingChars="600"/>
        <w:jc w:val="left"/>
        <w:rPr>
          <w:rFonts w:hint="eastAsia" w:ascii="等线" w:hAnsi="等线" w:eastAsia="等线" w:cs="Times New Roman"/>
          <w:sz w:val="21"/>
          <w:szCs w:val="22"/>
        </w:rPr>
      </w:pPr>
      <w:r>
        <w:rPr>
          <w:rFonts w:ascii="等线" w:hAnsi="等线" w:eastAsia="等线" w:cs="Times New Roman"/>
          <w:sz w:val="21"/>
          <w:szCs w:val="22"/>
        </w:rPr>
        <w:drawing>
          <wp:inline distT="0" distB="0" distL="0" distR="0">
            <wp:extent cx="2743200" cy="2261870"/>
            <wp:effectExtent l="0" t="0" r="0" b="5080"/>
            <wp:docPr id="150308978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等线" w:hAnsi="等线" w:eastAsia="等线" w:cs="Times New Roman"/>
          <w:sz w:val="21"/>
          <w:szCs w:val="22"/>
        </w:rPr>
        <w:t xml:space="preserve"> </w:t>
      </w:r>
      <w:r>
        <w:rPr>
          <w:rFonts w:ascii="等线" w:hAnsi="等线" w:eastAsia="等线" w:cs="Times New Roman"/>
          <w:sz w:val="21"/>
          <w:szCs w:val="22"/>
        </w:rPr>
        <w:drawing>
          <wp:inline distT="0" distB="0" distL="0" distR="0">
            <wp:extent cx="2619375" cy="2265045"/>
            <wp:effectExtent l="0" t="0" r="9525" b="1905"/>
            <wp:docPr id="204063871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18"/>
          <w:szCs w:val="18"/>
        </w:rPr>
        <w:t>（a）恐怖活动</w:t>
      </w:r>
      <w:r>
        <w:rPr>
          <w:rFonts w:hint="eastAsia" w:ascii="Times New Roman" w:hAnsi="Times New Roman" w:eastAsia="宋体" w:cs="Times New Roman"/>
          <w:sz w:val="18"/>
          <w:szCs w:val="18"/>
        </w:rPr>
        <w:t>发生次数</w:t>
      </w:r>
      <w:r>
        <w:rPr>
          <w:rFonts w:ascii="Times New Roman" w:hAnsi="Times New Roman" w:eastAsia="宋体" w:cs="Times New Roman"/>
          <w:sz w:val="18"/>
          <w:szCs w:val="18"/>
        </w:rPr>
        <w:t>分布                        （b）恐怖活动烈度分布</w:t>
      </w:r>
    </w:p>
    <w:p>
      <w:pPr>
        <w:spacing w:line="240" w:lineRule="atLeast"/>
        <w:jc w:val="center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图2  丝绸之路经济带恐怖活动的分布特征（以2002</w:t>
      </w:r>
      <w:r>
        <w:rPr>
          <w:rFonts w:hint="eastAsia" w:ascii="宋体" w:hAnsi="宋体" w:eastAsia="宋体" w:cs="宋体"/>
          <w:bCs/>
          <w:sz w:val="18"/>
          <w:szCs w:val="18"/>
        </w:rPr>
        <w:t>－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>2021均值为例）</w:t>
      </w:r>
    </w:p>
    <w:p>
      <w:pPr>
        <w:spacing w:line="240" w:lineRule="atLeast"/>
        <w:ind w:firstLine="392" w:firstLineChars="200"/>
        <w:jc w:val="center"/>
        <w:rPr>
          <w:rFonts w:ascii="Times New Roman" w:hAnsi="Times New Roman" w:eastAsia="楷体" w:cs="Times New Roman"/>
          <w:sz w:val="21"/>
          <w:szCs w:val="21"/>
        </w:rPr>
      </w:pPr>
      <w:r>
        <w:rPr>
          <w:rFonts w:ascii="等线" w:hAnsi="等线" w:eastAsia="等线" w:cs="Times New Roman"/>
          <w:sz w:val="21"/>
          <w:szCs w:val="22"/>
        </w:rPr>
        <w:drawing>
          <wp:inline distT="0" distB="0" distL="0" distR="0">
            <wp:extent cx="4267200" cy="2133600"/>
            <wp:effectExtent l="0" t="0" r="0" b="0"/>
            <wp:docPr id="1085268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图3  中国对丝绸之路经济带农产品出口贸易额及环比增长率的演变特征（2003</w:t>
      </w:r>
      <w:r>
        <w:rPr>
          <w:rFonts w:hint="eastAsia" w:ascii="宋体" w:hAnsi="宋体" w:eastAsia="宋体" w:cs="宋体"/>
          <w:bCs/>
          <w:sz w:val="18"/>
          <w:szCs w:val="18"/>
        </w:rPr>
        <w:t>－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>2021）</w:t>
      </w:r>
    </w:p>
    <w:p>
      <w:pPr>
        <w:spacing w:line="240" w:lineRule="atLeast"/>
        <w:ind w:firstLine="332" w:firstLineChars="200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ascii="Times New Roman" w:hAnsi="Times New Roman" w:eastAsia="黑体" w:cs="Times New Roman"/>
          <w:bCs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 xml:space="preserve">1 </w:t>
      </w:r>
      <w:r>
        <w:rPr>
          <w:rFonts w:ascii="Times New Roman" w:hAnsi="Times New Roman" w:eastAsia="黑体" w:cs="Times New Roman"/>
          <w:bCs/>
          <w:sz w:val="18"/>
          <w:szCs w:val="18"/>
        </w:rPr>
        <w:t xml:space="preserve">                         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eastAsia="黑体" w:cs="Times New Roman"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 xml:space="preserve">         综合灰色关联度结果</w:t>
      </w:r>
    </w:p>
    <w:tbl>
      <w:tblPr>
        <w:tblStyle w:val="33"/>
        <w:tblW w:w="863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430"/>
        <w:gridCol w:w="2430"/>
        <w:gridCol w:w="24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24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恐怖活动频次（次）</w:t>
            </w:r>
          </w:p>
        </w:tc>
        <w:tc>
          <w:tcPr>
            <w:tcW w:w="243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恐怖活动死亡人数（人）</w:t>
            </w:r>
          </w:p>
        </w:tc>
        <w:tc>
          <w:tcPr>
            <w:tcW w:w="243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恐怖活动烈度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0.8964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0.8965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0.8961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2430" w:type="dxa"/>
            <w:tcBorders>
              <w:left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0.8770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0.8764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0.8777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243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0.8743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0.8735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2008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010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012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0.8729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014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0.8827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0.8823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0.8830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016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0.8963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0.8960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0.8968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018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0.9106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0.9102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0.9111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020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0.9074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0.9073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hint="default" w:eastAsia="黑体"/>
          <w:sz w:val="18"/>
          <w:lang w:val="en-US" w:eastAsia="zh-CN"/>
        </w:rPr>
      </w:pPr>
      <w:r>
        <w:rPr>
          <w:rFonts w:hint="eastAsia" w:eastAsia="黑体"/>
          <w:sz w:val="18"/>
          <w:lang w:val="en-US" w:eastAsia="zh-CN"/>
        </w:rPr>
        <w:t>表1（续）</w:t>
      </w:r>
    </w:p>
    <w:tbl>
      <w:tblPr>
        <w:tblStyle w:val="33"/>
        <w:tblW w:w="863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430"/>
        <w:gridCol w:w="2430"/>
        <w:gridCol w:w="24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021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0.9035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0.9033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0.9040</w:t>
            </w:r>
          </w:p>
        </w:tc>
      </w:tr>
    </w:tbl>
    <w:p>
      <w:pPr>
        <w:spacing w:line="360" w:lineRule="exact"/>
        <w:ind w:firstLine="498" w:firstLineChars="300"/>
        <w:rPr>
          <w:rFonts w:ascii="Times New Roman" w:hAnsi="Times New Roman" w:eastAsia="黑体" w:cs="Times New Roman"/>
          <w:bCs/>
          <w:sz w:val="18"/>
          <w:szCs w:val="18"/>
        </w:rPr>
      </w:pPr>
    </w:p>
    <w:p>
      <w:pPr>
        <w:spacing w:line="360" w:lineRule="exact"/>
        <w:ind w:firstLine="498" w:firstLineChars="300"/>
        <w:rPr>
          <w:rFonts w:ascii="Times New Roman" w:hAnsi="Times New Roman" w:eastAsia="黑体" w:cs="Times New Roman"/>
          <w:bCs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eastAsia="黑体" w:cs="Times New Roman"/>
          <w:bCs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>2</w:t>
      </w:r>
      <w:r>
        <w:rPr>
          <w:rFonts w:ascii="Times New Roman" w:hAnsi="Times New Roman" w:eastAsia="黑体" w:cs="Times New Roman"/>
          <w:bCs/>
          <w:sz w:val="18"/>
          <w:szCs w:val="18"/>
        </w:rPr>
        <w:t xml:space="preserve">                          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>莫兰指数检验结果：基于地理距离矩阵</w:t>
      </w:r>
    </w:p>
    <w:tbl>
      <w:tblPr>
        <w:tblStyle w:val="33"/>
        <w:tblW w:w="863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96"/>
        <w:gridCol w:w="1415"/>
        <w:gridCol w:w="2261"/>
        <w:gridCol w:w="16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农产品出口贸易</w:t>
            </w:r>
          </w:p>
        </w:tc>
        <w:tc>
          <w:tcPr>
            <w:tcW w:w="38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恐怖活动死亡人数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Moran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’s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I</w:t>
            </w:r>
          </w:p>
        </w:tc>
        <w:tc>
          <w:tcPr>
            <w:tcW w:w="141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Z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Moran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’s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I</w:t>
            </w: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Z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0.067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2.950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.090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0.045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2.157</w:t>
            </w:r>
          </w:p>
        </w:tc>
        <w:tc>
          <w:tcPr>
            <w:tcW w:w="2261" w:type="dxa"/>
            <w:tcBorders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.072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.102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0.031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1.700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.072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2008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0.021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1.361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.067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.951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.071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.050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.065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.896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012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.090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.703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.056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.591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014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.110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.398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.046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.212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016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.140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.453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.092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.797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018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.145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.603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.065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.910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020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.144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.598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.044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kern w:val="0"/>
                <w:sz w:val="18"/>
                <w:szCs w:val="18"/>
              </w:rPr>
              <w:t>021</w:t>
            </w:r>
          </w:p>
        </w:tc>
        <w:tc>
          <w:tcPr>
            <w:tcW w:w="1996" w:type="dxa"/>
            <w:tcBorders>
              <w:top w:val="nil"/>
              <w:left w:val="single" w:color="auto" w:sz="6" w:space="0"/>
              <w:bottom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.167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15" w:type="dxa"/>
            <w:tcBorders>
              <w:top w:val="nil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.379</w:t>
            </w:r>
          </w:p>
        </w:tc>
        <w:tc>
          <w:tcPr>
            <w:tcW w:w="2261" w:type="dxa"/>
            <w:tcBorders>
              <w:lef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.059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631" w:type="dxa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.696</w:t>
            </w:r>
          </w:p>
        </w:tc>
      </w:tr>
    </w:tbl>
    <w:p>
      <w:pPr>
        <w:rPr>
          <w:rFonts w:ascii="Times New Roman" w:hAnsi="Times New Roman" w:eastAsia="宋体" w:cs="Times New Roman"/>
          <w:sz w:val="20"/>
          <w:szCs w:val="20"/>
        </w:rPr>
      </w:pPr>
    </w:p>
    <w:p>
      <w:pPr>
        <w:rPr>
          <w:rFonts w:ascii="Calibri" w:hAnsi="Calibri" w:eastAsia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]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林文声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高标准农田建设的农地流转市场转型效应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中国农村经济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第1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23-43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如果研究中使用了未在《中国农村经济》纸质版刊发、但在杂志网站上正式公开发表的数字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内容（包括数据、程序、附录文件），请务必在研究成果正文中注明：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宋体"/>
          <w:spacing w:val="-1"/>
        </w:rPr>
      </w:pPr>
      <w:r>
        <w:rPr>
          <w:rFonts w:hint="eastAsia" w:ascii="Calibri" w:hAnsi="Calibri" w:eastAsia="宋体"/>
          <w:spacing w:val="-1"/>
        </w:rPr>
        <w:t>某数据（及程序等或其他材料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来自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林文声</w:t>
      </w:r>
      <w:r>
        <w:rPr>
          <w:rFonts w:hint="eastAsia" w:ascii="Calibri" w:hAnsi="Calibri" w:eastAsia="宋体"/>
          <w:spacing w:val="-1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2023</w:t>
      </w:r>
      <w:r>
        <w:rPr>
          <w:rFonts w:hint="eastAsia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Calibri" w:hAnsi="Calibri" w:eastAsia="宋体"/>
          <w:spacing w:val="-1"/>
        </w:rPr>
        <w:t>，详见《中国农村经济》网站（</w:t>
      </w:r>
      <w:r>
        <w:rPr>
          <w:rFonts w:hint="default" w:ascii="Times New Roman" w:hAnsi="Times New Roman" w:eastAsia="宋体" w:cs="Times New Roman"/>
          <w:spacing w:val="-1"/>
        </w:rPr>
        <w:t>zgncjj.ajcass.</w:t>
      </w:r>
      <w:r>
        <w:rPr>
          <w:rFonts w:hint="eastAsia" w:eastAsia="宋体" w:cs="Times New Roman"/>
          <w:spacing w:val="-1"/>
          <w:lang w:val="en-US" w:eastAsia="zh-CN"/>
        </w:rPr>
        <w:t>com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该文的</w:t>
      </w:r>
      <w:r>
        <w:rPr>
          <w:rFonts w:hint="eastAsia" w:ascii="Calibri" w:hAnsi="Calibri" w:eastAsia="宋体"/>
          <w:spacing w:val="-1"/>
          <w:lang w:val="en-US" w:eastAsia="zh-CN"/>
        </w:rPr>
        <w:t>对应</w:t>
      </w:r>
      <w:r>
        <w:rPr>
          <w:rFonts w:hint="eastAsia" w:ascii="Calibri" w:hAnsi="Calibri" w:eastAsia="宋体"/>
          <w:spacing w:val="-1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gency FB">
    <w:altName w:val="Yu Gothic UI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进口国突发性社会安全事件对中国农产品出口贸易的影响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eastAsia="宋体"/>
        <w:lang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</w:t>
    </w:r>
    <w:r>
      <w:rPr>
        <w:rFonts w:hint="eastAsia" w:cs="Times New Roman"/>
        <w:lang w:val="en-US" w:eastAsia="zh-CN"/>
      </w:rPr>
      <w:t xml:space="preserve">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</w:rPr>
      <w:t>进口国突发性社会安全事件对中国农产品出口贸易的影响</w:t>
    </w:r>
    <w:r>
      <w:rPr>
        <w:rFonts w:ascii="Times New Roman" w:hAnsi="Times New Roman" w:cs="Times New Roman"/>
      </w:rPr>
      <w:t xml:space="preserve">  </w:t>
    </w:r>
    <w:r>
      <w:rPr>
        <w:rFonts w:hint="eastAsia" w:cs="Times New Roman"/>
        <w:lang w:val="en-US" w:eastAsia="zh-CN"/>
      </w:rPr>
      <w:t xml:space="preserve">        </w:t>
    </w:r>
    <w:r>
      <w:rPr>
        <w:rFonts w:ascii="Times New Roman" w:hAnsi="Times New Roman" w:cs="Times New Roman"/>
      </w:rPr>
      <w:t xml:space="preserve">   202</w:t>
    </w:r>
    <w:r>
      <w:rPr>
        <w:rFonts w:hint="eastAsia" w:cs="Times New Roman"/>
        <w:lang w:val="en-US" w:eastAsia="zh-CN"/>
      </w:rPr>
      <w:t>4</w:t>
    </w:r>
    <w:r>
      <w:rPr>
        <w:rFonts w:ascii="Times New Roman" w:hAnsi="Times New Roman" w:cs="Times New Roman"/>
      </w:rPr>
      <w:t>.</w:t>
    </w:r>
    <w:r>
      <w:rPr>
        <w:rFonts w:hint="eastAsia" w:cs="Times New Roman"/>
        <w:lang w:val="en-US" w:eastAsia="zh-CN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DF4807"/>
    <w:rsid w:val="22E20377"/>
    <w:rsid w:val="22FA4207"/>
    <w:rsid w:val="2317117F"/>
    <w:rsid w:val="231856D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810F86"/>
    <w:rsid w:val="3782055B"/>
    <w:rsid w:val="378C5DAA"/>
    <w:rsid w:val="378C5E3A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583F6A"/>
    <w:rsid w:val="51652A88"/>
    <w:rsid w:val="517A638F"/>
    <w:rsid w:val="517C4021"/>
    <w:rsid w:val="518C126E"/>
    <w:rsid w:val="51A62257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A94A8B"/>
    <w:rsid w:val="7ABE2599"/>
    <w:rsid w:val="7AD96D46"/>
    <w:rsid w:val="7AE4796F"/>
    <w:rsid w:val="7B157E2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3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89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8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5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2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0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none"/>
    </w:rPr>
  </w:style>
  <w:style w:type="character" w:styleId="23">
    <w:name w:val="Emphasis"/>
    <w:basedOn w:val="19"/>
    <w:qFormat/>
    <w:uiPriority w:val="0"/>
  </w:style>
  <w:style w:type="character" w:styleId="24">
    <w:name w:val="HTML Definition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unhideWhenUsed/>
    <w:qFormat/>
    <w:uiPriority w:val="0"/>
    <w:rPr>
      <w:color w:val="000000"/>
      <w:u w:val="none"/>
    </w:rPr>
  </w:style>
  <w:style w:type="character" w:styleId="27">
    <w:name w:val="HTML Cod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8">
    <w:name w:val="annotation reference"/>
    <w:basedOn w:val="19"/>
    <w:qFormat/>
    <w:uiPriority w:val="0"/>
    <w:rPr>
      <w:sz w:val="21"/>
      <w:szCs w:val="21"/>
    </w:rPr>
  </w:style>
  <w:style w:type="character" w:styleId="29">
    <w:name w:val="HTML Cite"/>
    <w:basedOn w:val="19"/>
    <w:qFormat/>
    <w:uiPriority w:val="0"/>
    <w:rPr>
      <w:color w:val="008000"/>
      <w:sz w:val="14"/>
      <w:szCs w:val="14"/>
    </w:rPr>
  </w:style>
  <w:style w:type="character" w:styleId="30">
    <w:name w:val="footnote reference"/>
    <w:basedOn w:val="19"/>
    <w:qFormat/>
    <w:uiPriority w:val="0"/>
    <w:rPr>
      <w:rFonts w:ascii="Calibri" w:hAnsi="Calibri" w:eastAsia="宋体"/>
      <w:vertAlign w:val="superscript"/>
    </w:rPr>
  </w:style>
  <w:style w:type="character" w:styleId="31">
    <w:name w:val="HTML Keyboard"/>
    <w:basedOn w:val="1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2">
    <w:name w:val="HTML Sampl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4">
    <w:name w:val="Table Grid"/>
    <w:basedOn w:val="3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1 字符"/>
    <w:basedOn w:val="19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6">
    <w:name w:val="closeeye"/>
    <w:basedOn w:val="19"/>
    <w:qFormat/>
    <w:uiPriority w:val="0"/>
  </w:style>
  <w:style w:type="character" w:customStyle="1" w:styleId="37">
    <w:name w:val="openeye"/>
    <w:basedOn w:val="19"/>
    <w:qFormat/>
    <w:uiPriority w:val="0"/>
  </w:style>
  <w:style w:type="character" w:customStyle="1" w:styleId="38">
    <w:name w:val="remaintime"/>
    <w:basedOn w:val="19"/>
    <w:qFormat/>
    <w:uiPriority w:val="0"/>
    <w:rPr>
      <w:color w:val="000000"/>
      <w:shd w:val="clear" w:color="auto" w:fill="CACACA"/>
    </w:rPr>
  </w:style>
  <w:style w:type="character" w:customStyle="1" w:styleId="39">
    <w:name w:val="seepass"/>
    <w:basedOn w:val="19"/>
    <w:qFormat/>
    <w:uiPriority w:val="0"/>
  </w:style>
  <w:style w:type="character" w:customStyle="1" w:styleId="40">
    <w:name w:val="on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1">
    <w:name w:val="eyespan"/>
    <w:basedOn w:val="19"/>
    <w:qFormat/>
    <w:uiPriority w:val="0"/>
  </w:style>
  <w:style w:type="character" w:customStyle="1" w:styleId="42">
    <w:name w:val="hidepass"/>
    <w:basedOn w:val="19"/>
    <w:qFormat/>
    <w:uiPriority w:val="0"/>
  </w:style>
  <w:style w:type="character" w:customStyle="1" w:styleId="43">
    <w:name w:val="hover18"/>
    <w:basedOn w:val="19"/>
    <w:qFormat/>
    <w:uiPriority w:val="0"/>
    <w:rPr>
      <w:color w:val="FFFFFF"/>
      <w:shd w:val="clear" w:color="auto" w:fill="237EC7"/>
    </w:rPr>
  </w:style>
  <w:style w:type="character" w:customStyle="1" w:styleId="44">
    <w:name w:val="hover19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5">
    <w:name w:val="first-child"/>
    <w:basedOn w:val="19"/>
    <w:qFormat/>
    <w:uiPriority w:val="0"/>
  </w:style>
  <w:style w:type="character" w:customStyle="1" w:styleId="46">
    <w:name w:val="hover47"/>
    <w:basedOn w:val="19"/>
    <w:qFormat/>
    <w:uiPriority w:val="0"/>
    <w:rPr>
      <w:shd w:val="clear" w:color="auto" w:fill="1D50A2"/>
    </w:rPr>
  </w:style>
  <w:style w:type="character" w:customStyle="1" w:styleId="47">
    <w:name w:val="hover48"/>
    <w:basedOn w:val="19"/>
    <w:qFormat/>
    <w:uiPriority w:val="0"/>
    <w:rPr>
      <w:color w:val="1D50A2"/>
    </w:rPr>
  </w:style>
  <w:style w:type="character" w:customStyle="1" w:styleId="48">
    <w:name w:val="mip-carousel-current-indicator"/>
    <w:basedOn w:val="19"/>
    <w:qFormat/>
    <w:uiPriority w:val="0"/>
    <w:rPr>
      <w:shd w:val="clear" w:color="auto" w:fill="FF0000"/>
    </w:rPr>
  </w:style>
  <w:style w:type="character" w:customStyle="1" w:styleId="49">
    <w:name w:val="hover24"/>
    <w:basedOn w:val="19"/>
    <w:qFormat/>
    <w:uiPriority w:val="0"/>
    <w:rPr>
      <w:color w:val="315EFB"/>
    </w:rPr>
  </w:style>
  <w:style w:type="character" w:customStyle="1" w:styleId="50">
    <w:name w:val="hover25"/>
    <w:basedOn w:val="19"/>
    <w:qFormat/>
    <w:uiPriority w:val="0"/>
  </w:style>
  <w:style w:type="character" w:customStyle="1" w:styleId="51">
    <w:name w:val="c-icon28"/>
    <w:basedOn w:val="19"/>
    <w:qFormat/>
    <w:uiPriority w:val="0"/>
  </w:style>
  <w:style w:type="character" w:customStyle="1" w:styleId="52">
    <w:name w:val="pchide"/>
    <w:basedOn w:val="19"/>
    <w:qFormat/>
    <w:uiPriority w:val="0"/>
    <w:rPr>
      <w:color w:val="999999"/>
    </w:rPr>
  </w:style>
  <w:style w:type="character" w:customStyle="1" w:styleId="53">
    <w:name w:val="cur"/>
    <w:basedOn w:val="19"/>
    <w:qFormat/>
    <w:uiPriority w:val="0"/>
    <w:rPr>
      <w:color w:val="C40001"/>
    </w:rPr>
  </w:style>
  <w:style w:type="character" w:customStyle="1" w:styleId="54">
    <w:name w:val="cur1"/>
    <w:basedOn w:val="19"/>
    <w:qFormat/>
    <w:uiPriority w:val="0"/>
    <w:rPr>
      <w:color w:val="C40001"/>
    </w:rPr>
  </w:style>
  <w:style w:type="character" w:customStyle="1" w:styleId="55">
    <w:name w:val="zhankai"/>
    <w:basedOn w:val="19"/>
    <w:qFormat/>
    <w:uiPriority w:val="0"/>
  </w:style>
  <w:style w:type="character" w:customStyle="1" w:styleId="56">
    <w:name w:val="p90"/>
    <w:basedOn w:val="19"/>
    <w:qFormat/>
    <w:uiPriority w:val="0"/>
  </w:style>
  <w:style w:type="character" w:customStyle="1" w:styleId="57">
    <w:name w:val="last-child"/>
    <w:basedOn w:val="19"/>
    <w:qFormat/>
    <w:uiPriority w:val="0"/>
  </w:style>
  <w:style w:type="character" w:customStyle="1" w:styleId="58">
    <w:name w:val="last-child1"/>
    <w:basedOn w:val="19"/>
    <w:qFormat/>
    <w:uiPriority w:val="0"/>
  </w:style>
  <w:style w:type="character" w:customStyle="1" w:styleId="59">
    <w:name w:val="hover10"/>
    <w:basedOn w:val="19"/>
    <w:qFormat/>
    <w:uiPriority w:val="0"/>
    <w:rPr>
      <w:color w:val="C40001"/>
    </w:rPr>
  </w:style>
  <w:style w:type="character" w:customStyle="1" w:styleId="60">
    <w:name w:val="index-module_accountauthentication_3bwix"/>
    <w:basedOn w:val="19"/>
    <w:qFormat/>
    <w:uiPriority w:val="0"/>
  </w:style>
  <w:style w:type="character" w:customStyle="1" w:styleId="61">
    <w:name w:val="m01"/>
    <w:basedOn w:val="19"/>
    <w:qFormat/>
    <w:uiPriority w:val="0"/>
  </w:style>
  <w:style w:type="character" w:customStyle="1" w:styleId="62">
    <w:name w:val="m011"/>
    <w:basedOn w:val="19"/>
    <w:qFormat/>
    <w:uiPriority w:val="0"/>
  </w:style>
  <w:style w:type="character" w:customStyle="1" w:styleId="63">
    <w:name w:val="name"/>
    <w:basedOn w:val="19"/>
    <w:qFormat/>
    <w:uiPriority w:val="0"/>
    <w:rPr>
      <w:color w:val="6A6A6A"/>
      <w:u w:val="single"/>
    </w:rPr>
  </w:style>
  <w:style w:type="character" w:customStyle="1" w:styleId="64">
    <w:name w:val="more4"/>
    <w:basedOn w:val="19"/>
    <w:qFormat/>
    <w:uiPriority w:val="0"/>
    <w:rPr>
      <w:color w:val="666666"/>
      <w:sz w:val="14"/>
      <w:szCs w:val="14"/>
    </w:rPr>
  </w:style>
  <w:style w:type="character" w:customStyle="1" w:styleId="65">
    <w:name w:val="dates"/>
    <w:basedOn w:val="19"/>
    <w:qFormat/>
    <w:uiPriority w:val="0"/>
  </w:style>
  <w:style w:type="character" w:customStyle="1" w:styleId="66">
    <w:name w:val="bg02"/>
    <w:basedOn w:val="19"/>
    <w:qFormat/>
    <w:uiPriority w:val="0"/>
  </w:style>
  <w:style w:type="character" w:customStyle="1" w:styleId="67">
    <w:name w:val="tabg"/>
    <w:basedOn w:val="19"/>
    <w:qFormat/>
    <w:uiPriority w:val="0"/>
    <w:rPr>
      <w:color w:val="FFFFFF"/>
      <w:sz w:val="21"/>
      <w:szCs w:val="21"/>
    </w:rPr>
  </w:style>
  <w:style w:type="character" w:customStyle="1" w:styleId="68">
    <w:name w:val="bg01"/>
    <w:basedOn w:val="19"/>
    <w:qFormat/>
    <w:uiPriority w:val="0"/>
  </w:style>
  <w:style w:type="character" w:customStyle="1" w:styleId="69">
    <w:name w:val="font2"/>
    <w:basedOn w:val="19"/>
    <w:qFormat/>
    <w:uiPriority w:val="0"/>
  </w:style>
  <w:style w:type="character" w:customStyle="1" w:styleId="70">
    <w:name w:val="font3"/>
    <w:basedOn w:val="19"/>
    <w:qFormat/>
    <w:uiPriority w:val="0"/>
  </w:style>
  <w:style w:type="character" w:customStyle="1" w:styleId="71">
    <w:name w:val="laypage_curr"/>
    <w:basedOn w:val="19"/>
    <w:qFormat/>
    <w:uiPriority w:val="0"/>
    <w:rPr>
      <w:color w:val="FFFDF4"/>
      <w:shd w:val="clear" w:color="auto" w:fill="0B67A6"/>
    </w:rPr>
  </w:style>
  <w:style w:type="character" w:customStyle="1" w:styleId="72">
    <w:name w:val="place"/>
    <w:basedOn w:val="19"/>
    <w:qFormat/>
    <w:uiPriority w:val="0"/>
  </w:style>
  <w:style w:type="character" w:customStyle="1" w:styleId="73">
    <w:name w:val="place1"/>
    <w:basedOn w:val="19"/>
    <w:qFormat/>
    <w:uiPriority w:val="0"/>
  </w:style>
  <w:style w:type="character" w:customStyle="1" w:styleId="74">
    <w:name w:val="place2"/>
    <w:basedOn w:val="19"/>
    <w:qFormat/>
    <w:uiPriority w:val="0"/>
  </w:style>
  <w:style w:type="character" w:customStyle="1" w:styleId="75">
    <w:name w:val="place3"/>
    <w:basedOn w:val="1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6">
    <w:name w:val="noline"/>
    <w:basedOn w:val="19"/>
    <w:qFormat/>
    <w:uiPriority w:val="0"/>
  </w:style>
  <w:style w:type="character" w:customStyle="1" w:styleId="77">
    <w:name w:val="font"/>
    <w:basedOn w:val="19"/>
    <w:qFormat/>
    <w:uiPriority w:val="0"/>
  </w:style>
  <w:style w:type="character" w:customStyle="1" w:styleId="78">
    <w:name w:val="font1"/>
    <w:basedOn w:val="19"/>
    <w:qFormat/>
    <w:uiPriority w:val="0"/>
  </w:style>
  <w:style w:type="character" w:customStyle="1" w:styleId="79">
    <w:name w:val="gwds_nopic"/>
    <w:basedOn w:val="19"/>
    <w:qFormat/>
    <w:uiPriority w:val="0"/>
  </w:style>
  <w:style w:type="character" w:customStyle="1" w:styleId="80">
    <w:name w:val="gwds_nopic1"/>
    <w:basedOn w:val="19"/>
    <w:qFormat/>
    <w:uiPriority w:val="0"/>
  </w:style>
  <w:style w:type="character" w:customStyle="1" w:styleId="81">
    <w:name w:val="gwds_nopic2"/>
    <w:basedOn w:val="19"/>
    <w:qFormat/>
    <w:uiPriority w:val="0"/>
  </w:style>
  <w:style w:type="character" w:customStyle="1" w:styleId="82">
    <w:name w:val="hover20"/>
    <w:basedOn w:val="19"/>
    <w:qFormat/>
    <w:uiPriority w:val="0"/>
    <w:rPr>
      <w:color w:val="015293"/>
    </w:rPr>
  </w:style>
  <w:style w:type="paragraph" w:customStyle="1" w:styleId="83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4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5">
    <w:name w:val="页眉 字符"/>
    <w:basedOn w:val="19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6">
    <w:name w:val="页脚 字符"/>
    <w:basedOn w:val="19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8">
    <w:name w:val="批注文字 字符"/>
    <w:basedOn w:val="19"/>
    <w:link w:val="8"/>
    <w:qFormat/>
    <w:uiPriority w:val="0"/>
  </w:style>
  <w:style w:type="character" w:customStyle="1" w:styleId="89">
    <w:name w:val="批注主题 字符"/>
    <w:basedOn w:val="8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0">
    <w:name w:val="脚注文本 字符"/>
    <w:basedOn w:val="19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1">
    <w:name w:val="列表段落1"/>
    <w:basedOn w:val="1"/>
    <w:qFormat/>
    <w:uiPriority w:val="99"/>
    <w:pPr>
      <w:ind w:firstLine="420" w:firstLineChars="200"/>
    </w:pPr>
  </w:style>
  <w:style w:type="character" w:customStyle="1" w:styleId="92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3">
    <w:name w:val="MTEquationSection"/>
    <w:basedOn w:val="19"/>
    <w:qFormat/>
    <w:uiPriority w:val="0"/>
    <w:rPr>
      <w:rFonts w:ascii="黑体" w:hAnsi="黑体" w:eastAsia="黑体"/>
      <w:vanish/>
      <w:color w:val="FF0000"/>
    </w:rPr>
  </w:style>
  <w:style w:type="character" w:customStyle="1" w:styleId="94">
    <w:name w:val="dt-editor__word"/>
    <w:qFormat/>
    <w:uiPriority w:val="0"/>
  </w:style>
  <w:style w:type="table" w:customStyle="1" w:styleId="95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6">
    <w:name w:val="List Paragraph"/>
    <w:basedOn w:val="1"/>
    <w:qFormat/>
    <w:uiPriority w:val="99"/>
    <w:pPr>
      <w:ind w:firstLine="420" w:firstLineChars="200"/>
    </w:pPr>
  </w:style>
  <w:style w:type="paragraph" w:customStyle="1" w:styleId="9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8">
    <w:name w:val="MTDisplayEquation"/>
    <w:basedOn w:val="1"/>
    <w:next w:val="1"/>
    <w:link w:val="99"/>
    <w:qFormat/>
    <w:uiPriority w:val="0"/>
    <w:pPr>
      <w:tabs>
        <w:tab w:val="center" w:pos="4320"/>
        <w:tab w:val="right" w:pos="8620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character" w:customStyle="1" w:styleId="99">
    <w:name w:val="MTDisplayEquation 字符"/>
    <w:basedOn w:val="19"/>
    <w:link w:val="98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2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3">
    <w:name w:val="标题 2 字符"/>
    <w:basedOn w:val="19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4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正文文本 字符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7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3"/>
    <w:basedOn w:val="1"/>
    <w:next w:val="9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9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0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1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4.xml"/><Relationship Id="rId11" Type="http://schemas.openxmlformats.org/officeDocument/2006/relationships/chart" Target="charts/chart3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&#28504;&#23376;&#32431;\Desktop\&#21103;&#26412;&#25551;&#36848;&#24615;&#32479;&#3574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378931836673"/>
          <c:y val="0.0435213165921827"/>
          <c:w val="0.786026683373439"/>
          <c:h val="0.82218858376774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描述性统计!$A$17</c:f>
              <c:strCache>
                <c:ptCount val="1"/>
                <c:pt idx="0">
                  <c:v>恐怖活动发生次数占比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描述性统计!$B$15:$U$15</c:f>
              <c:numCache>
                <c:formatCode>General</c:formatCode>
                <c:ptCount val="20"/>
                <c:pt idx="0">
                  <c:v>2002</c:v>
                </c:pt>
                <c:pt idx="2">
                  <c:v>2004</c:v>
                </c:pt>
                <c:pt idx="4">
                  <c:v>2006</c:v>
                </c:pt>
                <c:pt idx="6">
                  <c:v>2008</c:v>
                </c:pt>
                <c:pt idx="8">
                  <c:v>2010</c:v>
                </c:pt>
                <c:pt idx="10">
                  <c:v>2012</c:v>
                </c:pt>
                <c:pt idx="12">
                  <c:v>2014</c:v>
                </c:pt>
                <c:pt idx="14">
                  <c:v>2016</c:v>
                </c:pt>
                <c:pt idx="16">
                  <c:v>2018</c:v>
                </c:pt>
                <c:pt idx="18">
                  <c:v>2020</c:v>
                </c:pt>
              </c:numCache>
            </c:numRef>
          </c:cat>
          <c:val>
            <c:numRef>
              <c:f>描述性统计!$B$17:$U$17</c:f>
              <c:numCache>
                <c:formatCode>General</c:formatCode>
                <c:ptCount val="20"/>
                <c:pt idx="0">
                  <c:v>49.3984962406015</c:v>
                </c:pt>
                <c:pt idx="1">
                  <c:v>59.140625</c:v>
                </c:pt>
                <c:pt idx="2">
                  <c:v>77.319587628866</c:v>
                </c:pt>
                <c:pt idx="3">
                  <c:v>80.466038671294</c:v>
                </c:pt>
                <c:pt idx="4">
                  <c:v>82.2270583968081</c:v>
                </c:pt>
                <c:pt idx="5">
                  <c:v>78.9846153846154</c:v>
                </c:pt>
                <c:pt idx="6">
                  <c:v>80.0041657987919</c:v>
                </c:pt>
                <c:pt idx="7">
                  <c:v>83.4850730467923</c:v>
                </c:pt>
                <c:pt idx="8">
                  <c:v>84.2759477936606</c:v>
                </c:pt>
                <c:pt idx="9">
                  <c:v>84.0197044334975</c:v>
                </c:pt>
                <c:pt idx="10">
                  <c:v>77.9589442815249</c:v>
                </c:pt>
                <c:pt idx="11">
                  <c:v>81.0409230513821</c:v>
                </c:pt>
                <c:pt idx="12">
                  <c:v>74.7346698113208</c:v>
                </c:pt>
                <c:pt idx="13">
                  <c:v>72.3411282864315</c:v>
                </c:pt>
                <c:pt idx="14">
                  <c:v>70.1942922211942</c:v>
                </c:pt>
                <c:pt idx="15">
                  <c:v>68.4706089405139</c:v>
                </c:pt>
                <c:pt idx="16">
                  <c:v>63.3512635745458</c:v>
                </c:pt>
                <c:pt idx="17">
                  <c:v>64.0857444067003</c:v>
                </c:pt>
                <c:pt idx="18">
                  <c:v>63.498459350557</c:v>
                </c:pt>
                <c:pt idx="19">
                  <c:v>63.3679973163368</c:v>
                </c:pt>
              </c:numCache>
            </c:numRef>
          </c:val>
        </c:ser>
        <c:ser>
          <c:idx val="3"/>
          <c:order val="3"/>
          <c:tx>
            <c:strRef>
              <c:f>描述性统计!$A$19</c:f>
              <c:strCache>
                <c:ptCount val="1"/>
                <c:pt idx="0">
                  <c:v>恐怖活动死亡人数占比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描述性统计!$B$15:$U$15</c:f>
              <c:numCache>
                <c:formatCode>General</c:formatCode>
                <c:ptCount val="20"/>
                <c:pt idx="0">
                  <c:v>2002</c:v>
                </c:pt>
                <c:pt idx="2">
                  <c:v>2004</c:v>
                </c:pt>
                <c:pt idx="4">
                  <c:v>2006</c:v>
                </c:pt>
                <c:pt idx="6">
                  <c:v>2008</c:v>
                </c:pt>
                <c:pt idx="8">
                  <c:v>2010</c:v>
                </c:pt>
                <c:pt idx="10">
                  <c:v>2012</c:v>
                </c:pt>
                <c:pt idx="12">
                  <c:v>2014</c:v>
                </c:pt>
                <c:pt idx="14">
                  <c:v>2016</c:v>
                </c:pt>
                <c:pt idx="16">
                  <c:v>2018</c:v>
                </c:pt>
                <c:pt idx="18">
                  <c:v>2020</c:v>
                </c:pt>
              </c:numCache>
            </c:numRef>
          </c:cat>
          <c:val>
            <c:numRef>
              <c:f>描述性统计!$B$19:$U$19</c:f>
              <c:numCache>
                <c:formatCode>General</c:formatCode>
                <c:ptCount val="20"/>
                <c:pt idx="0">
                  <c:v>53.1582238899312</c:v>
                </c:pt>
                <c:pt idx="1">
                  <c:v>63.9433222791679</c:v>
                </c:pt>
                <c:pt idx="2">
                  <c:v>85.0419874037789</c:v>
                </c:pt>
                <c:pt idx="3">
                  <c:v>86.1422040044143</c:v>
                </c:pt>
                <c:pt idx="4">
                  <c:v>86.5285530270502</c:v>
                </c:pt>
                <c:pt idx="5">
                  <c:v>85.0994152046784</c:v>
                </c:pt>
                <c:pt idx="6">
                  <c:v>77.3582864560796</c:v>
                </c:pt>
                <c:pt idx="7">
                  <c:v>75.1212676511803</c:v>
                </c:pt>
                <c:pt idx="8">
                  <c:v>85.6558947502874</c:v>
                </c:pt>
                <c:pt idx="9">
                  <c:v>79.9296628668445</c:v>
                </c:pt>
                <c:pt idx="10">
                  <c:v>72.8093947606143</c:v>
                </c:pt>
                <c:pt idx="11">
                  <c:v>72.4314376767359</c:v>
                </c:pt>
                <c:pt idx="12">
                  <c:v>57.1313384698083</c:v>
                </c:pt>
                <c:pt idx="13">
                  <c:v>58.0206703767343</c:v>
                </c:pt>
                <c:pt idx="14">
                  <c:v>68.3986492238713</c:v>
                </c:pt>
                <c:pt idx="15">
                  <c:v>63.2524073316727</c:v>
                </c:pt>
                <c:pt idx="16">
                  <c:v>60.8732986990683</c:v>
                </c:pt>
                <c:pt idx="17">
                  <c:v>60.0774054477758</c:v>
                </c:pt>
                <c:pt idx="18">
                  <c:v>55.2558994790071</c:v>
                </c:pt>
                <c:pt idx="19">
                  <c:v>58.1597691822198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描述性统计!$A$16</c:f>
              <c:strCache>
                <c:ptCount val="1"/>
                <c:pt idx="0">
                  <c:v>恐怖活动发生次数</c:v>
                </c:pt>
              </c:strCache>
            </c:strRef>
          </c:tx>
          <c:spPr>
            <a:ln w="12700" cap="rnd" cmpd="sng" algn="ctr">
              <a:solidFill>
                <a:sysClr val="windowText" lastClr="000000"/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ysClr val="windowText" lastClr="000000"/>
              </a:solidFill>
              <a:ln w="12700" cap="flat" cmpd="sng" algn="ctr">
                <a:solidFill>
                  <a:sysClr val="windowText" lastClr="000000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描述性统计!$B$15:$U$15</c:f>
              <c:numCache>
                <c:formatCode>General</c:formatCode>
                <c:ptCount val="20"/>
                <c:pt idx="0">
                  <c:v>2002</c:v>
                </c:pt>
                <c:pt idx="2">
                  <c:v>2004</c:v>
                </c:pt>
                <c:pt idx="4">
                  <c:v>2006</c:v>
                </c:pt>
                <c:pt idx="6">
                  <c:v>2008</c:v>
                </c:pt>
                <c:pt idx="8">
                  <c:v>2010</c:v>
                </c:pt>
                <c:pt idx="10">
                  <c:v>2012</c:v>
                </c:pt>
                <c:pt idx="12">
                  <c:v>2014</c:v>
                </c:pt>
                <c:pt idx="14">
                  <c:v>2016</c:v>
                </c:pt>
                <c:pt idx="16">
                  <c:v>2018</c:v>
                </c:pt>
                <c:pt idx="18">
                  <c:v>2020</c:v>
                </c:pt>
              </c:numCache>
            </c:numRef>
          </c:cat>
          <c:val>
            <c:numRef>
              <c:f>描述性统计!$B$16:$U$16</c:f>
              <c:numCache>
                <c:formatCode>General</c:formatCode>
                <c:ptCount val="20"/>
                <c:pt idx="0">
                  <c:v>657</c:v>
                </c:pt>
                <c:pt idx="1">
                  <c:v>757</c:v>
                </c:pt>
                <c:pt idx="2">
                  <c:v>900</c:v>
                </c:pt>
                <c:pt idx="3">
                  <c:v>1623</c:v>
                </c:pt>
                <c:pt idx="4">
                  <c:v>2267</c:v>
                </c:pt>
                <c:pt idx="5">
                  <c:v>2567</c:v>
                </c:pt>
                <c:pt idx="6">
                  <c:v>3841</c:v>
                </c:pt>
                <c:pt idx="7">
                  <c:v>3943</c:v>
                </c:pt>
                <c:pt idx="8">
                  <c:v>4068</c:v>
                </c:pt>
                <c:pt idx="9">
                  <c:v>4264</c:v>
                </c:pt>
                <c:pt idx="10">
                  <c:v>6646</c:v>
                </c:pt>
                <c:pt idx="11">
                  <c:v>9763</c:v>
                </c:pt>
                <c:pt idx="12">
                  <c:v>12675</c:v>
                </c:pt>
                <c:pt idx="13">
                  <c:v>10951</c:v>
                </c:pt>
                <c:pt idx="14">
                  <c:v>9863</c:v>
                </c:pt>
                <c:pt idx="15">
                  <c:v>7781</c:v>
                </c:pt>
                <c:pt idx="16">
                  <c:v>6242</c:v>
                </c:pt>
                <c:pt idx="17">
                  <c:v>5471</c:v>
                </c:pt>
                <c:pt idx="18">
                  <c:v>5358</c:v>
                </c:pt>
                <c:pt idx="19">
                  <c:v>5667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描述性统计!$A$18</c:f>
              <c:strCache>
                <c:ptCount val="1"/>
                <c:pt idx="0">
                  <c:v>恐怖活动死亡人数</c:v>
                </c:pt>
              </c:strCache>
            </c:strRef>
          </c:tx>
          <c:spPr>
            <a:ln w="12700" cap="rnd" cmpd="sng" algn="ctr">
              <a:solidFill>
                <a:sysClr val="windowText" lastClr="000000"/>
              </a:solidFill>
              <a:prstDash val="solid"/>
              <a:round/>
            </a:ln>
            <a:effectLst/>
          </c:spPr>
          <c:marker>
            <c:symbol val="triangle"/>
            <c:size val="5"/>
            <c:spPr>
              <a:solidFill>
                <a:sysClr val="windowText" lastClr="000000"/>
              </a:solidFill>
              <a:ln w="12700" cap="flat" cmpd="sng" algn="ctr">
                <a:solidFill>
                  <a:sysClr val="windowText" lastClr="000000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描述性统计!$B$15:$U$15</c:f>
              <c:numCache>
                <c:formatCode>General</c:formatCode>
                <c:ptCount val="20"/>
                <c:pt idx="0">
                  <c:v>2002</c:v>
                </c:pt>
                <c:pt idx="2">
                  <c:v>2004</c:v>
                </c:pt>
                <c:pt idx="4">
                  <c:v>2006</c:v>
                </c:pt>
                <c:pt idx="6">
                  <c:v>2008</c:v>
                </c:pt>
                <c:pt idx="8">
                  <c:v>2010</c:v>
                </c:pt>
                <c:pt idx="10">
                  <c:v>2012</c:v>
                </c:pt>
                <c:pt idx="12">
                  <c:v>2014</c:v>
                </c:pt>
                <c:pt idx="14">
                  <c:v>2016</c:v>
                </c:pt>
                <c:pt idx="16">
                  <c:v>2018</c:v>
                </c:pt>
                <c:pt idx="18">
                  <c:v>2020</c:v>
                </c:pt>
              </c:numCache>
            </c:numRef>
          </c:cat>
          <c:val>
            <c:numRef>
              <c:f>描述性统计!$B$18:$U$18</c:f>
              <c:numCache>
                <c:formatCode>General</c:formatCode>
                <c:ptCount val="20"/>
                <c:pt idx="0">
                  <c:v>2550</c:v>
                </c:pt>
                <c:pt idx="1">
                  <c:v>2121</c:v>
                </c:pt>
                <c:pt idx="2">
                  <c:v>4861</c:v>
                </c:pt>
                <c:pt idx="3">
                  <c:v>5464</c:v>
                </c:pt>
                <c:pt idx="4">
                  <c:v>8061</c:v>
                </c:pt>
                <c:pt idx="5">
                  <c:v>10914</c:v>
                </c:pt>
                <c:pt idx="6">
                  <c:v>7151</c:v>
                </c:pt>
                <c:pt idx="7">
                  <c:v>6969</c:v>
                </c:pt>
                <c:pt idx="8">
                  <c:v>6706</c:v>
                </c:pt>
                <c:pt idx="9">
                  <c:v>6591</c:v>
                </c:pt>
                <c:pt idx="10">
                  <c:v>11284</c:v>
                </c:pt>
                <c:pt idx="11">
                  <c:v>16137</c:v>
                </c:pt>
                <c:pt idx="12">
                  <c:v>25508</c:v>
                </c:pt>
                <c:pt idx="13">
                  <c:v>22624</c:v>
                </c:pt>
                <c:pt idx="14">
                  <c:v>24103</c:v>
                </c:pt>
                <c:pt idx="15">
                  <c:v>17013</c:v>
                </c:pt>
                <c:pt idx="16">
                  <c:v>14178</c:v>
                </c:pt>
                <c:pt idx="17">
                  <c:v>12263</c:v>
                </c:pt>
                <c:pt idx="18">
                  <c:v>12621</c:v>
                </c:pt>
                <c:pt idx="19">
                  <c:v>12901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613336"/>
        <c:axId val="1"/>
      </c:lineChart>
      <c:lineChart>
        <c:grouping val="standard"/>
        <c:varyColors val="0"/>
        <c:ser>
          <c:idx val="4"/>
          <c:order val="4"/>
          <c:tx>
            <c:strRef>
              <c:f>描述性统计!$A$20</c:f>
              <c:strCache>
                <c:ptCount val="1"/>
                <c:pt idx="0">
                  <c:v>恐怖活动烈度</c:v>
                </c:pt>
              </c:strCache>
            </c:strRef>
          </c:tx>
          <c:spPr>
            <a:ln w="12700" cap="rnd" cmpd="sng" algn="ctr">
              <a:solidFill>
                <a:sysClr val="windowText" lastClr="000000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ysClr val="windowText" lastClr="000000"/>
              </a:solidFill>
              <a:ln w="12700" cap="flat" cmpd="sng" algn="ctr">
                <a:solidFill>
                  <a:sysClr val="windowText" lastClr="000000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描述性统计!$B$15:$U$15</c:f>
              <c:numCache>
                <c:formatCode>General</c:formatCode>
                <c:ptCount val="20"/>
                <c:pt idx="0">
                  <c:v>2002</c:v>
                </c:pt>
                <c:pt idx="2">
                  <c:v>2004</c:v>
                </c:pt>
                <c:pt idx="4">
                  <c:v>2006</c:v>
                </c:pt>
                <c:pt idx="6">
                  <c:v>2008</c:v>
                </c:pt>
                <c:pt idx="8">
                  <c:v>2010</c:v>
                </c:pt>
                <c:pt idx="10">
                  <c:v>2012</c:v>
                </c:pt>
                <c:pt idx="12">
                  <c:v>2014</c:v>
                </c:pt>
                <c:pt idx="14">
                  <c:v>2016</c:v>
                </c:pt>
                <c:pt idx="16">
                  <c:v>2018</c:v>
                </c:pt>
                <c:pt idx="18">
                  <c:v>2020</c:v>
                </c:pt>
              </c:numCache>
            </c:numRef>
          </c:cat>
          <c:val>
            <c:numRef>
              <c:f>描述性统计!$B$20:$U$20</c:f>
              <c:numCache>
                <c:formatCode>General</c:formatCode>
                <c:ptCount val="20"/>
                <c:pt idx="0">
                  <c:v>54.7629079413319</c:v>
                </c:pt>
                <c:pt idx="1">
                  <c:v>59.1616335784634</c:v>
                </c:pt>
                <c:pt idx="2">
                  <c:v>66.3000179332977</c:v>
                </c:pt>
                <c:pt idx="3">
                  <c:v>84.0135193157217</c:v>
                </c:pt>
                <c:pt idx="4">
                  <c:v>81.5470323798441</c:v>
                </c:pt>
                <c:pt idx="5">
                  <c:v>78.4418211216973</c:v>
                </c:pt>
                <c:pt idx="6">
                  <c:v>99.9806742466717</c:v>
                </c:pt>
                <c:pt idx="7">
                  <c:v>87.0035792111011</c:v>
                </c:pt>
                <c:pt idx="8">
                  <c:v>77.9785245532684</c:v>
                </c:pt>
                <c:pt idx="9">
                  <c:v>80.9224361325735</c:v>
                </c:pt>
                <c:pt idx="10">
                  <c:v>96.3958300297355</c:v>
                </c:pt>
                <c:pt idx="11">
                  <c:v>103.533751068194</c:v>
                </c:pt>
                <c:pt idx="12">
                  <c:v>121.326357623804</c:v>
                </c:pt>
                <c:pt idx="13">
                  <c:v>131.396822353202</c:v>
                </c:pt>
                <c:pt idx="14">
                  <c:v>128.019762337547</c:v>
                </c:pt>
                <c:pt idx="15">
                  <c:v>112.533341104742</c:v>
                </c:pt>
                <c:pt idx="16">
                  <c:v>94.7201059156347</c:v>
                </c:pt>
                <c:pt idx="17">
                  <c:v>99.2281137975922</c:v>
                </c:pt>
                <c:pt idx="18">
                  <c:v>75.462066163945</c:v>
                </c:pt>
                <c:pt idx="19">
                  <c:v>88.2551901632566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614613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年份</a:t>
                </a:r>
                <a:endParaRPr lang="zh-CN" altLang="en-US" sz="900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98816761828822"/>
              <c:y val="0.94257654081328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宋体" panose="02010600030101010101" charset="-122"/>
                <a:cs typeface="Times New Roman" panose="02020603050405020304" charset="0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发生次数（次）、死亡人数（人）</a:t>
                </a:r>
                <a:endParaRPr lang="zh-CN" altLang="en-US" sz="900">
                  <a:solidFill>
                    <a:sysClr val="windowText" lastClr="000000"/>
                  </a:solidFill>
                  <a:latin typeface="Times New Roman" panose="02020603050405020304" charset="0"/>
                  <a:ea typeface="宋体" panose="02010600030101010101" charset="-122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0169405794503358"/>
              <c:y val="0.1848793360289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14613336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烈度、占比（％）</a:t>
                </a:r>
                <a:endParaRPr lang="zh-CN" altLang="en-US" sz="900">
                  <a:solidFill>
                    <a:sysClr val="windowText" lastClr="000000"/>
                  </a:solidFill>
                  <a:latin typeface="Times New Roman" panose="02020603050405020304" charset="0"/>
                  <a:ea typeface="宋体" panose="02010600030101010101" charset="-122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964556962025316"/>
              <c:y val="0.336443678612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3524414964767"/>
          <c:y val="0.0250878910406469"/>
          <c:w val="0.802408446755014"/>
          <c:h val="0.113053998444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3858632254302"/>
          <c:y val="0.0509259259259259"/>
          <c:w val="0.785585812190143"/>
          <c:h val="0.788983173219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Sheet1!$H$5</c:f>
              <c:strCache>
                <c:ptCount val="1"/>
                <c:pt idx="0">
                  <c:v>个数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Sheet1!$G$6:$G$10</c:f>
              <c:strCache>
                <c:ptCount val="5"/>
                <c:pt idx="0">
                  <c:v>0</c:v>
                </c:pt>
                <c:pt idx="1">
                  <c:v>0~5</c:v>
                </c:pt>
                <c:pt idx="2">
                  <c:v>6~50</c:v>
                </c:pt>
                <c:pt idx="3">
                  <c:v>51~200</c:v>
                </c:pt>
                <c:pt idx="4">
                  <c:v>&gt;200</c:v>
                </c:pt>
              </c:strCache>
            </c:strRef>
          </c:cat>
          <c:val>
            <c:numRef>
              <c:f>Sheet1!$H$6:$H$10</c:f>
              <c:numCache>
                <c:formatCode>General</c:formatCode>
                <c:ptCount val="5"/>
                <c:pt idx="0">
                  <c:v>9</c:v>
                </c:pt>
                <c:pt idx="1">
                  <c:v>25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4011408"/>
        <c:axId val="694011768"/>
      </c:barChart>
      <c:catAx>
        <c:axId val="694011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恐怖活动发生次数</a:t>
                </a:r>
                <a:endParaRPr lang="zh-CN" altLang="en-US" sz="900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19243948673083"/>
              <c:y val="0.91342605896890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94011768"/>
        <c:crosses val="autoZero"/>
        <c:auto val="1"/>
        <c:lblAlgn val="ctr"/>
        <c:lblOffset val="100"/>
        <c:noMultiLvlLbl val="0"/>
      </c:catAx>
      <c:valAx>
        <c:axId val="694011768"/>
        <c:scaling>
          <c:orientation val="minMax"/>
        </c:scaling>
        <c:delete val="0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国家个数（个）</a:t>
                </a:r>
                <a:endParaRPr lang="zh-CN" altLang="en-US" sz="900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0833333333333333"/>
              <c:y val="0.27338971735776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9401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445249343832"/>
          <c:y val="0.0493827160493827"/>
          <c:w val="0.792214173228347"/>
          <c:h val="0.7867041367303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Sheet1!$K$5</c:f>
              <c:strCache>
                <c:ptCount val="1"/>
                <c:pt idx="0">
                  <c:v>个数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Sheet1!$J$6:$J$10</c:f>
              <c:strCache>
                <c:ptCount val="5"/>
                <c:pt idx="0">
                  <c:v>0</c:v>
                </c:pt>
                <c:pt idx="1">
                  <c:v>0~5</c:v>
                </c:pt>
                <c:pt idx="2">
                  <c:v>6~50</c:v>
                </c:pt>
                <c:pt idx="3">
                  <c:v>51~200</c:v>
                </c:pt>
                <c:pt idx="4">
                  <c:v>&gt;200</c:v>
                </c:pt>
              </c:strCache>
            </c:strRef>
          </c:cat>
          <c:val>
            <c:numRef>
              <c:f>Sheet1!$K$6:$K$10</c:f>
              <c:numCache>
                <c:formatCode>General</c:formatCode>
                <c:ptCount val="5"/>
                <c:pt idx="0">
                  <c:v>9</c:v>
                </c:pt>
                <c:pt idx="1">
                  <c:v>28</c:v>
                </c:pt>
                <c:pt idx="2">
                  <c:v>3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178496"/>
        <c:axId val="432178856"/>
      </c:barChart>
      <c:catAx>
        <c:axId val="432178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恐怖活动烈度</a:t>
                </a:r>
                <a:endParaRPr lang="zh-CN" altLang="en-US" sz="900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432178856"/>
        <c:crosses val="autoZero"/>
        <c:auto val="1"/>
        <c:lblAlgn val="ctr"/>
        <c:lblOffset val="100"/>
        <c:noMultiLvlLbl val="0"/>
      </c:catAx>
      <c:valAx>
        <c:axId val="432178856"/>
        <c:scaling>
          <c:orientation val="minMax"/>
        </c:scaling>
        <c:delete val="0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90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国家个数（个）</a:t>
                </a:r>
                <a:endParaRPr lang="zh-CN" altLang="en-US" sz="900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43217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39845327976"/>
          <c:y val="0.0509259259259259"/>
          <c:w val="0.707779613968007"/>
          <c:h val="0.7766756504430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描述性统计!$Q$43</c:f>
              <c:strCache>
                <c:ptCount val="1"/>
                <c:pt idx="0">
                  <c:v>农产品出口贸易额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描述性统计!$R$42:$AB$42</c:f>
              <c:numCache>
                <c:formatCode>General</c:formatCode>
                <c:ptCount val="11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描述性统计!$R$43:$AB$43</c:f>
              <c:numCache>
                <c:formatCode>General</c:formatCode>
                <c:ptCount val="11"/>
                <c:pt idx="0">
                  <c:v>3855.635904</c:v>
                </c:pt>
                <c:pt idx="1">
                  <c:v>4444.455894</c:v>
                </c:pt>
                <c:pt idx="2">
                  <c:v>7110.83965</c:v>
                </c:pt>
                <c:pt idx="3">
                  <c:v>8928.933417</c:v>
                </c:pt>
                <c:pt idx="4">
                  <c:v>15137.093738</c:v>
                </c:pt>
                <c:pt idx="5">
                  <c:v>17153.743703</c:v>
                </c:pt>
                <c:pt idx="6">
                  <c:v>19704.609778</c:v>
                </c:pt>
                <c:pt idx="7">
                  <c:v>21758.456307</c:v>
                </c:pt>
                <c:pt idx="8">
                  <c:v>25135.649578</c:v>
                </c:pt>
                <c:pt idx="9">
                  <c:v>25501.477399</c:v>
                </c:pt>
                <c:pt idx="10">
                  <c:v>27351.271407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1276320"/>
        <c:axId val="622143752"/>
      </c:barChart>
      <c:lineChart>
        <c:grouping val="standard"/>
        <c:varyColors val="0"/>
        <c:ser>
          <c:idx val="1"/>
          <c:order val="1"/>
          <c:tx>
            <c:strRef>
              <c:f>描述性统计!$Q$44</c:f>
              <c:strCache>
                <c:ptCount val="1"/>
                <c:pt idx="0">
                  <c:v>环比增长率</c:v>
                </c:pt>
              </c:strCache>
            </c:strRef>
          </c:tx>
          <c:spPr>
            <a:ln w="12700" cap="rnd">
              <a:solidFill>
                <a:sysClr val="windowText" lastClr="00000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ysClr val="windowText" lastClr="000000"/>
              </a:solidFill>
              <a:ln w="12700">
                <a:solidFill>
                  <a:sysClr val="windowText" lastClr="000000"/>
                </a:solidFill>
              </a:ln>
              <a:effectLst/>
            </c:spPr>
          </c:marker>
          <c:dLbls>
            <c:delete val="1"/>
          </c:dLbls>
          <c:cat>
            <c:numRef>
              <c:f>描述性统计!$R$42:$AB$42</c:f>
              <c:numCache>
                <c:formatCode>General</c:formatCode>
                <c:ptCount val="11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描述性统计!$R$44:$AB$44</c:f>
              <c:numCache>
                <c:formatCode>General</c:formatCode>
                <c:ptCount val="11"/>
                <c:pt idx="0">
                  <c:v>30.9043437142915</c:v>
                </c:pt>
                <c:pt idx="1">
                  <c:v>25.2990683742937</c:v>
                </c:pt>
                <c:pt idx="2">
                  <c:v>33.4285822483865</c:v>
                </c:pt>
                <c:pt idx="3">
                  <c:v>6.39883247353284</c:v>
                </c:pt>
                <c:pt idx="4">
                  <c:v>26.3541919926061</c:v>
                </c:pt>
                <c:pt idx="5">
                  <c:v>12.8279379876385</c:v>
                </c:pt>
                <c:pt idx="6">
                  <c:v>3.89973082312107</c:v>
                </c:pt>
                <c:pt idx="7">
                  <c:v>3.66436117706243</c:v>
                </c:pt>
                <c:pt idx="8">
                  <c:v>9.98547019481573</c:v>
                </c:pt>
                <c:pt idx="9">
                  <c:v>1.45541423095026</c:v>
                </c:pt>
                <c:pt idx="10">
                  <c:v>7.25367389135085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600760"/>
        <c:axId val="392601840"/>
      </c:lineChart>
      <c:catAx>
        <c:axId val="681276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  <a:r>
                  <a:rPr lang="zh-CN">
                    <a:latin typeface="宋体" panose="02010600030101010101" charset="-122"/>
                    <a:ea typeface="宋体" panose="02010600030101010101" charset="-122"/>
                  </a:rPr>
                  <a:t>年份</a:t>
                </a:r>
                <a:endParaRPr lang="zh-CN"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473533802101898"/>
              <c:y val="0.9341415209004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22143752"/>
        <c:crosses val="autoZero"/>
        <c:auto val="1"/>
        <c:lblAlgn val="ctr"/>
        <c:lblOffset val="100"/>
        <c:noMultiLvlLbl val="0"/>
      </c:catAx>
      <c:valAx>
        <c:axId val="622143752"/>
        <c:scaling>
          <c:orientation val="minMax"/>
        </c:scaling>
        <c:delete val="0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  <a:r>
                  <a:rPr lang="zh-CN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</a:rPr>
                  <a:t>农产品出口贸易额（百万美元）</a:t>
                </a:r>
                <a:endParaRPr lang="zh-CN">
                  <a:solidFill>
                    <a:sysClr val="windowText" lastClr="000000"/>
                  </a:solidFill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299141496040056"/>
              <c:y val="0.078109258081870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81276320"/>
        <c:crosses val="autoZero"/>
        <c:crossBetween val="between"/>
      </c:valAx>
      <c:catAx>
        <c:axId val="392600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392601840"/>
        <c:crosses val="autoZero"/>
        <c:auto val="1"/>
        <c:lblAlgn val="ctr"/>
        <c:lblOffset val="100"/>
        <c:noMultiLvlLbl val="0"/>
      </c:catAx>
      <c:valAx>
        <c:axId val="392601840"/>
        <c:scaling>
          <c:orientation val="minMax"/>
        </c:scaling>
        <c:delete val="0"/>
        <c:axPos val="r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defRPr>
                </a:pPr>
                <a:r>
                  <a:rPr lang="zh-CN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环比增长率（</a:t>
                </a:r>
                <a:r>
                  <a:rPr lang="zh-CN" altLang="en-US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％</a:t>
                </a:r>
                <a:r>
                  <a:rPr lang="zh-CN">
                    <a:solidFill>
                      <a:sysClr val="windowText" lastClr="000000"/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）</a:t>
                </a:r>
                <a:endParaRPr lang="zh-CN">
                  <a:solidFill>
                    <a:sysClr val="windowText" lastClr="000000"/>
                  </a:solidFill>
                  <a:latin typeface="Times New Roman" panose="02020603050405020304" charset="0"/>
                  <a:ea typeface="宋体" panose="02010600030101010101" charset="-122"/>
                  <a:cs typeface="Times New Roman" panose="0202060305040502030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392600760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00559497964"/>
          <c:y val="0.0374598812732301"/>
          <c:w val="0.54320987654321"/>
          <c:h val="0.06671140939597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 sz="90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2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crecrs</cp:lastModifiedBy>
  <cp:lastPrinted>2023-06-28T09:19:00Z</cp:lastPrinted>
  <dcterms:modified xsi:type="dcterms:W3CDTF">2024-09-10T04:01:52Z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