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bookmarkStart w:id="0" w:name="_top"/>
      <w:bookmarkEnd w:id="0"/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lang w:val="en-US" w:eastAsia="zh-CN" w:bidi="ar-SA"/>
        </w:rPr>
        <w:t>附  录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  <w:footnoteReference w:id="0" w:customMarkFollows="1"/>
        <w:t>*</w:t>
      </w:r>
    </w:p>
    <w:p>
      <w:pPr>
        <w:pStyle w:val="2"/>
        <w:ind w:left="0" w:leftChars="0" w:firstLine="0" w:firstLineChars="0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32" w:firstLineChars="200"/>
        <w:textAlignment w:val="auto"/>
        <w:rPr>
          <w:rFonts w:eastAsia="黑体"/>
          <w:color w:val="000000"/>
          <w:sz w:val="18"/>
          <w:szCs w:val="18"/>
        </w:rPr>
      </w:pPr>
      <w:r>
        <w:rPr>
          <w:rFonts w:hint="eastAsia" w:eastAsia="黑体"/>
          <w:color w:val="000000"/>
          <w:sz w:val="18"/>
          <w:szCs w:val="18"/>
        </w:rPr>
        <w:t>附</w:t>
      </w:r>
      <w:r>
        <w:rPr>
          <w:rFonts w:eastAsia="黑体"/>
          <w:color w:val="000000"/>
          <w:sz w:val="18"/>
          <w:szCs w:val="18"/>
        </w:rPr>
        <w:t>表</w:t>
      </w:r>
      <w:r>
        <w:rPr>
          <w:rFonts w:hint="eastAsia" w:eastAsia="黑体"/>
          <w:color w:val="000000"/>
          <w:sz w:val="18"/>
          <w:szCs w:val="18"/>
        </w:rPr>
        <w:t xml:space="preserve">1                                   </w:t>
      </w:r>
      <w:r>
        <w:rPr>
          <w:rFonts w:eastAsia="黑体"/>
          <w:color w:val="000000"/>
          <w:sz w:val="18"/>
          <w:szCs w:val="18"/>
        </w:rPr>
        <w:t>稳健性检验结果</w:t>
      </w:r>
    </w:p>
    <w:tbl>
      <w:tblPr>
        <w:tblStyle w:val="33"/>
        <w:tblW w:w="8633" w:type="dxa"/>
        <w:jc w:val="center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</w:tblPr>
      <w:tblGrid>
        <w:gridCol w:w="1851"/>
        <w:gridCol w:w="992"/>
        <w:gridCol w:w="1024"/>
        <w:gridCol w:w="1191"/>
        <w:gridCol w:w="1191"/>
        <w:gridCol w:w="1191"/>
        <w:gridCol w:w="1193"/>
      </w:tblGrid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变量</w:t>
            </w:r>
          </w:p>
        </w:tc>
        <w:tc>
          <w:tcPr>
            <w:tcW w:w="6782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全要素生产率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（1）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（2）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（3）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（4）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（5）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（6）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数字化投入一次项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0.0519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0.0651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0.0370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1.3598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1.9545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1.3715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（0.0129）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（0.0175）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（0.0084）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（0.2729）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（0.2919）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（0.2597）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数字化投入二次项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0.0028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0.0065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0.0313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1.2825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1.7567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1.275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（0.0016）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（0.0028）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（0.0105）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（0.3198）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（0.3235）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（0.3026）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控制变量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3.1456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3.1373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2.0351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4.6961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5.7550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5.6683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（0.3883）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（0.3912）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（0.0223）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（0.6896）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（0.6771）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（0.6496）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9931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9931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9931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9931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9931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9931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nil"/>
              <w:left w:val="nil"/>
              <w:bottom w:val="doub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doub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024" w:type="dxa"/>
            <w:tcBorders>
              <w:top w:val="nil"/>
              <w:left w:val="nil"/>
              <w:bottom w:val="doub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91" w:type="dxa"/>
            <w:tcBorders>
              <w:top w:val="nil"/>
              <w:left w:val="nil"/>
              <w:bottom w:val="doub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doub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197</w:t>
            </w:r>
          </w:p>
        </w:tc>
        <w:tc>
          <w:tcPr>
            <w:tcW w:w="1191" w:type="dxa"/>
            <w:tcBorders>
              <w:top w:val="nil"/>
              <w:left w:val="nil"/>
              <w:bottom w:val="doub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193" w:type="dxa"/>
            <w:tcBorders>
              <w:top w:val="nil"/>
              <w:left w:val="nil"/>
              <w:bottom w:val="doub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vMerge w:val="restart"/>
            <w:tcBorders>
              <w:top w:val="doub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变量</w:t>
            </w:r>
          </w:p>
        </w:tc>
        <w:tc>
          <w:tcPr>
            <w:tcW w:w="6782" w:type="dxa"/>
            <w:gridSpan w:val="6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企业全要素生产率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（7）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（8）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9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（10）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（11）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（12）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数字化投入一次项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0.6782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0.7170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1.3340</w:t>
            </w:r>
            <w:r>
              <w:rPr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0.6389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0.6389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0.6389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（0.2040）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（0.1692）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0.2072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（0.1338）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（0.1328）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（0.1008）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数字化投入二次项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0.5288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0.6296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kern w:val="0"/>
                <w:sz w:val="18"/>
                <w:szCs w:val="18"/>
              </w:rPr>
              <w:t>1.0150</w:t>
            </w:r>
            <w:r>
              <w:rPr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0.5584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0.5584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0.5584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（0.3178）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（0.2268）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0.2243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（0.1343）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（0.1367）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（0.1260）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控制变量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控制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3.0906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3.0112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2.7934</w:t>
            </w:r>
            <w:r>
              <w:rPr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3.1780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3.1780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3.1780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（0.4343）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（0.4060）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0.5147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（0.3465）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（0.2973）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（0.2397）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8772</w:t>
            </w: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8893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11381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9931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9931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9931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185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0.96</w:t>
            </w:r>
            <w:r>
              <w:rPr>
                <w:rFonts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193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</w:tr>
    </w:tbl>
    <w:p>
      <w:pPr>
        <w:spacing w:line="240" w:lineRule="atLeast"/>
        <w:ind w:firstLine="332" w:firstLineChars="200"/>
      </w:pPr>
      <w:r>
        <w:rPr>
          <w:color w:val="000000"/>
          <w:sz w:val="18"/>
          <w:szCs w:val="18"/>
        </w:rPr>
        <w:t>注：*、**和***依次代表在10%、5%和1%的显著性水平下显著，括号内</w:t>
      </w:r>
      <w:r>
        <w:rPr>
          <w:rFonts w:hint="eastAsia"/>
          <w:color w:val="000000"/>
          <w:sz w:val="18"/>
          <w:szCs w:val="18"/>
        </w:rPr>
        <w:t>数字为</w:t>
      </w:r>
      <w:r>
        <w:rPr>
          <w:color w:val="000000"/>
          <w:sz w:val="18"/>
          <w:szCs w:val="18"/>
        </w:rPr>
        <w:t>聚类在企业层面的稳健标准误</w:t>
      </w:r>
      <w:r>
        <w:rPr>
          <w:rFonts w:hint="eastAsia"/>
          <w:color w:val="000000"/>
          <w:sz w:val="18"/>
          <w:szCs w:val="18"/>
        </w:rPr>
        <w:t>，</w:t>
      </w:r>
      <w:r>
        <w:rPr>
          <w:rFonts w:hint="eastAsia"/>
          <w:sz w:val="18"/>
          <w:szCs w:val="18"/>
        </w:rPr>
        <w:t>回归中控制了企业、年份、行业－时间和城市－时间4类固定效应</w:t>
      </w:r>
      <w:r>
        <w:rPr>
          <w:color w:val="000000"/>
          <w:sz w:val="18"/>
          <w:szCs w:val="18"/>
        </w:rPr>
        <w:t>。</w:t>
      </w:r>
    </w:p>
    <w:p>
      <w:pPr>
        <w:rPr>
          <w:rFonts w:hint="eastAsia" w:eastAsia="黑体"/>
          <w:color w:val="000000"/>
          <w:sz w:val="18"/>
          <w:szCs w:val="18"/>
        </w:rPr>
      </w:pPr>
      <w:r>
        <w:rPr>
          <w:rFonts w:hint="eastAsia" w:eastAsia="黑体"/>
          <w:color w:val="000000"/>
          <w:sz w:val="18"/>
          <w:szCs w:val="18"/>
        </w:rPr>
        <w:br w:type="page"/>
      </w:r>
    </w:p>
    <w:p>
      <w:pPr>
        <w:spacing w:line="240" w:lineRule="atLeast"/>
        <w:ind w:firstLine="332" w:firstLineChars="200"/>
        <w:rPr>
          <w:rFonts w:eastAsia="黑体"/>
          <w:color w:val="000000"/>
          <w:sz w:val="18"/>
          <w:szCs w:val="18"/>
        </w:rPr>
      </w:pPr>
      <w:r>
        <w:rPr>
          <w:rFonts w:hint="eastAsia" w:eastAsia="黑体"/>
          <w:color w:val="000000"/>
          <w:sz w:val="18"/>
          <w:szCs w:val="18"/>
        </w:rPr>
        <w:t>附</w:t>
      </w:r>
      <w:r>
        <w:rPr>
          <w:rFonts w:eastAsia="黑体"/>
          <w:color w:val="000000"/>
          <w:sz w:val="18"/>
          <w:szCs w:val="18"/>
        </w:rPr>
        <w:t>表</w:t>
      </w:r>
      <w:r>
        <w:rPr>
          <w:rFonts w:hint="eastAsia" w:eastAsia="黑体"/>
          <w:color w:val="000000"/>
          <w:sz w:val="18"/>
          <w:szCs w:val="18"/>
        </w:rPr>
        <w:t>2</w:t>
      </w:r>
      <w:r>
        <w:rPr>
          <w:rFonts w:eastAsia="黑体"/>
          <w:color w:val="000000"/>
          <w:sz w:val="18"/>
          <w:szCs w:val="18"/>
        </w:rPr>
        <w:t xml:space="preserve">          </w:t>
      </w:r>
      <w:r>
        <w:rPr>
          <w:rFonts w:hint="eastAsia" w:eastAsia="黑体"/>
          <w:color w:val="000000"/>
          <w:sz w:val="18"/>
          <w:szCs w:val="18"/>
        </w:rPr>
        <w:t xml:space="preserve">                      </w:t>
      </w:r>
      <w:r>
        <w:rPr>
          <w:rFonts w:eastAsia="黑体"/>
          <w:color w:val="000000"/>
          <w:sz w:val="18"/>
          <w:szCs w:val="18"/>
        </w:rPr>
        <w:t xml:space="preserve"> 企业</w:t>
      </w:r>
      <w:r>
        <w:rPr>
          <w:rFonts w:hint="eastAsia" w:eastAsia="黑体"/>
          <w:color w:val="000000"/>
          <w:sz w:val="18"/>
          <w:szCs w:val="18"/>
        </w:rPr>
        <w:t>特征</w:t>
      </w:r>
      <w:r>
        <w:rPr>
          <w:rFonts w:eastAsia="黑体"/>
          <w:color w:val="000000"/>
          <w:sz w:val="18"/>
          <w:szCs w:val="18"/>
        </w:rPr>
        <w:t>异质性估计结果</w:t>
      </w:r>
    </w:p>
    <w:tbl>
      <w:tblPr>
        <w:tblStyle w:val="33"/>
        <w:tblW w:w="8673" w:type="dxa"/>
        <w:jc w:val="center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</w:tblPr>
      <w:tblGrid>
        <w:gridCol w:w="2139"/>
        <w:gridCol w:w="1633"/>
        <w:gridCol w:w="1633"/>
        <w:gridCol w:w="1633"/>
        <w:gridCol w:w="1635"/>
      </w:tblGrid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9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变量</w:t>
            </w:r>
          </w:p>
        </w:tc>
        <w:tc>
          <w:tcPr>
            <w:tcW w:w="6534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全要素生产率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（1）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（2）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3" w:type="dxa"/>
            <w:tcBorders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非国有企业</w:t>
            </w:r>
          </w:p>
        </w:tc>
        <w:tc>
          <w:tcPr>
            <w:tcW w:w="1633" w:type="dxa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国有企业</w:t>
            </w:r>
          </w:p>
        </w:tc>
        <w:tc>
          <w:tcPr>
            <w:tcW w:w="1633" w:type="dxa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小企业</w:t>
            </w:r>
          </w:p>
        </w:tc>
        <w:tc>
          <w:tcPr>
            <w:tcW w:w="1635" w:type="dxa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大企业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数字化投入一次项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0.5423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0.8520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0.5239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0.9309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（0.1433）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（0.3669）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（0.1733）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（0.2409）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数字化投入二次项</w:t>
            </w: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0.4827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0.5230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0.3457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0.8099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（0.1475）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（0.6276）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（0.2307）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（0.2566）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控制变量</w:t>
            </w: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3.8035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2.6689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3.8228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2.6485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（0.3993）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（1.0132）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（0.6945）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（0.7838）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9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6219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3035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4517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4458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0.984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0.984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0.97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0.984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</w:tbl>
    <w:p>
      <w:pPr>
        <w:spacing w:line="240" w:lineRule="atLeast"/>
        <w:ind w:firstLine="332" w:firstLineChars="200"/>
        <w:rPr>
          <w:rFonts w:ascii="Times New Roman" w:eastAsia="宋体" w:cs="Times New Roman"/>
          <w:sz w:val="21"/>
          <w:szCs w:val="21"/>
        </w:rPr>
      </w:pPr>
      <w:r>
        <w:rPr>
          <w:color w:val="000000"/>
          <w:sz w:val="18"/>
          <w:szCs w:val="18"/>
        </w:rPr>
        <w:t>注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*、**和***依次代表在10%、5%和1%的显著性水平下显著，括号内</w:t>
      </w:r>
      <w:r>
        <w:rPr>
          <w:rFonts w:hint="eastAsia"/>
          <w:color w:val="000000"/>
          <w:sz w:val="18"/>
          <w:szCs w:val="18"/>
        </w:rPr>
        <w:t>数字为</w:t>
      </w:r>
      <w:r>
        <w:rPr>
          <w:color w:val="000000"/>
          <w:sz w:val="18"/>
          <w:szCs w:val="18"/>
        </w:rPr>
        <w:t>聚类在企业层面的稳健标准误</w:t>
      </w:r>
      <w:r>
        <w:rPr>
          <w:rFonts w:hint="eastAsia"/>
          <w:color w:val="000000"/>
          <w:sz w:val="18"/>
          <w:szCs w:val="18"/>
        </w:rPr>
        <w:t>，</w:t>
      </w:r>
      <w:r>
        <w:rPr>
          <w:rFonts w:hint="eastAsia"/>
          <w:sz w:val="18"/>
          <w:szCs w:val="18"/>
        </w:rPr>
        <w:t>回归中控制了企业、年份、行业－时间和城市－时间4类固定效应</w:t>
      </w:r>
      <w:r>
        <w:rPr>
          <w:color w:val="000000"/>
          <w:sz w:val="18"/>
          <w:szCs w:val="18"/>
        </w:rPr>
        <w:t>。</w:t>
      </w:r>
    </w:p>
    <w:p>
      <w:pPr>
        <w:spacing w:line="240" w:lineRule="atLeast"/>
        <w:ind w:firstLine="332" w:firstLineChars="200"/>
        <w:rPr>
          <w:rFonts w:eastAsia="黑体"/>
          <w:color w:val="000000"/>
          <w:sz w:val="18"/>
          <w:szCs w:val="18"/>
        </w:rPr>
      </w:pPr>
      <w:r>
        <w:rPr>
          <w:rFonts w:hint="eastAsia" w:eastAsia="黑体"/>
          <w:color w:val="000000"/>
          <w:sz w:val="18"/>
          <w:szCs w:val="18"/>
        </w:rPr>
        <w:t xml:space="preserve">附表3                                  </w:t>
      </w:r>
      <w:r>
        <w:rPr>
          <w:rFonts w:eastAsia="黑体"/>
          <w:color w:val="000000"/>
          <w:sz w:val="18"/>
          <w:szCs w:val="18"/>
        </w:rPr>
        <w:t>行业异质性估计结果</w:t>
      </w:r>
    </w:p>
    <w:tbl>
      <w:tblPr>
        <w:tblStyle w:val="33"/>
        <w:tblW w:w="8593" w:type="dxa"/>
        <w:jc w:val="center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</w:tblPr>
      <w:tblGrid>
        <w:gridCol w:w="2099"/>
        <w:gridCol w:w="1623"/>
        <w:gridCol w:w="1623"/>
        <w:gridCol w:w="1623"/>
        <w:gridCol w:w="1625"/>
      </w:tblGrid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099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变量</w:t>
            </w:r>
          </w:p>
        </w:tc>
        <w:tc>
          <w:tcPr>
            <w:tcW w:w="6494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全要素生产率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09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（1）</w:t>
            </w:r>
          </w:p>
        </w:tc>
        <w:tc>
          <w:tcPr>
            <w:tcW w:w="1623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（2）</w:t>
            </w:r>
          </w:p>
        </w:tc>
        <w:tc>
          <w:tcPr>
            <w:tcW w:w="1623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（3）</w:t>
            </w:r>
          </w:p>
        </w:tc>
        <w:tc>
          <w:tcPr>
            <w:tcW w:w="1625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（4）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09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3" w:type="dxa"/>
            <w:tcBorders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高技术行业</w:t>
            </w:r>
          </w:p>
        </w:tc>
        <w:tc>
          <w:tcPr>
            <w:tcW w:w="1623" w:type="dxa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非高技术行业</w:t>
            </w:r>
          </w:p>
        </w:tc>
        <w:tc>
          <w:tcPr>
            <w:tcW w:w="1623" w:type="dxa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制造业</w:t>
            </w:r>
          </w:p>
        </w:tc>
        <w:tc>
          <w:tcPr>
            <w:tcW w:w="1625" w:type="dxa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服务业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09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数字化投入一次项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0.5538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2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0.5509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62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0.6624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2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0.5759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09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（0.1767）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（0.2725）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（0.1818）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（0.2244）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09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数字化投入二次项</w:t>
            </w: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0.5172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0.2083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0.7379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0.4488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09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（0.1922）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（0.3990）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（0.2305）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（0.2609）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09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控制变量</w:t>
            </w: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09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3.6260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2.7389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3.7809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1.0344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（0.7335）</w:t>
            </w:r>
          </w:p>
        </w:tc>
        <w:tc>
          <w:tcPr>
            <w:tcW w:w="16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（0.5245）</w:t>
            </w:r>
          </w:p>
        </w:tc>
        <w:tc>
          <w:tcPr>
            <w:tcW w:w="16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（0.4737）</w:t>
            </w:r>
          </w:p>
        </w:tc>
        <w:tc>
          <w:tcPr>
            <w:tcW w:w="162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（0.7503）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099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3040</w:t>
            </w:r>
          </w:p>
        </w:tc>
        <w:tc>
          <w:tcPr>
            <w:tcW w:w="1623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6327</w:t>
            </w:r>
          </w:p>
        </w:tc>
        <w:tc>
          <w:tcPr>
            <w:tcW w:w="1623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5918</w:t>
            </w:r>
          </w:p>
        </w:tc>
        <w:tc>
          <w:tcPr>
            <w:tcW w:w="1625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3182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09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23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23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623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1625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</w:tr>
    </w:tbl>
    <w:p>
      <w:pPr>
        <w:spacing w:line="240" w:lineRule="atLeast"/>
        <w:ind w:firstLine="332" w:firstLineChars="200"/>
        <w:rPr>
          <w:rFonts w:ascii="Times New Roman" w:eastAsia="宋体" w:cs="Times New Roman"/>
          <w:sz w:val="21"/>
          <w:szCs w:val="21"/>
        </w:rPr>
      </w:pPr>
      <w:r>
        <w:rPr>
          <w:color w:val="000000"/>
          <w:sz w:val="18"/>
          <w:szCs w:val="18"/>
        </w:rPr>
        <w:t>注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*、**和***依次代表在10%、5%和1%的显著性水平下显著，括号内</w:t>
      </w:r>
      <w:r>
        <w:rPr>
          <w:rFonts w:hint="eastAsia"/>
          <w:color w:val="000000"/>
          <w:sz w:val="18"/>
          <w:szCs w:val="18"/>
        </w:rPr>
        <w:t>数字为</w:t>
      </w:r>
      <w:r>
        <w:rPr>
          <w:color w:val="000000"/>
          <w:sz w:val="18"/>
          <w:szCs w:val="18"/>
        </w:rPr>
        <w:t>聚类在企业层面的稳健标准误</w:t>
      </w:r>
      <w:r>
        <w:rPr>
          <w:rFonts w:hint="eastAsia"/>
          <w:color w:val="000000"/>
          <w:sz w:val="18"/>
          <w:szCs w:val="18"/>
        </w:rPr>
        <w:t>，</w:t>
      </w:r>
      <w:r>
        <w:rPr>
          <w:rFonts w:hint="eastAsia"/>
          <w:sz w:val="18"/>
          <w:szCs w:val="18"/>
        </w:rPr>
        <w:t>回归中控制了企业、年份、行业－时间和城市－时间4类固定效应</w:t>
      </w:r>
      <w:r>
        <w:rPr>
          <w:sz w:val="18"/>
          <w:szCs w:val="18"/>
        </w:rPr>
        <w:t>。</w:t>
      </w:r>
    </w:p>
    <w:p>
      <w:pPr>
        <w:spacing w:line="240" w:lineRule="atLeast"/>
        <w:ind w:firstLine="332" w:firstLineChars="200"/>
        <w:rPr>
          <w:rFonts w:eastAsia="黑体"/>
          <w:color w:val="000000"/>
          <w:sz w:val="18"/>
          <w:szCs w:val="18"/>
        </w:rPr>
      </w:pPr>
      <w:r>
        <w:rPr>
          <w:rFonts w:hint="eastAsia" w:eastAsia="黑体"/>
          <w:color w:val="000000"/>
          <w:sz w:val="18"/>
          <w:szCs w:val="18"/>
        </w:rPr>
        <w:t>附</w:t>
      </w:r>
      <w:r>
        <w:rPr>
          <w:rFonts w:eastAsia="黑体"/>
          <w:color w:val="000000"/>
          <w:sz w:val="18"/>
          <w:szCs w:val="18"/>
        </w:rPr>
        <w:t>表</w:t>
      </w:r>
      <w:r>
        <w:rPr>
          <w:rFonts w:hint="eastAsia" w:eastAsia="黑体"/>
          <w:color w:val="000000"/>
          <w:sz w:val="18"/>
          <w:szCs w:val="18"/>
        </w:rPr>
        <w:t xml:space="preserve">4                              </w:t>
      </w:r>
      <w:r>
        <w:rPr>
          <w:rFonts w:eastAsia="黑体"/>
          <w:color w:val="000000"/>
          <w:sz w:val="18"/>
          <w:szCs w:val="18"/>
        </w:rPr>
        <w:t>数字化投入异质性估计结果</w:t>
      </w:r>
    </w:p>
    <w:tbl>
      <w:tblPr>
        <w:tblStyle w:val="33"/>
        <w:tblW w:w="8614" w:type="dxa"/>
        <w:jc w:val="center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</w:tblPr>
      <w:tblGrid>
        <w:gridCol w:w="2109"/>
        <w:gridCol w:w="1626"/>
        <w:gridCol w:w="1626"/>
        <w:gridCol w:w="1626"/>
        <w:gridCol w:w="1627"/>
      </w:tblGrid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09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变量</w:t>
            </w:r>
          </w:p>
        </w:tc>
        <w:tc>
          <w:tcPr>
            <w:tcW w:w="6505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全要素生产率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0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（1）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（2）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（3）</w:t>
            </w:r>
          </w:p>
        </w:tc>
        <w:tc>
          <w:tcPr>
            <w:tcW w:w="1627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（4）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6" w:type="dxa"/>
            <w:tcBorders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硬件投入</w:t>
            </w:r>
          </w:p>
        </w:tc>
        <w:tc>
          <w:tcPr>
            <w:tcW w:w="1626" w:type="dxa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软件投入</w:t>
            </w:r>
          </w:p>
        </w:tc>
        <w:tc>
          <w:tcPr>
            <w:tcW w:w="1626" w:type="dxa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光缆密度高</w:t>
            </w:r>
          </w:p>
        </w:tc>
        <w:tc>
          <w:tcPr>
            <w:tcW w:w="1627" w:type="dxa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光缆密度低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0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数字化投入一次项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0.7184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0.0007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0.6606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0.2447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（0.1248）</w:t>
            </w:r>
          </w:p>
        </w:tc>
        <w:tc>
          <w:tcPr>
            <w:tcW w:w="162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（0.0823）</w:t>
            </w:r>
          </w:p>
        </w:tc>
        <w:tc>
          <w:tcPr>
            <w:tcW w:w="162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（0.1535）</w:t>
            </w:r>
          </w:p>
        </w:tc>
        <w:tc>
          <w:tcPr>
            <w:tcW w:w="162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（0.5186）</w:t>
            </w: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0"/>
        <w:textAlignment w:val="auto"/>
      </w:pPr>
      <w:r>
        <w:rPr>
          <w:rFonts w:hint="eastAsia" w:eastAsia="黑体"/>
          <w:color w:val="000000"/>
          <w:sz w:val="18"/>
          <w:szCs w:val="18"/>
        </w:rPr>
        <w:t>附</w:t>
      </w:r>
      <w:r>
        <w:rPr>
          <w:rFonts w:eastAsia="黑体"/>
          <w:color w:val="000000"/>
          <w:sz w:val="18"/>
          <w:szCs w:val="18"/>
        </w:rPr>
        <w:t>表</w:t>
      </w:r>
      <w:r>
        <w:rPr>
          <w:rFonts w:hint="default" w:ascii="Times New Roman" w:hAnsi="Times New Roman" w:eastAsia="黑体" w:cs="Times New Roman"/>
          <w:color w:val="000000"/>
          <w:sz w:val="18"/>
          <w:szCs w:val="18"/>
        </w:rPr>
        <w:t>4</w:t>
      </w:r>
    </w:p>
    <w:tbl>
      <w:tblPr>
        <w:tblStyle w:val="33"/>
        <w:tblW w:w="8614" w:type="dxa"/>
        <w:jc w:val="center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</w:tblPr>
      <w:tblGrid>
        <w:gridCol w:w="2109"/>
        <w:gridCol w:w="1626"/>
        <w:gridCol w:w="1626"/>
        <w:gridCol w:w="1626"/>
        <w:gridCol w:w="1627"/>
      </w:tblGrid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0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数字化投入二次项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0.6173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0.0091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0.5749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2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0.3072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0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（0.1261）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（0.0879）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（0.1878）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（0.5976）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0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控制变量</w:t>
            </w:r>
          </w:p>
        </w:tc>
        <w:tc>
          <w:tcPr>
            <w:tcW w:w="1626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0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1626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3.2041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3.2139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3.1370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3.6382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（0.3916）</w:t>
            </w:r>
          </w:p>
        </w:tc>
        <w:tc>
          <w:tcPr>
            <w:tcW w:w="162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（0.3889）</w:t>
            </w:r>
          </w:p>
        </w:tc>
        <w:tc>
          <w:tcPr>
            <w:tcW w:w="162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（0.4157）</w:t>
            </w:r>
          </w:p>
        </w:tc>
        <w:tc>
          <w:tcPr>
            <w:tcW w:w="162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（0.9217）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09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9931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9931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8805</w:t>
            </w:r>
          </w:p>
        </w:tc>
        <w:tc>
          <w:tcPr>
            <w:tcW w:w="1627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1010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0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26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626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626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627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</w:tr>
    </w:tbl>
    <w:p>
      <w:pPr>
        <w:spacing w:line="240" w:lineRule="atLeast"/>
        <w:ind w:firstLine="332" w:firstLineChars="200"/>
        <w:rPr>
          <w:rFonts w:ascii="Times New Roman" w:eastAsia="宋体" w:cs="Times New Roman"/>
          <w:sz w:val="21"/>
          <w:szCs w:val="21"/>
        </w:rPr>
      </w:pPr>
      <w:r>
        <w:rPr>
          <w:color w:val="000000"/>
          <w:sz w:val="18"/>
          <w:szCs w:val="18"/>
        </w:rPr>
        <w:t>注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*、**和***依次代表在10%、5%和1%的显著性水平下显著，括号内</w:t>
      </w:r>
      <w:r>
        <w:rPr>
          <w:rFonts w:hint="eastAsia"/>
          <w:color w:val="000000"/>
          <w:sz w:val="18"/>
          <w:szCs w:val="18"/>
        </w:rPr>
        <w:t>数字为</w:t>
      </w:r>
      <w:r>
        <w:rPr>
          <w:color w:val="000000"/>
          <w:sz w:val="18"/>
          <w:szCs w:val="18"/>
        </w:rPr>
        <w:t>聚类在企业层面的稳健标准误</w:t>
      </w:r>
      <w:r>
        <w:rPr>
          <w:rFonts w:hint="eastAsia"/>
          <w:color w:val="000000"/>
          <w:sz w:val="18"/>
          <w:szCs w:val="18"/>
        </w:rPr>
        <w:t>，</w:t>
      </w:r>
      <w:r>
        <w:rPr>
          <w:rFonts w:hint="eastAsia"/>
          <w:sz w:val="18"/>
          <w:szCs w:val="18"/>
        </w:rPr>
        <w:t>回归中控制了企业、年份、行业－时间和城市－时间4类固定效应</w:t>
      </w:r>
      <w:r>
        <w:rPr>
          <w:color w:val="000000"/>
          <w:sz w:val="18"/>
          <w:szCs w:val="18"/>
        </w:rPr>
        <w:t>。</w:t>
      </w:r>
    </w:p>
    <w:p>
      <w:pPr>
        <w:spacing w:line="240" w:lineRule="atLeast"/>
        <w:ind w:firstLine="332" w:firstLineChars="200"/>
        <w:rPr>
          <w:rFonts w:eastAsia="黑体"/>
          <w:color w:val="000000"/>
          <w:sz w:val="18"/>
          <w:szCs w:val="18"/>
        </w:rPr>
      </w:pPr>
      <w:r>
        <w:rPr>
          <w:rFonts w:hint="eastAsia" w:eastAsia="黑体"/>
          <w:color w:val="000000"/>
          <w:sz w:val="18"/>
          <w:szCs w:val="18"/>
        </w:rPr>
        <w:t>附</w:t>
      </w:r>
      <w:r>
        <w:rPr>
          <w:rFonts w:eastAsia="黑体"/>
          <w:color w:val="000000"/>
          <w:sz w:val="18"/>
          <w:szCs w:val="18"/>
        </w:rPr>
        <w:t>表</w:t>
      </w:r>
      <w:r>
        <w:rPr>
          <w:rFonts w:hint="eastAsia" w:eastAsia="黑体"/>
          <w:color w:val="000000"/>
          <w:sz w:val="18"/>
          <w:szCs w:val="18"/>
        </w:rPr>
        <w:t xml:space="preserve">5                           </w:t>
      </w:r>
      <w:r>
        <w:rPr>
          <w:rFonts w:eastAsia="黑体"/>
          <w:color w:val="000000"/>
          <w:sz w:val="18"/>
          <w:szCs w:val="18"/>
        </w:rPr>
        <w:t>城市数字化治理异质性估计结果</w:t>
      </w:r>
    </w:p>
    <w:tbl>
      <w:tblPr>
        <w:tblStyle w:val="33"/>
        <w:tblW w:w="8670" w:type="dxa"/>
        <w:jc w:val="center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</w:tblPr>
      <w:tblGrid>
        <w:gridCol w:w="2137"/>
        <w:gridCol w:w="1633"/>
        <w:gridCol w:w="1633"/>
        <w:gridCol w:w="1633"/>
        <w:gridCol w:w="1634"/>
      </w:tblGrid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7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变量</w:t>
            </w:r>
          </w:p>
        </w:tc>
        <w:tc>
          <w:tcPr>
            <w:tcW w:w="6533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全要素生产率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（1）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（2）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（3）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（4）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3" w:type="dxa"/>
            <w:tcBorders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智慧城市</w:t>
            </w:r>
          </w:p>
        </w:tc>
        <w:tc>
          <w:tcPr>
            <w:tcW w:w="1633" w:type="dxa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非智慧城市</w:t>
            </w:r>
          </w:p>
        </w:tc>
        <w:tc>
          <w:tcPr>
            <w:tcW w:w="1633" w:type="dxa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信息惠民试点</w:t>
            </w:r>
          </w:p>
        </w:tc>
        <w:tc>
          <w:tcPr>
            <w:tcW w:w="1634" w:type="dxa"/>
            <w:tcBorders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非信息惠民试点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数字化投入一次项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0.6306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0.1078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0.6057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0.5522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（0.1564）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（0.4029）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（0.1642）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（0.3017）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</w:t>
            </w:r>
            <w:r>
              <w:rPr>
                <w:color w:val="000000"/>
                <w:kern w:val="0"/>
                <w:sz w:val="18"/>
                <w:szCs w:val="18"/>
              </w:rPr>
              <w:t>数字化投入二次项</w:t>
            </w: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0.5626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0.4653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0.5415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−</w:t>
            </w:r>
            <w:r>
              <w:rPr>
                <w:color w:val="000000"/>
                <w:kern w:val="0"/>
                <w:sz w:val="18"/>
                <w:szCs w:val="18"/>
              </w:rPr>
              <w:t>0.2214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（0.1868）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（0.7421）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（0.1995）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（0.3738）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控制变量</w:t>
            </w: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控制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常数项</w:t>
            </w: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3.1453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3.7082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2.7608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3.8997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（0.4337）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（0.7692）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（0.4592）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（0.6831）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7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观测值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8395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1434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6936</w:t>
            </w:r>
          </w:p>
        </w:tc>
        <w:tc>
          <w:tcPr>
            <w:tcW w:w="1634" w:type="dxa"/>
            <w:tcBorders>
              <w:top w:val="single" w:color="auto" w:sz="4" w:space="0"/>
              <w:left w:val="nil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2906</w:t>
            </w:r>
          </w:p>
        </w:tc>
      </w:tr>
      <w:tr>
        <w:tblPrEx>
          <w:tblLayout w:type="fixed"/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trHeight w:val="317" w:hRule="atLeast"/>
          <w:jc w:val="center"/>
        </w:trPr>
        <w:tc>
          <w:tcPr>
            <w:tcW w:w="213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autoSpaceDE w:val="0"/>
              <w:autoSpaceDN w:val="0"/>
              <w:spacing w:line="30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R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0.991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634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autoSpaceDE w:val="0"/>
              <w:autoSpaceDN w:val="0"/>
              <w:spacing w:line="30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0.986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</w:tr>
    </w:tbl>
    <w:p>
      <w:pPr>
        <w:spacing w:line="240" w:lineRule="atLeast"/>
        <w:ind w:firstLine="332" w:firstLineChars="20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注</w:t>
      </w:r>
      <w:r>
        <w:rPr>
          <w:rFonts w:hint="eastAsia"/>
          <w:color w:val="000000"/>
          <w:sz w:val="18"/>
          <w:szCs w:val="18"/>
        </w:rPr>
        <w:t>：</w:t>
      </w:r>
      <w:r>
        <w:rPr>
          <w:color w:val="000000"/>
          <w:sz w:val="18"/>
          <w:szCs w:val="18"/>
        </w:rPr>
        <w:t>*、**和***依次代表在10%、5%和1%的显著性水平下显著，括号内</w:t>
      </w:r>
      <w:r>
        <w:rPr>
          <w:rFonts w:hint="eastAsia"/>
          <w:color w:val="000000"/>
          <w:sz w:val="18"/>
          <w:szCs w:val="18"/>
        </w:rPr>
        <w:t>数字为</w:t>
      </w:r>
      <w:r>
        <w:rPr>
          <w:color w:val="000000"/>
          <w:sz w:val="18"/>
          <w:szCs w:val="18"/>
        </w:rPr>
        <w:t>聚类在企业层面的稳健标准误</w:t>
      </w:r>
      <w:r>
        <w:rPr>
          <w:rFonts w:hint="eastAsia"/>
          <w:color w:val="000000"/>
          <w:sz w:val="18"/>
          <w:szCs w:val="18"/>
        </w:rPr>
        <w:t>，</w:t>
      </w:r>
      <w:r>
        <w:rPr>
          <w:rFonts w:hint="eastAsia"/>
          <w:sz w:val="18"/>
          <w:szCs w:val="18"/>
        </w:rPr>
        <w:t>回归中控制了企业、年份、行业－时间和城市－时间4类固定效应</w:t>
      </w:r>
      <w:r>
        <w:rPr>
          <w:sz w:val="18"/>
          <w:szCs w:val="18"/>
        </w:rPr>
        <w:t>。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 xml:space="preserve">引用示例：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参考文献引用范例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（具体请根据目标投稿期刊对应调整体例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：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[</w:t>
      </w:r>
      <w:r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]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林文声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：《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高标准农田建设的农地流转市场转型效应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中国农村经济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第1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期，第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23-43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如果研究中使用了未在《中国农村经济》纸质版刊发、但在杂志网站上正式公开发表的数字内容（包括数据、程序、附录文件），请务必在研究成果正文中注明：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val="en-US" w:eastAsia="zh-CN"/>
        </w:rPr>
      </w:pPr>
      <w:r>
        <w:rPr>
          <w:rFonts w:hint="eastAsia" w:ascii="Calibri" w:hAnsi="Calibri" w:eastAsia="宋体"/>
          <w:spacing w:val="-1"/>
        </w:rPr>
        <w:t>某数据（及程序等或其他材料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来自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林文声</w:t>
      </w:r>
      <w:r>
        <w:rPr>
          <w:rFonts w:hint="eastAsia" w:ascii="Calibri" w:hAnsi="Calibri" w:eastAsia="宋体"/>
          <w:spacing w:val="-1"/>
        </w:rPr>
        <w:t>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2023</w:t>
      </w:r>
      <w:r>
        <w:rPr>
          <w:rFonts w:hint="eastAsia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Calibri" w:hAnsi="Calibri" w:eastAsia="宋体"/>
          <w:spacing w:val="-1"/>
        </w:rPr>
        <w:t>，详见《中国农村经济》网站（</w:t>
      </w:r>
      <w:r>
        <w:rPr>
          <w:rFonts w:hint="default" w:ascii="Times New Roman" w:hAnsi="Times New Roman" w:eastAsia="宋体" w:cs="Times New Roman"/>
          <w:spacing w:val="-1"/>
        </w:rPr>
        <w:t>zgncjj.ajcass.</w:t>
      </w:r>
      <w:r>
        <w:rPr>
          <w:rFonts w:hint="eastAsia" w:eastAsia="宋体" w:cs="Times New Roman"/>
          <w:spacing w:val="-1"/>
          <w:lang w:val="en-US" w:eastAsia="zh-CN"/>
        </w:rPr>
        <w:t>com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该文的</w:t>
      </w:r>
      <w:r>
        <w:rPr>
          <w:rFonts w:hint="eastAsia" w:ascii="Calibri" w:hAnsi="Calibri" w:eastAsia="宋体"/>
          <w:spacing w:val="-1"/>
          <w:lang w:val="en-US" w:eastAsia="zh-CN"/>
        </w:rPr>
        <w:t>对应</w:t>
      </w:r>
      <w:r>
        <w:rPr>
          <w:rFonts w:hint="eastAsia" w:ascii="Calibri" w:hAnsi="Calibri" w:eastAsia="宋体"/>
          <w:spacing w:val="-1"/>
        </w:rPr>
        <w:t>附件。</w:t>
      </w:r>
      <w:bookmarkStart w:id="1" w:name="_GoBack"/>
      <w:bookmarkEnd w:id="1"/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4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Calibri" w:hAnsi="Calibri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18"/>
          <w:szCs w:val="24"/>
          <w:vertAlign w:val="superscript"/>
          <w:lang w:val="en-US" w:eastAsia="zh-CN" w:bidi="ar-SA"/>
        </w:rPr>
        <w:t>*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附录由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作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者提供，文责自负。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守望农耕文明：农户对传统农业系统的价值认知如何影响其传承意愿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cs="Times New Roman"/>
        <w:lang w:val="en-US" w:eastAsia="zh-CN"/>
      </w:rPr>
      <w:t xml:space="preserve">    </w:t>
    </w:r>
    <w:r>
      <w:rPr>
        <w:rFonts w:ascii="Times New Roman" w:hAnsi="Times New Roman" w:cs="Times New Roman"/>
      </w:rPr>
      <w:t xml:space="preserve"> </w:t>
    </w:r>
    <w:r>
      <w:rPr>
        <w:rFonts w:hint="eastAsia" w:ascii="Times New Roman" w:hAnsi="Times New Roman" w:cs="Times New Roman"/>
      </w:rPr>
      <w:t>多多益善还是过犹不及：企业数字化投入与全要素生产率</w:t>
    </w:r>
    <w:r>
      <w:rPr>
        <w:rFonts w:ascii="Times New Roman" w:hAnsi="Times New Roman" w:cs="Times New Roman"/>
      </w:rPr>
      <w:t xml:space="preserve"> </w:t>
    </w:r>
    <w:r>
      <w:rPr>
        <w:rFonts w:hint="eastAsia" w:cs="Times New Roman"/>
        <w:lang w:val="en-US" w:eastAsia="zh-CN"/>
      </w:rPr>
      <w:t xml:space="preserve">        </w:t>
    </w:r>
    <w:r>
      <w:rPr>
        <w:rFonts w:ascii="Times New Roman" w:hAnsi="Times New Roman" w:cs="Times New Roman"/>
      </w:rPr>
      <w:t xml:space="preserve"> </w:t>
    </w:r>
    <w:r>
      <w:rPr>
        <w:rFonts w:hint="eastAsia" w:cs="Times New Roman"/>
        <w:lang w:val="en-US" w:eastAsia="zh-CN"/>
      </w:rPr>
      <w:t xml:space="preserve"> </w:t>
    </w:r>
    <w:r>
      <w:rPr>
        <w:rFonts w:ascii="Times New Roman" w:hAnsi="Times New Roman" w:cs="Times New Roman"/>
      </w:rPr>
      <w:t>202</w:t>
    </w:r>
    <w:r>
      <w:rPr>
        <w:rFonts w:hint="eastAsia" w:cs="Times New Roman"/>
        <w:lang w:val="en-US" w:eastAsia="zh-CN"/>
      </w:rPr>
      <w:t>4</w:t>
    </w:r>
    <w:r>
      <w:rPr>
        <w:rFonts w:ascii="Times New Roman" w:hAnsi="Times New Roman" w:cs="Times New Roman"/>
      </w:rPr>
      <w:t>.</w:t>
    </w:r>
    <w:r>
      <w:rPr>
        <w:rFonts w:hint="eastAsia" w:cs="Times New Roman"/>
        <w:lang w:val="en-US" w:eastAsia="zh-CN"/>
      </w:rPr>
      <w:t>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5A6C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13C39E5"/>
    <w:rsid w:val="21702066"/>
    <w:rsid w:val="21750BB9"/>
    <w:rsid w:val="21D35CA0"/>
    <w:rsid w:val="22280ABD"/>
    <w:rsid w:val="2268710B"/>
    <w:rsid w:val="226B2757"/>
    <w:rsid w:val="22704CCB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810F86"/>
    <w:rsid w:val="3782055B"/>
    <w:rsid w:val="378C5DAA"/>
    <w:rsid w:val="378C5E3A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168AB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F15D38"/>
    <w:rsid w:val="5FF90DC7"/>
    <w:rsid w:val="600153AE"/>
    <w:rsid w:val="602167A9"/>
    <w:rsid w:val="60316A0C"/>
    <w:rsid w:val="60395FAE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E2D67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A779E2"/>
    <w:rsid w:val="77C7038B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5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3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7">
    <w:name w:val="annotation subject"/>
    <w:basedOn w:val="8"/>
    <w:next w:val="8"/>
    <w:link w:val="89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8">
    <w:name w:val="annotation text"/>
    <w:basedOn w:val="1"/>
    <w:link w:val="88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9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0">
    <w:name w:val="Body Text"/>
    <w:basedOn w:val="1"/>
    <w:link w:val="105"/>
    <w:qFormat/>
    <w:uiPriority w:val="99"/>
    <w:rPr>
      <w:sz w:val="18"/>
    </w:rPr>
  </w:style>
  <w:style w:type="paragraph" w:styleId="11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2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3">
    <w:name w:val="Balloon Text"/>
    <w:basedOn w:val="1"/>
    <w:link w:val="102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8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header"/>
    <w:basedOn w:val="1"/>
    <w:link w:val="8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90"/>
    <w:qFormat/>
    <w:uiPriority w:val="0"/>
    <w:pPr>
      <w:snapToGrid w:val="0"/>
      <w:jc w:val="left"/>
    </w:pPr>
    <w:rPr>
      <w:sz w:val="18"/>
    </w:rPr>
  </w:style>
  <w:style w:type="paragraph" w:styleId="1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page number"/>
    <w:basedOn w:val="19"/>
    <w:qFormat/>
    <w:uiPriority w:val="0"/>
  </w:style>
  <w:style w:type="character" w:styleId="22">
    <w:name w:val="FollowedHyperlink"/>
    <w:basedOn w:val="19"/>
    <w:qFormat/>
    <w:uiPriority w:val="0"/>
    <w:rPr>
      <w:color w:val="800080"/>
      <w:u w:val="none"/>
    </w:rPr>
  </w:style>
  <w:style w:type="character" w:styleId="23">
    <w:name w:val="Emphasis"/>
    <w:basedOn w:val="19"/>
    <w:qFormat/>
    <w:uiPriority w:val="0"/>
  </w:style>
  <w:style w:type="character" w:styleId="24">
    <w:name w:val="HTML Definition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unhideWhenUsed/>
    <w:qFormat/>
    <w:uiPriority w:val="0"/>
    <w:rPr>
      <w:color w:val="000000"/>
      <w:u w:val="none"/>
    </w:rPr>
  </w:style>
  <w:style w:type="character" w:styleId="27">
    <w:name w:val="HTML Cod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8">
    <w:name w:val="annotation reference"/>
    <w:basedOn w:val="19"/>
    <w:qFormat/>
    <w:uiPriority w:val="0"/>
    <w:rPr>
      <w:sz w:val="21"/>
      <w:szCs w:val="21"/>
    </w:rPr>
  </w:style>
  <w:style w:type="character" w:styleId="29">
    <w:name w:val="HTML Cite"/>
    <w:basedOn w:val="19"/>
    <w:qFormat/>
    <w:uiPriority w:val="0"/>
    <w:rPr>
      <w:color w:val="008000"/>
      <w:sz w:val="14"/>
      <w:szCs w:val="14"/>
    </w:rPr>
  </w:style>
  <w:style w:type="character" w:styleId="30">
    <w:name w:val="footnote reference"/>
    <w:basedOn w:val="19"/>
    <w:qFormat/>
    <w:uiPriority w:val="0"/>
    <w:rPr>
      <w:rFonts w:ascii="Calibri" w:hAnsi="Calibri" w:eastAsia="宋体"/>
      <w:vertAlign w:val="superscript"/>
    </w:rPr>
  </w:style>
  <w:style w:type="character" w:styleId="31">
    <w:name w:val="HTML Keyboard"/>
    <w:basedOn w:val="19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2">
    <w:name w:val="HTML Sampl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">
    <w:name w:val="标题 1 字符"/>
    <w:basedOn w:val="19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6">
    <w:name w:val="closeeye"/>
    <w:basedOn w:val="19"/>
    <w:qFormat/>
    <w:uiPriority w:val="0"/>
  </w:style>
  <w:style w:type="character" w:customStyle="1" w:styleId="37">
    <w:name w:val="openeye"/>
    <w:basedOn w:val="19"/>
    <w:qFormat/>
    <w:uiPriority w:val="0"/>
  </w:style>
  <w:style w:type="character" w:customStyle="1" w:styleId="38">
    <w:name w:val="remaintime"/>
    <w:basedOn w:val="19"/>
    <w:qFormat/>
    <w:uiPriority w:val="0"/>
    <w:rPr>
      <w:color w:val="000000"/>
      <w:shd w:val="clear" w:color="auto" w:fill="CACACA"/>
    </w:rPr>
  </w:style>
  <w:style w:type="character" w:customStyle="1" w:styleId="39">
    <w:name w:val="seepass"/>
    <w:basedOn w:val="19"/>
    <w:qFormat/>
    <w:uiPriority w:val="0"/>
  </w:style>
  <w:style w:type="character" w:customStyle="1" w:styleId="40">
    <w:name w:val="on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1">
    <w:name w:val="eyespan"/>
    <w:basedOn w:val="19"/>
    <w:qFormat/>
    <w:uiPriority w:val="0"/>
  </w:style>
  <w:style w:type="character" w:customStyle="1" w:styleId="42">
    <w:name w:val="hidepass"/>
    <w:basedOn w:val="19"/>
    <w:qFormat/>
    <w:uiPriority w:val="0"/>
  </w:style>
  <w:style w:type="character" w:customStyle="1" w:styleId="43">
    <w:name w:val="hover18"/>
    <w:basedOn w:val="19"/>
    <w:qFormat/>
    <w:uiPriority w:val="0"/>
    <w:rPr>
      <w:color w:val="FFFFFF"/>
      <w:shd w:val="clear" w:color="auto" w:fill="237EC7"/>
    </w:rPr>
  </w:style>
  <w:style w:type="character" w:customStyle="1" w:styleId="44">
    <w:name w:val="hover19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5">
    <w:name w:val="first-child"/>
    <w:basedOn w:val="19"/>
    <w:qFormat/>
    <w:uiPriority w:val="0"/>
  </w:style>
  <w:style w:type="character" w:customStyle="1" w:styleId="46">
    <w:name w:val="hover47"/>
    <w:basedOn w:val="19"/>
    <w:qFormat/>
    <w:uiPriority w:val="0"/>
    <w:rPr>
      <w:shd w:val="clear" w:color="auto" w:fill="1D50A2"/>
    </w:rPr>
  </w:style>
  <w:style w:type="character" w:customStyle="1" w:styleId="47">
    <w:name w:val="hover48"/>
    <w:basedOn w:val="19"/>
    <w:qFormat/>
    <w:uiPriority w:val="0"/>
    <w:rPr>
      <w:color w:val="1D50A2"/>
    </w:rPr>
  </w:style>
  <w:style w:type="character" w:customStyle="1" w:styleId="48">
    <w:name w:val="mip-carousel-current-indicator"/>
    <w:basedOn w:val="19"/>
    <w:qFormat/>
    <w:uiPriority w:val="0"/>
    <w:rPr>
      <w:shd w:val="clear" w:color="auto" w:fill="FF0000"/>
    </w:rPr>
  </w:style>
  <w:style w:type="character" w:customStyle="1" w:styleId="49">
    <w:name w:val="hover24"/>
    <w:basedOn w:val="19"/>
    <w:qFormat/>
    <w:uiPriority w:val="0"/>
    <w:rPr>
      <w:color w:val="315EFB"/>
    </w:rPr>
  </w:style>
  <w:style w:type="character" w:customStyle="1" w:styleId="50">
    <w:name w:val="hover25"/>
    <w:basedOn w:val="19"/>
    <w:qFormat/>
    <w:uiPriority w:val="0"/>
  </w:style>
  <w:style w:type="character" w:customStyle="1" w:styleId="51">
    <w:name w:val="c-icon28"/>
    <w:basedOn w:val="19"/>
    <w:qFormat/>
    <w:uiPriority w:val="0"/>
  </w:style>
  <w:style w:type="character" w:customStyle="1" w:styleId="52">
    <w:name w:val="pchide"/>
    <w:basedOn w:val="19"/>
    <w:qFormat/>
    <w:uiPriority w:val="0"/>
    <w:rPr>
      <w:color w:val="999999"/>
    </w:rPr>
  </w:style>
  <w:style w:type="character" w:customStyle="1" w:styleId="53">
    <w:name w:val="cur"/>
    <w:basedOn w:val="19"/>
    <w:qFormat/>
    <w:uiPriority w:val="0"/>
    <w:rPr>
      <w:color w:val="C40001"/>
    </w:rPr>
  </w:style>
  <w:style w:type="character" w:customStyle="1" w:styleId="54">
    <w:name w:val="cur1"/>
    <w:basedOn w:val="19"/>
    <w:qFormat/>
    <w:uiPriority w:val="0"/>
    <w:rPr>
      <w:color w:val="C40001"/>
    </w:rPr>
  </w:style>
  <w:style w:type="character" w:customStyle="1" w:styleId="55">
    <w:name w:val="zhankai"/>
    <w:basedOn w:val="19"/>
    <w:qFormat/>
    <w:uiPriority w:val="0"/>
  </w:style>
  <w:style w:type="character" w:customStyle="1" w:styleId="56">
    <w:name w:val="p90"/>
    <w:basedOn w:val="19"/>
    <w:qFormat/>
    <w:uiPriority w:val="0"/>
  </w:style>
  <w:style w:type="character" w:customStyle="1" w:styleId="57">
    <w:name w:val="last-child"/>
    <w:basedOn w:val="19"/>
    <w:qFormat/>
    <w:uiPriority w:val="0"/>
  </w:style>
  <w:style w:type="character" w:customStyle="1" w:styleId="58">
    <w:name w:val="last-child1"/>
    <w:basedOn w:val="19"/>
    <w:qFormat/>
    <w:uiPriority w:val="0"/>
  </w:style>
  <w:style w:type="character" w:customStyle="1" w:styleId="59">
    <w:name w:val="hover10"/>
    <w:basedOn w:val="19"/>
    <w:qFormat/>
    <w:uiPriority w:val="0"/>
    <w:rPr>
      <w:color w:val="C40001"/>
    </w:rPr>
  </w:style>
  <w:style w:type="character" w:customStyle="1" w:styleId="60">
    <w:name w:val="index-module_accountauthentication_3bwix"/>
    <w:basedOn w:val="19"/>
    <w:qFormat/>
    <w:uiPriority w:val="0"/>
  </w:style>
  <w:style w:type="character" w:customStyle="1" w:styleId="61">
    <w:name w:val="m01"/>
    <w:basedOn w:val="19"/>
    <w:qFormat/>
    <w:uiPriority w:val="0"/>
  </w:style>
  <w:style w:type="character" w:customStyle="1" w:styleId="62">
    <w:name w:val="m011"/>
    <w:basedOn w:val="19"/>
    <w:qFormat/>
    <w:uiPriority w:val="0"/>
  </w:style>
  <w:style w:type="character" w:customStyle="1" w:styleId="63">
    <w:name w:val="name"/>
    <w:basedOn w:val="19"/>
    <w:qFormat/>
    <w:uiPriority w:val="0"/>
    <w:rPr>
      <w:color w:val="6A6A6A"/>
      <w:u w:val="single"/>
    </w:rPr>
  </w:style>
  <w:style w:type="character" w:customStyle="1" w:styleId="64">
    <w:name w:val="more4"/>
    <w:basedOn w:val="19"/>
    <w:qFormat/>
    <w:uiPriority w:val="0"/>
    <w:rPr>
      <w:color w:val="666666"/>
      <w:sz w:val="14"/>
      <w:szCs w:val="14"/>
    </w:rPr>
  </w:style>
  <w:style w:type="character" w:customStyle="1" w:styleId="65">
    <w:name w:val="dates"/>
    <w:basedOn w:val="19"/>
    <w:qFormat/>
    <w:uiPriority w:val="0"/>
  </w:style>
  <w:style w:type="character" w:customStyle="1" w:styleId="66">
    <w:name w:val="bg02"/>
    <w:basedOn w:val="19"/>
    <w:qFormat/>
    <w:uiPriority w:val="0"/>
  </w:style>
  <w:style w:type="character" w:customStyle="1" w:styleId="67">
    <w:name w:val="tabg"/>
    <w:basedOn w:val="19"/>
    <w:qFormat/>
    <w:uiPriority w:val="0"/>
    <w:rPr>
      <w:color w:val="FFFFFF"/>
      <w:sz w:val="21"/>
      <w:szCs w:val="21"/>
    </w:rPr>
  </w:style>
  <w:style w:type="character" w:customStyle="1" w:styleId="68">
    <w:name w:val="bg01"/>
    <w:basedOn w:val="19"/>
    <w:qFormat/>
    <w:uiPriority w:val="0"/>
  </w:style>
  <w:style w:type="character" w:customStyle="1" w:styleId="69">
    <w:name w:val="font2"/>
    <w:basedOn w:val="19"/>
    <w:qFormat/>
    <w:uiPriority w:val="0"/>
  </w:style>
  <w:style w:type="character" w:customStyle="1" w:styleId="70">
    <w:name w:val="font3"/>
    <w:basedOn w:val="19"/>
    <w:qFormat/>
    <w:uiPriority w:val="0"/>
  </w:style>
  <w:style w:type="character" w:customStyle="1" w:styleId="71">
    <w:name w:val="laypage_curr"/>
    <w:basedOn w:val="19"/>
    <w:qFormat/>
    <w:uiPriority w:val="0"/>
    <w:rPr>
      <w:color w:val="FFFDF4"/>
      <w:shd w:val="clear" w:color="auto" w:fill="0B67A6"/>
    </w:rPr>
  </w:style>
  <w:style w:type="character" w:customStyle="1" w:styleId="72">
    <w:name w:val="place"/>
    <w:basedOn w:val="19"/>
    <w:qFormat/>
    <w:uiPriority w:val="0"/>
  </w:style>
  <w:style w:type="character" w:customStyle="1" w:styleId="73">
    <w:name w:val="place1"/>
    <w:basedOn w:val="19"/>
    <w:qFormat/>
    <w:uiPriority w:val="0"/>
  </w:style>
  <w:style w:type="character" w:customStyle="1" w:styleId="74">
    <w:name w:val="place2"/>
    <w:basedOn w:val="19"/>
    <w:qFormat/>
    <w:uiPriority w:val="0"/>
  </w:style>
  <w:style w:type="character" w:customStyle="1" w:styleId="75">
    <w:name w:val="place3"/>
    <w:basedOn w:val="19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6">
    <w:name w:val="noline"/>
    <w:basedOn w:val="19"/>
    <w:qFormat/>
    <w:uiPriority w:val="0"/>
  </w:style>
  <w:style w:type="character" w:customStyle="1" w:styleId="77">
    <w:name w:val="font"/>
    <w:basedOn w:val="19"/>
    <w:qFormat/>
    <w:uiPriority w:val="0"/>
  </w:style>
  <w:style w:type="character" w:customStyle="1" w:styleId="78">
    <w:name w:val="font1"/>
    <w:basedOn w:val="19"/>
    <w:qFormat/>
    <w:uiPriority w:val="0"/>
  </w:style>
  <w:style w:type="character" w:customStyle="1" w:styleId="79">
    <w:name w:val="gwds_nopic"/>
    <w:basedOn w:val="19"/>
    <w:qFormat/>
    <w:uiPriority w:val="0"/>
  </w:style>
  <w:style w:type="character" w:customStyle="1" w:styleId="80">
    <w:name w:val="gwds_nopic1"/>
    <w:basedOn w:val="19"/>
    <w:qFormat/>
    <w:uiPriority w:val="0"/>
  </w:style>
  <w:style w:type="character" w:customStyle="1" w:styleId="81">
    <w:name w:val="gwds_nopic2"/>
    <w:basedOn w:val="19"/>
    <w:qFormat/>
    <w:uiPriority w:val="0"/>
  </w:style>
  <w:style w:type="character" w:customStyle="1" w:styleId="82">
    <w:name w:val="hover20"/>
    <w:basedOn w:val="19"/>
    <w:qFormat/>
    <w:uiPriority w:val="0"/>
    <w:rPr>
      <w:color w:val="015293"/>
    </w:rPr>
  </w:style>
  <w:style w:type="paragraph" w:customStyle="1" w:styleId="83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4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5">
    <w:name w:val="页眉 字符"/>
    <w:basedOn w:val="19"/>
    <w:link w:val="1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6">
    <w:name w:val="页脚 字符"/>
    <w:basedOn w:val="19"/>
    <w:link w:val="1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8">
    <w:name w:val="批注文字 字符"/>
    <w:basedOn w:val="19"/>
    <w:link w:val="8"/>
    <w:qFormat/>
    <w:uiPriority w:val="0"/>
  </w:style>
  <w:style w:type="character" w:customStyle="1" w:styleId="89">
    <w:name w:val="批注主题 字符"/>
    <w:basedOn w:val="88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0">
    <w:name w:val="脚注文本 字符"/>
    <w:basedOn w:val="19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1">
    <w:name w:val="列表段落1"/>
    <w:basedOn w:val="1"/>
    <w:qFormat/>
    <w:uiPriority w:val="99"/>
    <w:pPr>
      <w:ind w:firstLine="420" w:firstLineChars="200"/>
    </w:pPr>
  </w:style>
  <w:style w:type="character" w:customStyle="1" w:styleId="92">
    <w:name w:val="font21"/>
    <w:basedOn w:val="1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3">
    <w:name w:val="MTEquationSection"/>
    <w:basedOn w:val="19"/>
    <w:qFormat/>
    <w:uiPriority w:val="0"/>
    <w:rPr>
      <w:rFonts w:ascii="黑体" w:hAnsi="黑体" w:eastAsia="黑体"/>
      <w:vanish/>
      <w:color w:val="FF0000"/>
    </w:rPr>
  </w:style>
  <w:style w:type="character" w:customStyle="1" w:styleId="94">
    <w:name w:val="dt-editor__word"/>
    <w:qFormat/>
    <w:uiPriority w:val="0"/>
  </w:style>
  <w:style w:type="table" w:customStyle="1" w:styleId="95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6">
    <w:name w:val="List Paragraph"/>
    <w:basedOn w:val="1"/>
    <w:qFormat/>
    <w:uiPriority w:val="99"/>
    <w:pPr>
      <w:ind w:firstLine="420" w:firstLineChars="200"/>
    </w:pPr>
  </w:style>
  <w:style w:type="paragraph" w:customStyle="1" w:styleId="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8">
    <w:name w:val="MTDisplayEquation"/>
    <w:basedOn w:val="1"/>
    <w:next w:val="1"/>
    <w:link w:val="99"/>
    <w:qFormat/>
    <w:uiPriority w:val="0"/>
    <w:pPr>
      <w:tabs>
        <w:tab w:val="center" w:pos="4320"/>
        <w:tab w:val="right" w:pos="8620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character" w:customStyle="1" w:styleId="99">
    <w:name w:val="MTDisplayEquation 字符"/>
    <w:basedOn w:val="19"/>
    <w:link w:val="98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0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1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2">
    <w:name w:val="批注框文本 字符"/>
    <w:basedOn w:val="19"/>
    <w:link w:val="1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3">
    <w:name w:val="标题 2 字符"/>
    <w:basedOn w:val="19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4">
    <w:name w:val="未处理的提及2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5">
    <w:name w:val="正文文本 字符"/>
    <w:basedOn w:val="19"/>
    <w:link w:val="10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7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8">
    <w:name w:val="3"/>
    <w:basedOn w:val="1"/>
    <w:next w:val="91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09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0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1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2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3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4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3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crecrs</cp:lastModifiedBy>
  <cp:lastPrinted>2023-06-28T09:19:00Z</cp:lastPrinted>
  <dcterms:modified xsi:type="dcterms:W3CDTF">2024-12-27T05:51:11Z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