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spacing w:line="240" w:lineRule="atLeast"/>
        <w:jc w:val="left"/>
        <w:rPr>
          <w:rFonts w:ascii="Times New Roman" w:hAnsi="Times New Roman" w:eastAsia="黑体" w:cs="Times New Roman"/>
          <w:color w:val="FF0000"/>
          <w:szCs w:val="21"/>
        </w:rPr>
      </w:pPr>
    </w:p>
    <w:p>
      <w:pPr>
        <w:rPr>
          <w:rFonts w:ascii="Times New Roman" w:hAnsi="Times New Roman" w:eastAsia="黑体" w:cs="Times New Roman"/>
          <w:color w:val="000000"/>
          <w:kern w:val="21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A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</w:t>
      </w:r>
      <w:r>
        <w:rPr>
          <w:rFonts w:ascii="Times New Roman" w:hAnsi="Times New Roman" w:eastAsia="黑体" w:cs="Times New Roman"/>
          <w:color w:val="000000" w:themeColor="text1"/>
          <w:position w:val="-12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7" o:spt="75" type="#_x0000_t75" style="height:20.85pt;width:14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黑体" w:cs="Times New Roman"/>
          <w:color w:val="000000" w:themeColor="text1"/>
          <w:position w:val="-12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8" o:spt="75" type="#_x0000_t75" style="height:20.85pt;width:14.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1">
            <o:LockedField>false</o:LockedField>
          </o:OLEObject>
        </w:object>
      </w:r>
    </w:p>
    <w:p>
      <w:pPr>
        <w:pStyle w:val="98"/>
        <w:keepNext w:val="0"/>
        <w:keepLines w:val="0"/>
        <w:pageBreakBefore w:val="0"/>
        <w:widowControl w:val="0"/>
        <w:tabs>
          <w:tab w:val="center" w:pos="4360"/>
          <w:tab w:val="right" w:pos="8300"/>
          <w:tab w:val="clear" w:pos="4320"/>
          <w:tab w:val="clear" w:pos="8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righ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47" o:spt="75" type="#_x0000_t75" style="height:36pt;width:364pt;" o:ole="t" filled="f" o:preferrelative="t" stroked="f" coordsize="21600,21600"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47" DrawAspect="Content" ObjectID="_1468075727" r:id="rId13">
            <o:LockedField>false</o:LockedField>
          </o:OLEObject>
        </w:objec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pStyle w:val="98"/>
        <w:keepNext w:val="0"/>
        <w:keepLines w:val="0"/>
        <w:pageBreakBefore w:val="0"/>
        <w:widowControl w:val="0"/>
        <w:tabs>
          <w:tab w:val="center" w:pos="4360"/>
          <w:tab w:val="right" w:pos="8300"/>
          <w:tab w:val="clear" w:pos="4320"/>
          <w:tab w:val="clear" w:pos="86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righ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30"/>
          <w14:textFill>
            <w14:solidFill>
              <w14:schemeClr w14:val="tx1"/>
            </w14:solidFill>
          </w14:textFill>
        </w:rPr>
        <w:object>
          <v:shape id="_x0000_i1048" o:spt="75" type="#_x0000_t75" style="height:36pt;width:364pt;" o:ole="t" filled="f" o:preferrelative="t" stroked="f" coordsize="21600,21600"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48" DrawAspect="Content" ObjectID="_1468075728" r:id="rId15">
            <o:LockedField>false</o:LockedField>
          </o:OLEObject>
        </w:objec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i w:val="0"/>
          <w:i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B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：制造业结构相似度计算方法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92" w:firstLineChars="200"/>
        <w:textAlignment w:val="auto"/>
        <w:rPr>
          <w:rFonts w:ascii="Times New Roman" w:hAnsi="Times New Roman" w:eastAsia="宋体" w:cs="Times New Roman"/>
          <w:color w:val="000000"/>
          <w:kern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毗邻区县与大城市的制造业结构相似度的计算公式如下：</w:t>
      </w:r>
    </w:p>
    <w:p>
      <w:pPr>
        <w:keepNext w:val="0"/>
        <w:keepLines w:val="0"/>
        <w:pageBreakBefore w:val="0"/>
        <w:widowControl w:val="0"/>
        <w:tabs>
          <w:tab w:val="center" w:pos="4360"/>
          <w:tab w:val="righ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92" w:leftChars="200" w:firstLine="198"/>
        <w:jc w:val="right"/>
        <w:textAlignment w:val="auto"/>
        <w:rPr>
          <w:rFonts w:ascii="仿宋_GB2312" w:hAnsi="等线" w:eastAsia="仿宋_GB2312" w:cs="仿宋_GB2312"/>
          <w:color w:val="000000"/>
          <w:kern w:val="21"/>
          <w:sz w:val="32"/>
          <w:szCs w:val="32"/>
          <w14:ligatures w14:val="none"/>
        </w:rPr>
      </w:pPr>
      <w:r>
        <w:rPr>
          <w:rFonts w:ascii="仿宋_GB2312" w:hAnsi="等线" w:eastAsia="仿宋_GB2312" w:cs="仿宋_GB2312"/>
          <w:color w:val="000000"/>
          <w:kern w:val="21"/>
          <w:sz w:val="32"/>
          <w:szCs w:val="32"/>
          <w14:ligatures w14:val="none"/>
        </w:rPr>
        <w:tab/>
      </w:r>
      <w:r>
        <w:rPr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31" o:spt="75" type="#_x0000_t75" style="height:38.35pt;width:202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17">
            <o:LockedField>false</o:LockedField>
          </o:OLEObject>
        </w:object>
      </w:r>
      <w:r>
        <w:rPr>
          <w:rFonts w:ascii="仿宋_GB2312" w:hAnsi="等线" w:eastAsia="仿宋_GB2312" w:cs="仿宋_GB2312"/>
          <w:color w:val="000000"/>
          <w:kern w:val="21"/>
          <w:sz w:val="32"/>
          <w:szCs w:val="32"/>
          <w14:ligatures w14:val="none"/>
        </w:rPr>
        <w:tab/>
      </w:r>
      <w:r>
        <w:rPr>
          <w:rFonts w:hint="eastAsia" w:ascii="Times New Roman" w:hAnsi="Times New Roman" w:eastAsia="仿宋_GB2312" w:cs="Times New Roman"/>
          <w:color w:val="000000"/>
          <w:kern w:val="21"/>
          <w:szCs w:val="21"/>
          <w14:ligatures w14:val="none"/>
        </w:rPr>
        <w:t>（</w:t>
      </w:r>
      <w:r>
        <w:rPr>
          <w:rFonts w:ascii="Times New Roman" w:hAnsi="Times New Roman" w:eastAsia="仿宋_GB2312" w:cs="Times New Roman"/>
          <w:color w:val="000000"/>
          <w:kern w:val="21"/>
          <w:szCs w:val="21"/>
          <w14:ligatures w14:val="none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21"/>
          <w:szCs w:val="21"/>
          <w14:ligatures w14:val="none"/>
        </w:rPr>
        <w:t>）</w:t>
      </w:r>
    </w:p>
    <w:p>
      <w:pPr>
        <w:snapToGrid w:val="0"/>
        <w:spacing w:line="240" w:lineRule="atLeast"/>
        <w:ind w:firstLine="392" w:firstLineChars="200"/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（</w:t>
      </w:r>
      <w:r>
        <w:rPr>
          <w:rFonts w:ascii="Times New Roman" w:hAnsi="Times New Roman" w:eastAsia="宋体" w:cs="Times New Roman"/>
          <w:color w:val="000000"/>
          <w:kern w:val="21"/>
          <w:szCs w:val="21"/>
          <w14:ligatures w14:val="none"/>
        </w:rPr>
        <w:t>9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）式中，</w:t>
      </w:r>
      <w:r>
        <w:rPr>
          <w:rFonts w:ascii="等线" w:hAnsi="等线" w:eastAsia="等线" w:cs="Times New Roman"/>
          <w:color w:val="000000"/>
          <w:kern w:val="21"/>
          <w:position w:val="-12"/>
        </w:rPr>
        <w:object>
          <v:shape id="_x0000_i1032" o:spt="75" type="#_x0000_t75" style="height:18.15pt;width:39.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代表大城市与毗邻区县的制造业结构相似度，</w:t>
      </w:r>
      <w:r>
        <w:rPr>
          <w:rFonts w:ascii="等线" w:hAnsi="等线" w:eastAsia="等线" w:cs="Times New Roman"/>
          <w:color w:val="000000"/>
          <w:kern w:val="21"/>
          <w:position w:val="-14"/>
        </w:rPr>
        <w:object>
          <v:shape id="_x0000_i1033" o:spt="75" type="#_x0000_t75" style="height:20.85pt;width:57.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代表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34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2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区县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35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3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年制造业</w:t>
      </w:r>
      <w:r>
        <w:rPr>
          <w:rFonts w:ascii="Times New Roman" w:hAnsi="Times New Roman" w:eastAsia="宋体" w:cs="Times New Roman"/>
          <w:color w:val="000000"/>
          <w:kern w:val="21"/>
          <w:position w:val="-10"/>
          <w:szCs w:val="21"/>
        </w:rPr>
        <w:object>
          <v:shape id="_x0000_i1036" o:spt="75" type="#_x0000_t75" style="height:14.8pt;width:8.0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4" r:id="rId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行业注册企业总数，</w:t>
      </w:r>
      <w:r>
        <w:rPr>
          <w:rFonts w:ascii="等线" w:hAnsi="等线" w:eastAsia="等线" w:cs="Times New Roman"/>
          <w:color w:val="000000"/>
          <w:kern w:val="21"/>
          <w:position w:val="-12"/>
        </w:rPr>
        <w:object>
          <v:shape id="_x0000_i1037" o:spt="75" type="#_x0000_t75" style="height:18.15pt;width:54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则为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49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9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区县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50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50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年全部制造业行业注册企业总数。</w:t>
      </w:r>
      <w:r>
        <w:rPr>
          <w:rFonts w:ascii="等线" w:hAnsi="等线" w:eastAsia="等线" w:cs="Times New Roman"/>
          <w:color w:val="000000"/>
          <w:kern w:val="21"/>
          <w:position w:val="-14"/>
        </w:rPr>
        <w:object>
          <v:shape id="_x0000_i1038" o:spt="75" type="#_x0000_t75" style="height:20.85pt;width:57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代表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39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年与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40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区县距离最近的大城市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41" o:spt="75" type="#_x0000_t75" style="height:14.8pt;width:13.4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制造业</w:t>
      </w:r>
      <w:r>
        <w:rPr>
          <w:rFonts w:ascii="Times New Roman" w:hAnsi="Times New Roman" w:eastAsia="宋体" w:cs="Times New Roman"/>
          <w:color w:val="000000"/>
          <w:kern w:val="21"/>
          <w:position w:val="-10"/>
          <w:szCs w:val="21"/>
        </w:rPr>
        <w:object>
          <v:shape id="_x0000_i1042" o:spt="75" type="#_x0000_t75" style="height:14.8pt;width:8.0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行业的注册企</w:t>
      </w:r>
      <w:bookmarkStart w:id="3" w:name="_GoBack"/>
      <w:bookmarkEnd w:id="3"/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业总数，</w:t>
      </w:r>
      <w:r>
        <w:rPr>
          <w:rFonts w:ascii="等线" w:hAnsi="等线" w:eastAsia="等线" w:cs="Times New Roman"/>
          <w:color w:val="000000"/>
          <w:kern w:val="21"/>
          <w:position w:val="-12"/>
        </w:rPr>
        <w:object>
          <v:shape id="_x0000_i1043" o:spt="75" type="#_x0000_t75" style="height:18.15pt;width:57.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则为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44" o:spt="75" type="#_x0000_t75" style="height:13.45pt;width:6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年大城市</w:t>
      </w:r>
      <w:r>
        <w:rPr>
          <w:rFonts w:ascii="Times New Roman" w:hAnsi="Times New Roman" w:eastAsia="宋体" w:cs="Times New Roman"/>
          <w:color w:val="000000"/>
          <w:kern w:val="21"/>
          <w:position w:val="-6"/>
          <w:szCs w:val="21"/>
        </w:rPr>
        <w:object>
          <v:shape id="_x0000_i1045" o:spt="75" type="#_x0000_t75" style="height:14.8pt;width:13.4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全部制造业行业注册企业总数。毗邻区县更有可能与其距离较近的区县进行产业链分工，</w:t>
      </w:r>
      <w:r>
        <w:rPr>
          <w:rFonts w:ascii="等线" w:hAnsi="等线" w:eastAsia="等线" w:cs="Times New Roman"/>
          <w:color w:val="000000"/>
          <w:kern w:val="21"/>
          <w:position w:val="-12"/>
        </w:rPr>
        <w:object>
          <v:shape id="_x0000_i1046" o:spt="75" type="#_x0000_t75" style="height:18.15pt;width:39.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eastAsia="黑体"/>
          <w:color w:val="000000"/>
          <w:kern w:val="21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大意味着产业结构差异越大，反之则意味二者具有较为相似的产业结构。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C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：上市公司特征的控制变量设置和描述性统计</w:t>
      </w:r>
    </w:p>
    <w:p>
      <w:pPr>
        <w:tabs>
          <w:tab w:val="center" w:pos="4253"/>
        </w:tabs>
        <w:spacing w:line="240" w:lineRule="atLeast"/>
        <w:ind w:firstLine="332" w:firstLineChars="200"/>
        <w:rPr>
          <w:rFonts w:eastAsia="黑体"/>
          <w:color w:val="000000"/>
          <w:kern w:val="21"/>
          <w:sz w:val="18"/>
          <w:szCs w:val="18"/>
        </w:rPr>
      </w:pPr>
      <w:r>
        <w:rPr>
          <w:rFonts w:hint="eastAsia" w:eastAsia="黑体"/>
          <w:color w:val="000000"/>
          <w:kern w:val="21"/>
          <w:sz w:val="18"/>
          <w:szCs w:val="18"/>
        </w:rPr>
        <w:t>附</w:t>
      </w:r>
      <w:r>
        <w:rPr>
          <w:rFonts w:eastAsia="黑体"/>
          <w:color w:val="000000"/>
          <w:kern w:val="21"/>
          <w:sz w:val="18"/>
          <w:szCs w:val="18"/>
        </w:rPr>
        <w:t>表</w:t>
      </w:r>
      <w:r>
        <w:rPr>
          <w:rFonts w:eastAsia="黑体"/>
          <w:color w:val="000000"/>
          <w:kern w:val="21"/>
          <w:sz w:val="18"/>
          <w:szCs w:val="18"/>
        </w:rPr>
        <w:fldChar w:fldCharType="begin"/>
      </w:r>
      <w:r>
        <w:rPr>
          <w:rFonts w:eastAsia="黑体"/>
          <w:color w:val="000000"/>
          <w:kern w:val="21"/>
          <w:sz w:val="18"/>
          <w:szCs w:val="18"/>
        </w:rPr>
        <w:instrText xml:space="preserve"> SEQ 表 \* ARABIC </w:instrText>
      </w:r>
      <w:r>
        <w:rPr>
          <w:rFonts w:eastAsia="黑体"/>
          <w:color w:val="000000"/>
          <w:kern w:val="21"/>
          <w:sz w:val="18"/>
          <w:szCs w:val="18"/>
        </w:rPr>
        <w:fldChar w:fldCharType="separate"/>
      </w:r>
      <w:r>
        <w:rPr>
          <w:rFonts w:eastAsia="黑体"/>
          <w:color w:val="000000"/>
          <w:kern w:val="21"/>
          <w:sz w:val="18"/>
          <w:szCs w:val="18"/>
        </w:rPr>
        <w:t>1</w:t>
      </w:r>
      <w:r>
        <w:rPr>
          <w:rFonts w:eastAsia="黑体"/>
          <w:color w:val="000000"/>
          <w:kern w:val="21"/>
          <w:sz w:val="18"/>
          <w:szCs w:val="18"/>
        </w:rPr>
        <w:fldChar w:fldCharType="end"/>
      </w:r>
      <w:r>
        <w:rPr>
          <w:rFonts w:eastAsia="黑体"/>
          <w:color w:val="000000"/>
          <w:kern w:val="21"/>
          <w:sz w:val="18"/>
          <w:szCs w:val="18"/>
        </w:rPr>
        <w:tab/>
      </w:r>
      <w:r>
        <w:rPr>
          <w:rFonts w:hint="eastAsia" w:eastAsia="黑体"/>
          <w:color w:val="000000"/>
          <w:kern w:val="21"/>
          <w:sz w:val="18"/>
          <w:szCs w:val="18"/>
        </w:rPr>
        <w:t>机制分析控制变量描述性统计</w:t>
      </w:r>
    </w:p>
    <w:tbl>
      <w:tblPr>
        <w:tblStyle w:val="115"/>
        <w:tblW w:w="8672" w:type="dxa"/>
        <w:jc w:val="center"/>
        <w:tblInd w:w="0" w:type="dxa"/>
        <w:tblBorders>
          <w:top w:val="single" w:color="7E7E7E" w:sz="4" w:space="0"/>
          <w:left w:val="none" w:color="auto" w:sz="0" w:space="0"/>
          <w:bottom w:val="single" w:color="7E7E7E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907"/>
        <w:gridCol w:w="968"/>
        <w:gridCol w:w="968"/>
        <w:gridCol w:w="968"/>
        <w:gridCol w:w="969"/>
      </w:tblGrid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变量名称</w:t>
            </w:r>
          </w:p>
        </w:tc>
        <w:tc>
          <w:tcPr>
            <w:tcW w:w="290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变量含义</w:t>
            </w:r>
          </w:p>
        </w:tc>
        <w:tc>
          <w:tcPr>
            <w:tcW w:w="9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均值</w:t>
            </w:r>
          </w:p>
        </w:tc>
        <w:tc>
          <w:tcPr>
            <w:tcW w:w="96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标准差</w:t>
            </w:r>
          </w:p>
        </w:tc>
        <w:tc>
          <w:tcPr>
            <w:tcW w:w="96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最小值</w:t>
            </w:r>
          </w:p>
        </w:tc>
        <w:tc>
          <w:tcPr>
            <w:tcW w:w="96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最大值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负债水平</w:t>
            </w:r>
          </w:p>
        </w:tc>
        <w:tc>
          <w:tcPr>
            <w:tcW w:w="2907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总负债</w:t>
            </w:r>
            <w:r>
              <w:rPr>
                <w:rFonts w:hint="eastAsia" w:ascii="宋体" w:hAnsi="宋体" w:eastAsia="宋体" w:cs="宋体"/>
                <w:color w:val="000000"/>
                <w:kern w:val="21"/>
                <w:sz w:val="18"/>
                <w:szCs w:val="18"/>
                <w14:ligatures w14:val="standardContextual"/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总资产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0.53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0.21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2.53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公司规模</w:t>
            </w:r>
          </w:p>
        </w:tc>
        <w:tc>
          <w:tcPr>
            <w:tcW w:w="290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总资产的对数</w:t>
            </w:r>
          </w:p>
        </w:tc>
        <w:tc>
          <w:tcPr>
            <w:tcW w:w="96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23.39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1.72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14.94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31.04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盈利能力</w:t>
            </w:r>
          </w:p>
        </w:tc>
        <w:tc>
          <w:tcPr>
            <w:tcW w:w="290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净利润</w:t>
            </w:r>
            <w:r>
              <w:rPr>
                <w:rFonts w:hint="eastAsia" w:ascii="宋体" w:hAnsi="宋体" w:eastAsia="宋体" w:cs="宋体"/>
                <w:color w:val="000000"/>
                <w:kern w:val="21"/>
                <w:sz w:val="18"/>
                <w:szCs w:val="18"/>
                <w14:ligatures w14:val="standardContextual"/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年初与年末平均总资产</w:t>
            </w:r>
          </w:p>
        </w:tc>
        <w:tc>
          <w:tcPr>
            <w:tcW w:w="96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0.59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0.26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公司成长性</w:t>
            </w:r>
          </w:p>
        </w:tc>
        <w:tc>
          <w:tcPr>
            <w:tcW w:w="2907" w:type="dxa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（当年营业收入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−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上年营业收入）</w:t>
            </w:r>
            <w:r>
              <w:rPr>
                <w:rFonts w:hint="eastAsia" w:ascii="宋体" w:hAnsi="宋体" w:eastAsia="宋体" w:cs="宋体"/>
                <w:color w:val="000000"/>
                <w:kern w:val="21"/>
                <w:sz w:val="18"/>
                <w:szCs w:val="18"/>
                <w14:ligatures w14:val="standardContextual"/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上年营业收入</w:t>
            </w:r>
          </w:p>
        </w:tc>
        <w:tc>
          <w:tcPr>
            <w:tcW w:w="96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12.75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1040.74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134607.1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/>
        <w:textAlignment w:val="auto"/>
        <w:rPr>
          <w:rFonts w:hint="default" w:ascii="Times New Roman" w:hAnsi="Times New Roman" w:eastAsia="黑体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黑体" w:cs="Times New Roman"/>
          <w:sz w:val="18"/>
          <w:szCs w:val="18"/>
          <w:lang w:val="en-US" w:eastAsia="zh-CN"/>
        </w:rPr>
        <w:t>附表1（续）</w:t>
      </w:r>
    </w:p>
    <w:tbl>
      <w:tblPr>
        <w:tblStyle w:val="115"/>
        <w:tblW w:w="8672" w:type="dxa"/>
        <w:jc w:val="center"/>
        <w:tblInd w:w="0" w:type="dxa"/>
        <w:tblBorders>
          <w:top w:val="single" w:color="7E7E7E" w:sz="4" w:space="0"/>
          <w:left w:val="none" w:color="auto" w:sz="0" w:space="0"/>
          <w:bottom w:val="single" w:color="7E7E7E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907"/>
        <w:gridCol w:w="968"/>
        <w:gridCol w:w="968"/>
        <w:gridCol w:w="968"/>
        <w:gridCol w:w="969"/>
      </w:tblGrid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资产周转率</w:t>
            </w:r>
          </w:p>
        </w:tc>
        <w:tc>
          <w:tcPr>
            <w:tcW w:w="2907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营业收入</w:t>
            </w:r>
            <w:r>
              <w:rPr>
                <w:rFonts w:hint="eastAsia" w:ascii="宋体" w:hAnsi="宋体" w:eastAsia="宋体" w:cs="宋体"/>
                <w:color w:val="000000"/>
                <w:kern w:val="21"/>
                <w:sz w:val="18"/>
                <w:szCs w:val="18"/>
                <w14:ligatures w14:val="standardContextual"/>
              </w:rPr>
              <w:t>/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总资产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0.68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0.67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11.42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第一大股东持股比例</w:t>
            </w:r>
          </w:p>
        </w:tc>
        <w:tc>
          <w:tcPr>
            <w:tcW w:w="290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第一大股东持股比例（%）</w:t>
            </w:r>
          </w:p>
        </w:tc>
        <w:tc>
          <w:tcPr>
            <w:tcW w:w="968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36.76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16.09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89.09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892" w:type="dxa"/>
            <w:tcBorders>
              <w:top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股权性质</w:t>
            </w:r>
          </w:p>
        </w:tc>
        <w:tc>
          <w:tcPr>
            <w:tcW w:w="2907" w:type="dxa"/>
            <w:tcBorders>
              <w:top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当上市公司最终控制人是国有企业时，取值为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，否则取值为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standardContextual"/>
              </w:rPr>
              <w:t>0</w:t>
            </w:r>
          </w:p>
        </w:tc>
        <w:tc>
          <w:tcPr>
            <w:tcW w:w="968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0.51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0.50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  <w:lang w:eastAsia="zh-CN"/>
        </w:rPr>
      </w:pP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注：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①上述控制变量设置主要参考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参考马光荣和程小萌（2022）的做法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；②所有控制变量均为母公司（上市公司）变量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附录D：平行趋势检验和安慰剂检验</w:t>
      </w:r>
    </w:p>
    <w:p>
      <w:pPr>
        <w:adjustRightInd w:val="0"/>
        <w:snapToGrid w:val="0"/>
        <w:spacing w:line="36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778250" cy="2748915"/>
            <wp:effectExtent l="0" t="0" r="12700" b="13335"/>
            <wp:docPr id="2126480794" name="图片 2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480794" name="图片 2" descr="图表, 折线图&#10;&#10;描述已自动生成"/>
                    <pic:cNvPicPr>
                      <a:picLocks noChangeAspect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250" cy="274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01110" cy="2764155"/>
            <wp:effectExtent l="0" t="0" r="8890" b="17145"/>
            <wp:docPr id="644277580" name="图片 1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277580" name="图片 1" descr="图表, 折线图&#10;&#10;描述已自动生成"/>
                    <pic:cNvPicPr>
                      <a:picLocks noChangeAspect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276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81045" cy="2385695"/>
            <wp:effectExtent l="0" t="0" r="14605" b="14605"/>
            <wp:docPr id="1678935865" name="图片 4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935865" name="图片 4" descr="图表&#10;&#10;描述已自动生成"/>
                    <pic:cNvPicPr>
                      <a:picLocks noChangeAspect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045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ind w:firstLine="0"/>
        <w:jc w:val="center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附</w: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图</w: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instrText xml:space="preserve"> SEQ 图 \* ARABIC </w:instrTex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平行趋势检验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315335" cy="2412365"/>
            <wp:effectExtent l="0" t="0" r="18415" b="6985"/>
            <wp:docPr id="416146334" name="图片 4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146334" name="图片 4" descr="图表, 直方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335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314700" cy="2413000"/>
            <wp:effectExtent l="0" t="0" r="0" b="6350"/>
            <wp:docPr id="1155555650" name="图片 5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55650" name="图片 5" descr="图表, 直方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32505" cy="2570480"/>
            <wp:effectExtent l="0" t="0" r="10795" b="1270"/>
            <wp:docPr id="1281072761" name="图片 6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072761" name="图片 6" descr="图表, 直方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2505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ind w:firstLine="0"/>
        <w:jc w:val="center"/>
        <w:textAlignment w:val="auto"/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</w:pPr>
      <w:r>
        <w:rPr>
          <w:rFonts w:hint="eastAsia"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附图</w: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instrText xml:space="preserve"> SEQ </w:instrText>
      </w:r>
      <w:r>
        <w:rPr>
          <w:rFonts w:hint="eastAsia"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instrText xml:space="preserve">图</w:instrTex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instrText xml:space="preserve"> \* ARABIC </w:instrTex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 w:cstheme="minorBidi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theme="minorBid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安慰剂检验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E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：稳健性检验和排他性检验结果</w:t>
      </w:r>
    </w:p>
    <w:p>
      <w:pPr>
        <w:tabs>
          <w:tab w:val="center" w:pos="4253"/>
        </w:tabs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附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>表2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ab/>
      </w: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稳健性检验和排他性检验结果</w:t>
      </w:r>
    </w:p>
    <w:tbl>
      <w:tblPr>
        <w:tblStyle w:val="34"/>
        <w:tblW w:w="8679" w:type="dxa"/>
        <w:jc w:val="center"/>
        <w:tblInd w:w="62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73"/>
        <w:gridCol w:w="1086"/>
        <w:gridCol w:w="1087"/>
        <w:gridCol w:w="1086"/>
        <w:gridCol w:w="1087"/>
        <w:gridCol w:w="1086"/>
        <w:gridCol w:w="1087"/>
        <w:gridCol w:w="1087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restart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086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落户门槛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指数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城区人口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规模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剔除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直辖市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5%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样本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缩尾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城市聚类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稳健标准误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排除其他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政策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排除房价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波动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restart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第二产业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增加值</w:t>
            </w:r>
          </w:p>
        </w:tc>
        <w:tc>
          <w:tcPr>
            <w:tcW w:w="1086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0.1637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0.1165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0.1434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0.1096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0.0957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0.0945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0.1212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continue"/>
            <w:tcBorders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0.0447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0.0560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0.0337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0.0252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0.0370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0.0243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0.0263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restart"/>
            <w:tcBorders>
              <w:top w:val="nil"/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第二产业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增加值占比</w:t>
            </w:r>
          </w:p>
        </w:tc>
        <w:tc>
          <w:tcPr>
            <w:tcW w:w="108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0.0291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0.0300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0.0227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0.0179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0.0214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0.0229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0.0293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continue"/>
            <w:tcBorders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0.0085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0.0129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0.0072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0.0050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0.0073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0.0058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0.0067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restart"/>
            <w:tcBorders>
              <w:top w:val="nil"/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第二产业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就业人员</w:t>
            </w:r>
          </w:p>
        </w:tc>
        <w:tc>
          <w:tcPr>
            <w:tcW w:w="108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0.1516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0.0182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0.1698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0.1151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0.1676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0.1710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0.1536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  <w:jc w:val="center"/>
        </w:trPr>
        <w:tc>
          <w:tcPr>
            <w:tcW w:w="1073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0.0701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0.0489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0.0734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0.0343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0.0631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0.0584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0.0562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注：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①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***、**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表示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1%、5%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10%的置信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性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水平；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②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括号内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为聚类稳健标准误；③区县</w:t>
      </w:r>
      <w:r>
        <w:rPr>
          <w:rFonts w:hint="eastAsia" w:ascii="宋体" w:hAnsi="宋体" w:eastAsia="宋体" w:cs="宋体"/>
          <w:color w:val="000000"/>
          <w:kern w:val="21"/>
          <w:sz w:val="18"/>
          <w:szCs w:val="18"/>
        </w:rPr>
        <w:t>－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年份交互固定效应和区县固定效应均已控制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tabs>
          <w:tab w:val="center" w:pos="42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F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：高铁开通的调节效应</w:t>
      </w:r>
    </w:p>
    <w:p>
      <w:pPr>
        <w:tabs>
          <w:tab w:val="center" w:pos="4253"/>
        </w:tabs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附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>表3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ab/>
      </w: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调节效应估计结果：高铁开通</w:t>
      </w:r>
    </w:p>
    <w:tbl>
      <w:tblPr>
        <w:tblStyle w:val="115"/>
        <w:tblW w:w="8675" w:type="dxa"/>
        <w:jc w:val="center"/>
        <w:tblInd w:w="0" w:type="dxa"/>
        <w:tblBorders>
          <w:top w:val="single" w:color="7E7E7E" w:sz="4" w:space="0"/>
          <w:left w:val="none" w:color="auto" w:sz="0" w:space="0"/>
          <w:bottom w:val="single" w:color="7E7E7E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379"/>
        <w:gridCol w:w="1487"/>
        <w:gridCol w:w="1485"/>
        <w:gridCol w:w="1489"/>
      </w:tblGrid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2866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2974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28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第二产业增加值</w:t>
            </w:r>
          </w:p>
        </w:tc>
        <w:tc>
          <w:tcPr>
            <w:tcW w:w="29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第二产业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增加值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占比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系数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标准误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系数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标准误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毗邻区县×时间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0.2427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0.0285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0.0254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0.0049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高铁是否开通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0.1543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0.0158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0.0171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0.0029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毗邻区县×时间×高铁是否开通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0.1982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0.0321</w:t>
            </w:r>
          </w:p>
        </w:tc>
        <w:tc>
          <w:tcPr>
            <w:tcW w:w="148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0.0111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48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0.0053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/>
        <w:textAlignment w:val="auto"/>
        <w:rPr>
          <w:rFonts w:hint="default" w:ascii="Times New Roman" w:hAnsi="Times New Roman" w:eastAsia="黑体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黑体" w:cs="Times New Roman"/>
          <w:sz w:val="18"/>
          <w:szCs w:val="18"/>
          <w:lang w:val="en-US" w:eastAsia="zh-CN"/>
        </w:rPr>
        <w:t>附表3（续）</w:t>
      </w:r>
    </w:p>
    <w:tbl>
      <w:tblPr>
        <w:tblStyle w:val="115"/>
        <w:tblW w:w="8675" w:type="dxa"/>
        <w:jc w:val="center"/>
        <w:tblInd w:w="0" w:type="dxa"/>
        <w:tblBorders>
          <w:top w:val="single" w:color="7E7E7E" w:sz="4" w:space="0"/>
          <w:left w:val="none" w:color="auto" w:sz="0" w:space="0"/>
          <w:bottom w:val="single" w:color="7E7E7E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66"/>
        <w:gridCol w:w="2974"/>
      </w:tblGrid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28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5813</w:t>
            </w: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5744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835" w:type="dxa"/>
            <w:tcBorders>
              <w:top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b/>
                <w:bCs/>
                <w:i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iCs/>
                <w:color w:val="000000"/>
                <w:kern w:val="21"/>
                <w:sz w:val="18"/>
                <w:szCs w:val="18"/>
                <w14:ligatures w14:val="none"/>
              </w:rPr>
              <w:t>R</w:t>
            </w:r>
            <w:r>
              <w:rPr>
                <w:rFonts w:ascii="Times New Roman" w:hAnsi="Times New Roman" w:eastAsia="宋体" w:cs="Times New Roman"/>
                <w:iCs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2866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0.9651</w:t>
            </w:r>
          </w:p>
        </w:tc>
        <w:tc>
          <w:tcPr>
            <w:tcW w:w="297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0.9478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注：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①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***、**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表示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1%、5%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10%的置信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性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水平；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②标准误为聚类稳健标准误；③区县</w:t>
      </w:r>
      <w:r>
        <w:rPr>
          <w:rFonts w:hint="eastAsia" w:ascii="宋体" w:hAnsi="宋体" w:eastAsia="宋体" w:cs="宋体"/>
          <w:color w:val="000000"/>
          <w:kern w:val="21"/>
          <w:sz w:val="18"/>
          <w:szCs w:val="18"/>
        </w:rPr>
        <w:t>－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年份交互固定效应和区县固定效应均已控制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tabs>
          <w:tab w:val="center" w:pos="42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G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：制造业结构相似度的调节效应</w:t>
      </w:r>
    </w:p>
    <w:p>
      <w:pPr>
        <w:tabs>
          <w:tab w:val="center" w:pos="4253"/>
        </w:tabs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附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>表4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ab/>
      </w: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调节效应估计结果：制造业结构相似度</w:t>
      </w:r>
    </w:p>
    <w:tbl>
      <w:tblPr>
        <w:tblStyle w:val="115"/>
        <w:tblW w:w="8633" w:type="dxa"/>
        <w:jc w:val="center"/>
        <w:tblInd w:w="0" w:type="dxa"/>
        <w:tblBorders>
          <w:top w:val="single" w:color="7E7E7E" w:sz="4" w:space="0"/>
          <w:left w:val="none" w:color="auto" w:sz="0" w:space="0"/>
          <w:bottom w:val="single" w:color="7E7E7E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1208"/>
        <w:gridCol w:w="1627"/>
        <w:gridCol w:w="1243"/>
        <w:gridCol w:w="1436"/>
      </w:tblGrid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2679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第二产业增加值</w:t>
            </w:r>
          </w:p>
        </w:tc>
        <w:tc>
          <w:tcPr>
            <w:tcW w:w="267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第二产业增加值占比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系数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标准误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系数</w:t>
            </w: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标准误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毗邻区县×时间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0.1545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0.0414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0.0327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143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0.0070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制造业结构匹配度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0.0191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0.0302</w:t>
            </w:r>
          </w:p>
        </w:tc>
        <w:tc>
          <w:tcPr>
            <w:tcW w:w="124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0.0048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0.0053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毗邻区县×时间×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制造业结构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相似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度</w:t>
            </w:r>
          </w:p>
        </w:tc>
        <w:tc>
          <w:tcPr>
            <w:tcW w:w="120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等线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0.1069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21"/>
                <w:sz w:val="18"/>
                <w:szCs w:val="18"/>
                <w14:ligatures w14:val="none"/>
              </w:rPr>
              <w:t>0.0622</w:t>
            </w:r>
          </w:p>
        </w:tc>
        <w:tc>
          <w:tcPr>
            <w:tcW w:w="12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等线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0.0226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21"/>
                <w:sz w:val="18"/>
                <w:szCs w:val="18"/>
                <w14:ligatures w14:val="none"/>
              </w:rPr>
              <w:t>0.0110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tcBorders>
              <w:top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5676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5607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119" w:type="dxa"/>
            <w:tcBorders>
              <w:top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hAnsi="Times New Roman" w:eastAsia="宋体" w:cs="Times New Roman"/>
                <w:i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iCs/>
                <w:color w:val="000000"/>
                <w:kern w:val="21"/>
                <w:sz w:val="18"/>
                <w:szCs w:val="18"/>
                <w14:ligatures w14:val="none"/>
              </w:rPr>
              <w:t>R</w:t>
            </w:r>
            <w:r>
              <w:rPr>
                <w:rFonts w:ascii="Times New Roman" w:hAnsi="Times New Roman" w:eastAsia="宋体" w:cs="Times New Roman"/>
                <w:iCs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0.9670</w:t>
            </w:r>
          </w:p>
        </w:tc>
        <w:tc>
          <w:tcPr>
            <w:tcW w:w="2679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0.9502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注：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①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***、**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表示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1%、5%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10%的置信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性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水平；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②标准误为聚类稳健标准误；③区县</w:t>
      </w:r>
      <w:r>
        <w:rPr>
          <w:rFonts w:hint="eastAsia" w:ascii="宋体" w:hAnsi="宋体" w:eastAsia="宋体" w:cs="宋体"/>
          <w:color w:val="000000"/>
          <w:kern w:val="21"/>
          <w:sz w:val="18"/>
          <w:szCs w:val="18"/>
        </w:rPr>
        <w:t>－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年份交互固定效应和区县固定效应均已控制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H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：不同要素密集型制造业分类</w:t>
      </w:r>
    </w:p>
    <w:p>
      <w:pPr>
        <w:ind w:firstLine="392" w:firstLineChars="200"/>
        <w:rPr>
          <w:rFonts w:ascii="Times New Roman" w:hAnsi="Times New Roman" w:eastAsia="宋体" w:cs="Times New Roman"/>
          <w:color w:val="000000"/>
          <w:kern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劳动密集型制造业包括农副食品加工业、食品制造业、纺织业、纺织服装与服饰业、皮革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毛皮、羽毛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及其制品和制鞋业、木材加工和木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竹、藤、棕、草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制品业、家具制造业、印刷和记录媒介复制业、文教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工美、体育和娱乐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用品制造业、橡胶和塑料制品业、非金属矿物制品业、金属制品业、其他制造业、废弃资源综合利用业、金属制品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机械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和设备修理业。非劳动密集型制造业包括资本密集型制造业和技术密集型制造业。其中，资本密集型制造业包括酒与饮料及精制茶制造业、烟草制品业、造纸和纸制品业、石油加工和炼焦及核燃料加工业、化学原料和化学制品制造业、化学纤维制造业、黑色金属冶炼和压延加工业、有色金属冶炼和压延加工业、通用设备制造业。技术密集型制造业包括医药制造业、专用设备制造业、汽车制造业、铁路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船舶、航空航天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和其他运输设备制造业、电气机械和器材制造业、计算机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通信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:lang w:eastAsia="zh-CN"/>
          <w14:ligatures w14:val="none"/>
        </w:rPr>
        <w:t>）</w:t>
      </w:r>
      <w:r>
        <w:rPr>
          <w:rFonts w:hint="eastAsia" w:ascii="Times New Roman" w:hAnsi="Times New Roman" w:eastAsia="宋体" w:cs="Times New Roman"/>
          <w:color w:val="000000"/>
          <w:kern w:val="21"/>
          <w:szCs w:val="21"/>
          <w14:ligatures w14:val="none"/>
        </w:rPr>
        <w:t>和其他电子设备制造业通信电子、仪器仪表制造业。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I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：不同行业的异质性</w:t>
      </w:r>
    </w:p>
    <w:p>
      <w:pPr>
        <w:tabs>
          <w:tab w:val="center" w:pos="4253"/>
        </w:tabs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bookmarkStart w:id="1" w:name="OLE_LINK40"/>
      <w:bookmarkStart w:id="2" w:name="OLE_LINK39"/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附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>表5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ab/>
      </w: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异质性估计结果：不同行业</w:t>
      </w:r>
    </w:p>
    <w:tbl>
      <w:tblPr>
        <w:tblStyle w:val="34"/>
        <w:tblW w:w="8610" w:type="dxa"/>
        <w:jc w:val="center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391"/>
        <w:gridCol w:w="1604"/>
        <w:gridCol w:w="1385"/>
        <w:gridCol w:w="2031"/>
        <w:gridCol w:w="2199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7" w:hRule="atLeast"/>
          <w:jc w:val="center"/>
        </w:trPr>
        <w:tc>
          <w:tcPr>
            <w:tcW w:w="1391" w:type="dxa"/>
            <w:vMerge w:val="restart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</w:p>
        </w:tc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  <w:tc>
          <w:tcPr>
            <w:tcW w:w="1385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  <w:tc>
          <w:tcPr>
            <w:tcW w:w="2031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3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  <w:tc>
          <w:tcPr>
            <w:tcW w:w="2199" w:type="dxa"/>
            <w:tcBorders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4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7" w:hRule="atLeast"/>
          <w:jc w:val="center"/>
        </w:trPr>
        <w:tc>
          <w:tcPr>
            <w:tcW w:w="1391" w:type="dxa"/>
            <w:vMerge w:val="continue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</w:p>
        </w:tc>
        <w:tc>
          <w:tcPr>
            <w:tcW w:w="1604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第二产业新增企业</w:t>
            </w:r>
          </w:p>
        </w:tc>
        <w:tc>
          <w:tcPr>
            <w:tcW w:w="1385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制造业新增企业</w:t>
            </w:r>
          </w:p>
        </w:tc>
        <w:tc>
          <w:tcPr>
            <w:tcW w:w="2031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劳动密集型行业新增企业</w:t>
            </w:r>
          </w:p>
        </w:tc>
        <w:tc>
          <w:tcPr>
            <w:tcW w:w="2199" w:type="dxa"/>
            <w:tcBorders>
              <w:top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非劳动密集型行业新增企业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7" w:hRule="atLeast"/>
          <w:jc w:val="center"/>
        </w:trPr>
        <w:tc>
          <w:tcPr>
            <w:tcW w:w="1391" w:type="dxa"/>
            <w:vMerge w:val="restart"/>
            <w:tcBorders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毗邻区县×时间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0.0549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21"/>
                <w:vertAlign w:val="superscript"/>
                <w14:ligatures w14:val="none"/>
              </w:rPr>
              <w:t>**</w:t>
            </w:r>
          </w:p>
        </w:tc>
        <w:tc>
          <w:tcPr>
            <w:tcW w:w="1385" w:type="dxa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0.0723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21"/>
                <w:vertAlign w:val="superscript"/>
                <w14:ligatures w14:val="none"/>
              </w:rPr>
              <w:t>***</w:t>
            </w:r>
          </w:p>
        </w:tc>
        <w:tc>
          <w:tcPr>
            <w:tcW w:w="2031" w:type="dxa"/>
            <w:tcBorders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0.0799</w:t>
            </w:r>
            <w:r>
              <w:rPr>
                <w:rFonts w:ascii="Times New Roman" w:hAnsi="Times New Roman" w:eastAsia="楷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***</w:t>
            </w:r>
          </w:p>
        </w:tc>
        <w:tc>
          <w:tcPr>
            <w:tcW w:w="2199" w:type="dxa"/>
            <w:tcBorders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0.0758</w:t>
            </w:r>
            <w:r>
              <w:rPr>
                <w:rFonts w:ascii="Times New Roman" w:hAnsi="Times New Roman" w:eastAsia="楷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7" w:hRule="atLeast"/>
          <w:jc w:val="center"/>
        </w:trPr>
        <w:tc>
          <w:tcPr>
            <w:tcW w:w="1391" w:type="dxa"/>
            <w:vMerge w:val="continue"/>
            <w:tcBorders>
              <w:left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b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60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0.0239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  <w:tc>
          <w:tcPr>
            <w:tcW w:w="13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0.0263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  <w:tc>
          <w:tcPr>
            <w:tcW w:w="2031" w:type="dxa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0.0295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  <w:tc>
          <w:tcPr>
            <w:tcW w:w="2199" w:type="dxa"/>
            <w:tcBorders>
              <w:top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（</w:t>
            </w:r>
            <w:r>
              <w:rPr>
                <w:rFonts w:ascii="Times New Roman" w:hAnsi="Times New Roman" w:eastAsia="楷体" w:cs="Times New Roman"/>
                <w:bCs/>
                <w:color w:val="000000"/>
                <w:kern w:val="21"/>
                <w:sz w:val="18"/>
                <w:szCs w:val="18"/>
                <w14:ligatures w14:val="none"/>
              </w:rPr>
              <w:t>0.0328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</w:pPr>
      <w:r>
        <w:rPr>
          <w:rFonts w:hint="eastAsia" w:ascii="Times New Roman" w:hAnsi="Times New Roman" w:eastAsia="黑体" w:cs="Times New Roman"/>
          <w:sz w:val="18"/>
          <w:szCs w:val="18"/>
          <w:lang w:val="en-US" w:eastAsia="zh-CN"/>
        </w:rPr>
        <w:t>附表</w:t>
      </w:r>
      <w:r>
        <w:rPr>
          <w:rFonts w:hint="eastAsia" w:eastAsia="黑体" w:cs="Times New Roman"/>
          <w:sz w:val="18"/>
          <w:szCs w:val="18"/>
          <w:lang w:val="en-US" w:eastAsia="zh-CN"/>
        </w:rPr>
        <w:t>5</w:t>
      </w:r>
      <w:r>
        <w:rPr>
          <w:rFonts w:hint="eastAsia" w:ascii="Times New Roman" w:hAnsi="Times New Roman" w:eastAsia="黑体" w:cs="Times New Roman"/>
          <w:sz w:val="18"/>
          <w:szCs w:val="18"/>
          <w:lang w:val="en-US" w:eastAsia="zh-CN"/>
        </w:rPr>
        <w:t>（续）</w:t>
      </w:r>
    </w:p>
    <w:tbl>
      <w:tblPr>
        <w:tblStyle w:val="34"/>
        <w:tblW w:w="8610" w:type="dxa"/>
        <w:jc w:val="center"/>
        <w:tblInd w:w="0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391"/>
        <w:gridCol w:w="1604"/>
        <w:gridCol w:w="1385"/>
        <w:gridCol w:w="2031"/>
        <w:gridCol w:w="2199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7" w:hRule="atLeast"/>
          <w:jc w:val="center"/>
        </w:trPr>
        <w:tc>
          <w:tcPr>
            <w:tcW w:w="1391" w:type="dxa"/>
            <w:tcBorders>
              <w:top w:val="single" w:color="auto" w:sz="4" w:space="0"/>
              <w:left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观测值</w:t>
            </w:r>
          </w:p>
        </w:tc>
        <w:tc>
          <w:tcPr>
            <w:tcW w:w="1604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6993</w:t>
            </w:r>
          </w:p>
        </w:tc>
        <w:tc>
          <w:tcPr>
            <w:tcW w:w="1385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6993</w:t>
            </w:r>
          </w:p>
        </w:tc>
        <w:tc>
          <w:tcPr>
            <w:tcW w:w="2031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6993</w:t>
            </w:r>
          </w:p>
        </w:tc>
        <w:tc>
          <w:tcPr>
            <w:tcW w:w="2199" w:type="dxa"/>
            <w:tcBorders>
              <w:top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6888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17" w:hRule="atLeast"/>
          <w:jc w:val="center"/>
        </w:trPr>
        <w:tc>
          <w:tcPr>
            <w:tcW w:w="1391" w:type="dxa"/>
            <w:tcBorders>
              <w:top w:val="nil"/>
              <w:lef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vertAlign w:val="superscript"/>
                <w14:ligatures w14:val="none"/>
              </w:rPr>
              <w:t>2</w:t>
            </w:r>
          </w:p>
        </w:tc>
        <w:tc>
          <w:tcPr>
            <w:tcW w:w="1604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0.9618</w:t>
            </w:r>
          </w:p>
        </w:tc>
        <w:tc>
          <w:tcPr>
            <w:tcW w:w="1385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:lang w:val="fr-FR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0.9464</w:t>
            </w:r>
          </w:p>
        </w:tc>
        <w:tc>
          <w:tcPr>
            <w:tcW w:w="2031" w:type="dxa"/>
            <w:tcBorders>
              <w:top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9400</w:t>
            </w:r>
          </w:p>
        </w:tc>
        <w:tc>
          <w:tcPr>
            <w:tcW w:w="2199" w:type="dxa"/>
            <w:tcBorders>
              <w:top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0</w:t>
            </w: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21"/>
                <w:sz w:val="18"/>
                <w:szCs w:val="21"/>
                <w14:ligatures w14:val="none"/>
              </w:rPr>
              <w:t>9323</w:t>
            </w:r>
          </w:p>
        </w:tc>
      </w:tr>
      <w:bookmarkEnd w:id="1"/>
      <w:bookmarkEnd w:id="2"/>
    </w:tbl>
    <w:p>
      <w:pPr>
        <w:spacing w:line="240" w:lineRule="atLeast"/>
        <w:ind w:firstLine="332" w:firstLineChars="200"/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</w:pP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注：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①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***、**、*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表示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1%、5%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10%的置信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性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水平；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②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括号内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为聚类稳健标准误；③区县</w:t>
      </w:r>
      <w:r>
        <w:rPr>
          <w:rFonts w:hint="eastAsia" w:ascii="宋体" w:hAnsi="宋体" w:eastAsia="宋体" w:cs="宋体"/>
          <w:color w:val="000000"/>
          <w:kern w:val="21"/>
          <w:sz w:val="18"/>
          <w:szCs w:val="18"/>
        </w:rPr>
        <w:t>－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年份交互固定效应和区县固定效应均已控制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eastAsia="黑体" w:cs="Times New Roman"/>
          <w:color w:val="000000"/>
          <w:kern w:val="21"/>
          <w:sz w:val="24"/>
          <w:szCs w:val="24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附录</w:t>
      </w:r>
      <w:r>
        <w:rPr>
          <w:rFonts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J</w:t>
      </w:r>
      <w:r>
        <w:rPr>
          <w:rFonts w:hint="eastAsia" w:ascii="Times New Roman" w:hAnsi="Times New Roman" w:eastAsia="黑体" w:cs="Times New Roman"/>
          <w:color w:val="000000"/>
          <w:kern w:val="21"/>
          <w:sz w:val="24"/>
          <w:szCs w:val="24"/>
          <w14:ligatures w14:val="none"/>
        </w:rPr>
        <w:t>：上市公司异地投资方式的异质性</w:t>
      </w:r>
    </w:p>
    <w:p>
      <w:pPr>
        <w:tabs>
          <w:tab w:val="center" w:pos="4253"/>
        </w:tabs>
        <w:spacing w:line="240" w:lineRule="atLeast"/>
        <w:ind w:firstLine="332" w:firstLineChars="200"/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</w:pP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附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>表6</w:t>
      </w:r>
      <w:r>
        <w:rPr>
          <w:rFonts w:ascii="Times New Roman" w:hAnsi="Times New Roman" w:eastAsia="黑体" w:cs="Times New Roman"/>
          <w:color w:val="000000"/>
          <w:kern w:val="21"/>
          <w:sz w:val="18"/>
          <w:szCs w:val="18"/>
        </w:rPr>
        <w:tab/>
      </w:r>
      <w:r>
        <w:rPr>
          <w:rFonts w:hint="eastAsia" w:ascii="Times New Roman" w:hAnsi="Times New Roman" w:eastAsia="黑体" w:cs="Times New Roman"/>
          <w:color w:val="000000"/>
          <w:kern w:val="21"/>
          <w:sz w:val="18"/>
          <w:szCs w:val="18"/>
        </w:rPr>
        <w:t>异质性估计结果：上市公司异地投资方式</w:t>
      </w:r>
    </w:p>
    <w:tbl>
      <w:tblPr>
        <w:tblStyle w:val="115"/>
        <w:tblW w:w="8659" w:type="dxa"/>
        <w:jc w:val="center"/>
        <w:tblInd w:w="0" w:type="dxa"/>
        <w:tblBorders>
          <w:top w:val="single" w:color="7E7E7E" w:sz="4" w:space="0"/>
          <w:left w:val="none" w:color="auto" w:sz="0" w:space="0"/>
          <w:bottom w:val="single" w:color="7E7E7E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1765"/>
        <w:gridCol w:w="1731"/>
        <w:gridCol w:w="1858"/>
        <w:gridCol w:w="1819"/>
      </w:tblGrid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6" w:type="dxa"/>
            <w:vMerge w:val="restart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765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73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85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  <w:tc>
          <w:tcPr>
            <w:tcW w:w="1819" w:type="dxa"/>
            <w:tcBorders>
              <w:top w:val="single" w:color="auto" w:sz="12" w:space="0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）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6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中心城区上市公司投资子公司数量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中心城区上司公司投资规模对数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非中心城区上市公司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投资子公司数量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非中心城区上市公司投资规模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6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毗邻区县×时间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0.0280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0.4744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0.0231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**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0.4169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14:ligatures w14:val="none"/>
              </w:rPr>
              <w:t>*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6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等线" w:hAnsi="等线" w:eastAsia="等线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</w:p>
        </w:tc>
        <w:tc>
          <w:tcPr>
            <w:tcW w:w="17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0.0253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0.6175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0.0116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14:ligatures w14:val="none"/>
              </w:rPr>
              <w:t>0.2136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  <w14:ligatures w14:val="none"/>
              </w:rPr>
              <w:t>）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6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1320</w:t>
            </w:r>
          </w:p>
        </w:tc>
        <w:tc>
          <w:tcPr>
            <w:tcW w:w="17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1320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1320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1320</w:t>
            </w:r>
          </w:p>
        </w:tc>
      </w:tr>
      <w:tr>
        <w:tblPrEx>
          <w:tblBorders>
            <w:top w:val="single" w:color="7E7E7E" w:sz="4" w:space="0"/>
            <w:left w:val="none" w:color="auto" w:sz="0" w:space="0"/>
            <w:bottom w:val="single" w:color="7E7E7E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6" w:type="dxa"/>
            <w:tcBorders>
              <w:top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R</w:t>
            </w: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1765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0.9210</w:t>
            </w:r>
          </w:p>
        </w:tc>
        <w:tc>
          <w:tcPr>
            <w:tcW w:w="17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0.9411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0.9119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1"/>
                <w:sz w:val="18"/>
                <w:szCs w:val="18"/>
                <w14:ligatures w14:val="none"/>
              </w:rPr>
              <w:t>0.9298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注：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①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***、**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*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表示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1%、5%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和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10%的置信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性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水平；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②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括号内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为聚类稳健标准误；③区县</w:t>
      </w:r>
      <w:r>
        <w:rPr>
          <w:rFonts w:hint="eastAsia" w:ascii="宋体" w:hAnsi="宋体" w:eastAsia="宋体" w:cs="宋体"/>
          <w:color w:val="000000"/>
          <w:kern w:val="21"/>
          <w:sz w:val="18"/>
          <w:szCs w:val="18"/>
        </w:rPr>
        <w:t>－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年份交互固定效应和区县固定效应均已控制</w:t>
      </w:r>
      <w:r>
        <w:rPr>
          <w:rFonts w:ascii="Times New Roman" w:hAnsi="Times New Roman" w:eastAsia="宋体" w:cs="Times New Roman"/>
          <w:color w:val="000000"/>
          <w:kern w:val="21"/>
          <w:sz w:val="18"/>
          <w:szCs w:val="18"/>
        </w:rPr>
        <w:t>。</w:t>
      </w:r>
      <w:r>
        <w:rPr>
          <w:rFonts w:hint="eastAsia" w:ascii="Times New Roman" w:hAnsi="Times New Roman" w:eastAsia="宋体" w:cs="Times New Roman"/>
          <w:color w:val="000000"/>
          <w:kern w:val="21"/>
          <w:sz w:val="18"/>
          <w:szCs w:val="18"/>
        </w:rPr>
        <w:t>④被解释变量均已取对数。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如果研究中使用了未在《中国农村经济》纸质版刊发、但在杂志网站上正式公开发表的数字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大城市人口调控政策对毗邻区县第二产业发展的溢出效应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</w:t>
    </w:r>
    <w:r>
      <w:rPr>
        <w:rFonts w:hint="eastAsia" w:ascii="Times New Roman" w:hAnsi="Times New Roman" w:cs="Times New Roman"/>
      </w:rPr>
      <w:t>大城市人口调控政策对毗邻区县第二产业发展的溢出效应</w:t>
    </w:r>
    <w:r>
      <w:rPr>
        <w:rFonts w:ascii="Times New Roman" w:hAnsi="Times New Roman" w:cs="Times New Roman"/>
      </w:rPr>
      <w:t xml:space="preserve"> </w:t>
    </w:r>
    <w:r>
      <w:rPr>
        <w:rFonts w:hint="eastAsia" w:cs="Times New Roman"/>
        <w:lang w:val="en-US" w:eastAsia="zh-CN"/>
      </w:rPr>
      <w:t xml:space="preserve">         </w:t>
    </w:r>
    <w:r>
      <w:rPr>
        <w:rFonts w:ascii="Times New Roman" w:hAnsi="Times New Roman" w:cs="Times New Roman"/>
      </w:rPr>
      <w:t xml:space="preserve">  202</w:t>
    </w:r>
    <w:r>
      <w:rPr>
        <w:rFonts w:hint="eastAsia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5802E2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table" w:customStyle="1" w:styleId="115">
    <w:name w:val="无格式表格 21"/>
    <w:qFormat/>
    <w:uiPriority w:val="42"/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7E7E7E" w:sz="4" w:space="0"/>
        <w:bottom w:val="single" w:color="7E7E7E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bCs/>
      </w:rPr>
      <w:tcPr>
        <w:tcBorders>
          <w:bottom w:val="single" w:color="7E7E7E" w:sz="4" w:space="0"/>
        </w:tcBorders>
      </w:tcPr>
    </w:tblStylePr>
    <w:tblStylePr w:type="lastRow">
      <w:rPr>
        <w:b/>
        <w:bCs/>
      </w:rPr>
      <w:tcPr>
        <w:tcBorders>
          <w:top w:val="single" w:color="7E7E7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sz="4" w:space="0"/>
          <w:right w:val="single" w:color="7E7E7E" w:sz="4" w:space="0"/>
        </w:tcBorders>
      </w:tcPr>
    </w:tblStylePr>
    <w:tblStylePr w:type="band2Vert">
      <w:tcPr>
        <w:tcBorders>
          <w:left w:val="single" w:color="7E7E7E" w:sz="4" w:space="0"/>
          <w:right w:val="single" w:color="7E7E7E" w:sz="4" w:space="0"/>
        </w:tcBorders>
      </w:tcPr>
    </w:tblStylePr>
    <w:tblStylePr w:type="band1Horz">
      <w:tcPr>
        <w:tcBorders>
          <w:top w:val="single" w:color="7E7E7E" w:sz="4" w:space="0"/>
          <w:bottom w:val="single" w:color="7E7E7E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26.png"/><Relationship Id="rId54" Type="http://schemas.openxmlformats.org/officeDocument/2006/relationships/image" Target="media/image25.png"/><Relationship Id="rId53" Type="http://schemas.openxmlformats.org/officeDocument/2006/relationships/image" Target="media/image24.png"/><Relationship Id="rId52" Type="http://schemas.openxmlformats.org/officeDocument/2006/relationships/image" Target="media/image23.png"/><Relationship Id="rId51" Type="http://schemas.openxmlformats.org/officeDocument/2006/relationships/image" Target="media/image22.png"/><Relationship Id="rId50" Type="http://schemas.openxmlformats.org/officeDocument/2006/relationships/image" Target="media/image21.png"/><Relationship Id="rId5" Type="http://schemas.openxmlformats.org/officeDocument/2006/relationships/header" Target="header2.xml"/><Relationship Id="rId49" Type="http://schemas.openxmlformats.org/officeDocument/2006/relationships/image" Target="media/image20.emf"/><Relationship Id="rId48" Type="http://schemas.openxmlformats.org/officeDocument/2006/relationships/oleObject" Target="embeddings/oleObject22.bin"/><Relationship Id="rId47" Type="http://schemas.openxmlformats.org/officeDocument/2006/relationships/image" Target="media/image19.emf"/><Relationship Id="rId46" Type="http://schemas.openxmlformats.org/officeDocument/2006/relationships/oleObject" Target="embeddings/oleObject21.bin"/><Relationship Id="rId45" Type="http://schemas.openxmlformats.org/officeDocument/2006/relationships/oleObject" Target="embeddings/oleObject20.bin"/><Relationship Id="rId44" Type="http://schemas.openxmlformats.org/officeDocument/2006/relationships/image" Target="media/image18.emf"/><Relationship Id="rId43" Type="http://schemas.openxmlformats.org/officeDocument/2006/relationships/oleObject" Target="embeddings/oleObject19.bin"/><Relationship Id="rId42" Type="http://schemas.openxmlformats.org/officeDocument/2006/relationships/image" Target="media/image17.emf"/><Relationship Id="rId41" Type="http://schemas.openxmlformats.org/officeDocument/2006/relationships/oleObject" Target="embeddings/oleObject18.bin"/><Relationship Id="rId40" Type="http://schemas.openxmlformats.org/officeDocument/2006/relationships/image" Target="media/image16.emf"/><Relationship Id="rId4" Type="http://schemas.openxmlformats.org/officeDocument/2006/relationships/header" Target="head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5.emf"/><Relationship Id="rId37" Type="http://schemas.openxmlformats.org/officeDocument/2006/relationships/oleObject" Target="embeddings/oleObject16.bin"/><Relationship Id="rId36" Type="http://schemas.openxmlformats.org/officeDocument/2006/relationships/image" Target="media/image14.emf"/><Relationship Id="rId35" Type="http://schemas.openxmlformats.org/officeDocument/2006/relationships/oleObject" Target="embeddings/oleObject15.bin"/><Relationship Id="rId34" Type="http://schemas.openxmlformats.org/officeDocument/2006/relationships/image" Target="media/image13.emf"/><Relationship Id="rId33" Type="http://schemas.openxmlformats.org/officeDocument/2006/relationships/oleObject" Target="embeddings/oleObject14.bin"/><Relationship Id="rId32" Type="http://schemas.openxmlformats.org/officeDocument/2006/relationships/oleObject" Target="embeddings/oleObject13.bin"/><Relationship Id="rId31" Type="http://schemas.openxmlformats.org/officeDocument/2006/relationships/oleObject" Target="embeddings/oleObject12.bin"/><Relationship Id="rId30" Type="http://schemas.openxmlformats.org/officeDocument/2006/relationships/image" Target="media/image12.emf"/><Relationship Id="rId3" Type="http://schemas.openxmlformats.org/officeDocument/2006/relationships/footnotes" Target="footnote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e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emf"/><Relationship Id="rId25" Type="http://schemas.openxmlformats.org/officeDocument/2006/relationships/oleObject" Target="embeddings/oleObject9.bin"/><Relationship Id="rId24" Type="http://schemas.openxmlformats.org/officeDocument/2006/relationships/image" Target="media/image9.emf"/><Relationship Id="rId23" Type="http://schemas.openxmlformats.org/officeDocument/2006/relationships/oleObject" Target="embeddings/oleObject8.bin"/><Relationship Id="rId22" Type="http://schemas.openxmlformats.org/officeDocument/2006/relationships/image" Target="media/image8.emf"/><Relationship Id="rId21" Type="http://schemas.openxmlformats.org/officeDocument/2006/relationships/oleObject" Target="embeddings/oleObject7.bin"/><Relationship Id="rId20" Type="http://schemas.openxmlformats.org/officeDocument/2006/relationships/image" Target="media/image7.e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2024-11-18T02:42:25Z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