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spacing w:line="240" w:lineRule="atLeast"/>
        <w:jc w:val="left"/>
        <w:rPr>
          <w:rFonts w:ascii="Times New Roman" w:hAnsi="Times New Roman" w:eastAsia="黑体" w:cs="Times New Roman"/>
          <w:color w:val="FF0000"/>
          <w:szCs w:val="21"/>
        </w:rPr>
      </w:pPr>
    </w:p>
    <w:p>
      <w:pPr>
        <w:pStyle w:val="7"/>
        <w:autoSpaceDN/>
        <w:rPr>
          <w:rFonts w:hint="eastAsia" w:cs="黑体"/>
        </w:rPr>
      </w:pPr>
      <w:bookmarkStart w:id="1" w:name="OLE_LINK152"/>
      <w:r>
        <w:rPr>
          <w:rFonts w:hint="eastAsia" w:cs="黑体"/>
        </w:rPr>
        <w:t>附表1                                   稳健性检验结果</w:t>
      </w:r>
    </w:p>
    <w:tbl>
      <w:tblPr>
        <w:tblStyle w:val="35"/>
        <w:tblW w:w="8608" w:type="dxa"/>
        <w:tblInd w:w="1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924"/>
        <w:gridCol w:w="756"/>
        <w:gridCol w:w="924"/>
        <w:gridCol w:w="756"/>
        <w:gridCol w:w="924"/>
        <w:gridCol w:w="756"/>
        <w:gridCol w:w="801"/>
        <w:gridCol w:w="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1680" w:type="dxa"/>
            <w:gridSpan w:val="2"/>
            <w:tcBorders>
              <w:top w:val="single" w:color="auto" w:sz="12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cs="Songti SC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0" w:type="dxa"/>
            <w:gridSpan w:val="2"/>
            <w:tcBorders>
              <w:top w:val="single" w:color="auto" w:sz="12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cs="Songti SC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0" w:type="dxa"/>
            <w:gridSpan w:val="2"/>
            <w:tcBorders>
              <w:top w:val="single" w:color="auto" w:sz="12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cs="Songti SC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517" w:type="dxa"/>
            <w:gridSpan w:val="2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cs="Songti SC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cs="Songti SC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vMerge w:val="continue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主要控制变量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控制联合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固定效应</w:t>
            </w: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剔除直辖市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样本</w:t>
            </w:r>
          </w:p>
        </w:tc>
        <w:tc>
          <w:tcPr>
            <w:tcW w:w="1517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消除新冠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疫情影响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vMerge w:val="continue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756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924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756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924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756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01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716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</w:p>
        </w:tc>
        <w:tc>
          <w:tcPr>
            <w:tcW w:w="924" w:type="dxa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0.017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756" w:type="dxa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0.006</w:t>
            </w:r>
          </w:p>
        </w:tc>
        <w:tc>
          <w:tcPr>
            <w:tcW w:w="924" w:type="dxa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0.017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756" w:type="dxa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0.007</w:t>
            </w:r>
          </w:p>
        </w:tc>
        <w:tc>
          <w:tcPr>
            <w:tcW w:w="924" w:type="dxa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0.016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756" w:type="dxa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0.006</w:t>
            </w:r>
          </w:p>
        </w:tc>
        <w:tc>
          <w:tcPr>
            <w:tcW w:w="801" w:type="dxa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0.017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平方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0.001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1680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0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0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51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top w:val="nil"/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年份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省份联合固定效应</w:t>
            </w: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未控制</w:t>
            </w: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未控制</w:t>
            </w:r>
          </w:p>
        </w:tc>
        <w:tc>
          <w:tcPr>
            <w:tcW w:w="1517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未控制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1680" w:type="dxa"/>
            <w:gridSpan w:val="2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1666</w:t>
            </w:r>
          </w:p>
        </w:tc>
        <w:tc>
          <w:tcPr>
            <w:tcW w:w="1680" w:type="dxa"/>
            <w:gridSpan w:val="2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1601</w:t>
            </w:r>
          </w:p>
        </w:tc>
        <w:tc>
          <w:tcPr>
            <w:tcW w:w="1680" w:type="dxa"/>
            <w:gridSpan w:val="2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1495</w:t>
            </w:r>
          </w:p>
        </w:tc>
        <w:tc>
          <w:tcPr>
            <w:tcW w:w="1517" w:type="dxa"/>
            <w:gridSpan w:val="2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998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5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1680" w:type="dxa"/>
            <w:gridSpan w:val="2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0.356</w:t>
            </w:r>
          </w:p>
        </w:tc>
        <w:tc>
          <w:tcPr>
            <w:tcW w:w="1680" w:type="dxa"/>
            <w:gridSpan w:val="2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0.411</w:t>
            </w:r>
          </w:p>
        </w:tc>
        <w:tc>
          <w:tcPr>
            <w:tcW w:w="1680" w:type="dxa"/>
            <w:gridSpan w:val="2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0.332</w:t>
            </w:r>
          </w:p>
        </w:tc>
        <w:tc>
          <w:tcPr>
            <w:tcW w:w="1517" w:type="dxa"/>
            <w:gridSpan w:val="2"/>
            <w:tcBorders>
              <w:top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0.398</w:t>
            </w:r>
          </w:p>
        </w:tc>
      </w:tr>
    </w:tbl>
    <w:p>
      <w:pPr>
        <w:widowControl/>
        <w:ind w:firstLine="332"/>
        <w:rPr>
          <w:rFonts w:cs="宋体"/>
          <w:color w:val="000000"/>
          <w:sz w:val="18"/>
          <w:lang w:bidi="ar"/>
        </w:rPr>
      </w:pP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注：①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***和**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分别表示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1%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5%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的显著性水平。②标准误为聚类到企业层面的稳健标准误。③控制变量与</w:t>
      </w:r>
      <w:r>
        <w:rPr>
          <w:rFonts w:hint="eastAsia" w:cs="宋体"/>
          <w:color w:val="000000" w:themeColor="text1"/>
          <w:sz w:val="18"/>
          <w:lang w:val="en-US" w:eastAsia="zh-CN"/>
          <w14:textFill>
            <w14:solidFill>
              <w14:schemeClr w14:val="tx1"/>
            </w14:solidFill>
          </w14:textFill>
        </w:rPr>
        <w:t>正文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表</w:t>
      </w:r>
      <w:r>
        <w:rPr>
          <w:rFonts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基准回归中保持一致。④</w:t>
      </w:r>
      <w:bookmarkStart w:id="2" w:name="OLE_LINK26"/>
      <w:r>
        <w:rPr>
          <w:rFonts w:hint="eastAsia" w:cs="宋体"/>
          <w:color w:val="000000"/>
          <w:sz w:val="18"/>
          <w:lang w:bidi="ar"/>
        </w:rPr>
        <w:t>所有回归均已控制固定效应，包括行业固定效应、年份固定效应、省份固定效应与年份</w:t>
      </w: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×</w:t>
      </w:r>
      <w:r>
        <w:rPr>
          <w:rFonts w:hint="eastAsia" w:cs="宋体"/>
          <w:color w:val="000000"/>
          <w:sz w:val="18"/>
          <w:lang w:bidi="ar"/>
        </w:rPr>
        <w:t>行业联合固定效应。</w:t>
      </w:r>
      <w:bookmarkEnd w:id="2"/>
    </w:p>
    <w:p>
      <w:pPr>
        <w:widowControl/>
        <w:ind w:firstLine="392"/>
        <w:rPr>
          <w:rFonts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1"/>
    <w:p>
      <w:pPr>
        <w:pStyle w:val="7"/>
        <w:autoSpaceDN/>
        <w:rPr>
          <w:rFonts w:hint="eastAsia" w:cs="黑体"/>
        </w:rPr>
      </w:pPr>
      <w:bookmarkStart w:id="3" w:name="_Toc136628374"/>
      <w:r>
        <w:rPr>
          <w:rFonts w:hint="eastAsia" w:cs="黑体"/>
        </w:rPr>
        <w:t>附表2                                 行业属性异质性</w:t>
      </w:r>
      <w:r>
        <w:rPr>
          <w:rFonts w:hint="eastAsia" w:eastAsia="黑体"/>
          <w:bCs/>
          <w:sz w:val="18"/>
        </w:rPr>
        <w:t>回归结果</w:t>
      </w:r>
    </w:p>
    <w:tbl>
      <w:tblPr>
        <w:tblStyle w:val="35"/>
        <w:tblW w:w="8619" w:type="dxa"/>
        <w:tblInd w:w="119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843"/>
        <w:gridCol w:w="843"/>
        <w:gridCol w:w="843"/>
        <w:gridCol w:w="843"/>
        <w:gridCol w:w="843"/>
        <w:gridCol w:w="843"/>
        <w:gridCol w:w="843"/>
        <w:gridCol w:w="843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变量</w:t>
            </w:r>
          </w:p>
        </w:tc>
        <w:tc>
          <w:tcPr>
            <w:tcW w:w="3372" w:type="dxa"/>
            <w:gridSpan w:val="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主营业务</w:t>
            </w:r>
          </w:p>
        </w:tc>
        <w:tc>
          <w:tcPr>
            <w:tcW w:w="3372" w:type="dxa"/>
            <w:gridSpan w:val="4"/>
            <w:tcBorders>
              <w:top w:val="single" w:color="auto" w:sz="12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竞争程度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vMerge w:val="continue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（3）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（4）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vMerge w:val="continue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农林牧渔类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制造类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行业竞争程度较高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行业竞争程度较低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vMerge w:val="continue"/>
            <w:tcBorders>
              <w:left w:val="nil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系数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标准误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系数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标准误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tcBorders>
              <w:top w:val="single" w:color="auto" w:sz="4" w:space="0"/>
              <w:left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</w:p>
        </w:tc>
        <w:tc>
          <w:tcPr>
            <w:tcW w:w="843" w:type="dxa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0.019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0.014</w:t>
            </w:r>
          </w:p>
        </w:tc>
        <w:tc>
          <w:tcPr>
            <w:tcW w:w="843" w:type="dxa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0.018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0.017</w:t>
            </w:r>
            <w:r>
              <w:rPr>
                <w:color w:val="000000" w:themeColor="text1"/>
                <w:kern w:val="0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**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0.007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0.014</w:t>
            </w:r>
            <w:r>
              <w:rPr>
                <w:color w:val="000000" w:themeColor="text1"/>
                <w:kern w:val="0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0.008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tcBorders>
              <w:top w:val="nil"/>
              <w:left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平方</w:t>
            </w:r>
          </w:p>
        </w:tc>
        <w:tc>
          <w:tcPr>
            <w:tcW w:w="843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0.002</w:t>
            </w:r>
          </w:p>
        </w:tc>
        <w:tc>
          <w:tcPr>
            <w:tcW w:w="843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0.003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0.001</w:t>
            </w:r>
          </w:p>
        </w:tc>
        <w:tc>
          <w:tcPr>
            <w:tcW w:w="84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</w:t>
            </w:r>
            <w:r>
              <w:rPr>
                <w:color w:val="000000" w:themeColor="text1"/>
                <w:kern w:val="0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***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0.001</w:t>
            </w:r>
          </w:p>
        </w:tc>
        <w:tc>
          <w:tcPr>
            <w:tcW w:w="84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0.001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tcBorders>
              <w:top w:val="nil"/>
              <w:left w:val="nil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bookmarkStart w:id="4" w:name="_Hlk179055028"/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已控制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已控制</w:t>
            </w:r>
          </w:p>
        </w:tc>
      </w:tr>
      <w:bookmarkEnd w:id="4"/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tcBorders>
              <w:top w:val="single" w:color="auto" w:sz="4" w:space="0"/>
              <w:left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254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1419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867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804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75" w:type="dxa"/>
            <w:tcBorders>
              <w:top w:val="nil"/>
              <w:left w:val="nil"/>
              <w:bottom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0.557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 w:themeColor="text1"/>
                <w:sz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0.317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0.327</w:t>
            </w:r>
          </w:p>
        </w:tc>
        <w:tc>
          <w:tcPr>
            <w:tcW w:w="1686" w:type="dxa"/>
            <w:gridSpan w:val="2"/>
            <w:tcBorders>
              <w:top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0.403</w:t>
            </w:r>
          </w:p>
        </w:tc>
      </w:tr>
    </w:tbl>
    <w:p>
      <w:pPr>
        <w:adjustRightInd w:val="0"/>
        <w:ind w:firstLine="332"/>
        <w:rPr>
          <w:rFonts w:cs="宋体"/>
          <w:color w:val="000000" w:themeColor="text1"/>
          <w:sz w:val="1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18"/>
          <w:lang w:bidi="ar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***</w:t>
      </w:r>
      <w:r>
        <w:rPr>
          <w:rFonts w:hint="eastAsia"/>
          <w:color w:val="000000" w:themeColor="text1"/>
          <w:sz w:val="1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**</w:t>
      </w:r>
      <w:r>
        <w:rPr>
          <w:rFonts w:hint="eastAsia"/>
          <w:color w:val="000000" w:themeColor="text1"/>
          <w:sz w:val="18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*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分别表示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1%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5%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的显著性水平。②标准误为聚类到企业层面的稳健标准误。③控制变量与</w:t>
      </w:r>
      <w:r>
        <w:rPr>
          <w:rFonts w:hint="eastAsia" w:cs="宋体"/>
          <w:color w:val="000000" w:themeColor="text1"/>
          <w:sz w:val="18"/>
          <w:lang w:val="en-US" w:eastAsia="zh-CN"/>
          <w14:textFill>
            <w14:solidFill>
              <w14:schemeClr w14:val="tx1"/>
            </w14:solidFill>
          </w14:textFill>
        </w:rPr>
        <w:t>正文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表</w:t>
      </w:r>
      <w:r>
        <w:rPr>
          <w:rFonts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基准回归中保持一致。④</w:t>
      </w:r>
      <w:r>
        <w:rPr>
          <w:rFonts w:hint="eastAsia" w:cs="宋体"/>
          <w:color w:val="000000"/>
          <w:sz w:val="18"/>
          <w:lang w:bidi="ar"/>
        </w:rPr>
        <w:t>所有回归均已控制固定效应，包括行业固定效应、年份固定效应、省份固定效应与年份</w:t>
      </w: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×</w:t>
      </w:r>
      <w:r>
        <w:rPr>
          <w:rFonts w:hint="eastAsia" w:cs="宋体"/>
          <w:color w:val="000000"/>
          <w:sz w:val="18"/>
          <w:lang w:bidi="ar"/>
        </w:rPr>
        <w:t>行业联合固定效应。</w:t>
      </w:r>
      <w:r>
        <w:rPr>
          <w:rFonts w:hint="eastAsia" w:cs="宋体"/>
          <w:color w:val="000000" w:themeColor="text1"/>
          <w:sz w:val="18"/>
          <w:lang w:bidi="ar"/>
          <w14:textFill>
            <w14:solidFill>
              <w14:schemeClr w14:val="tx1"/>
            </w14:solidFill>
          </w14:textFill>
        </w:rPr>
        <w:t>⑤由于存在singleton observations，分组控制固定效应后部分观测值会被删除。</w:t>
      </w:r>
    </w:p>
    <w:p>
      <w:pPr>
        <w:adjustRightInd w:val="0"/>
        <w:rPr>
          <w:rFonts w:cs="宋体"/>
          <w:color w:val="000000"/>
          <w:sz w:val="18"/>
          <w:lang w:bidi="ar"/>
        </w:rPr>
      </w:pPr>
    </w:p>
    <w:p>
      <w:pPr>
        <w:pStyle w:val="7"/>
        <w:autoSpaceDN/>
        <w:rPr>
          <w:rFonts w:hint="default" w:eastAsia="黑体"/>
          <w:lang w:val="en-US" w:eastAsia="zh-CN"/>
        </w:rPr>
      </w:pPr>
      <w:r>
        <w:rPr>
          <w:rFonts w:hint="eastAsia" w:cs="黑体"/>
        </w:rPr>
        <w:t>附表</w:t>
      </w:r>
      <w:r>
        <w:t xml:space="preserve">3                              </w:t>
      </w:r>
      <w:r>
        <w:rPr>
          <w:rFonts w:hint="eastAsia" w:cs="黑体"/>
        </w:rPr>
        <w:t>政府补助类型异质性</w:t>
      </w:r>
      <w:r>
        <w:rPr>
          <w:rFonts w:hint="eastAsia" w:eastAsia="黑体"/>
          <w:bCs/>
          <w:sz w:val="18"/>
        </w:rPr>
        <w:t>回归结果</w:t>
      </w:r>
    </w:p>
    <w:tbl>
      <w:tblPr>
        <w:tblStyle w:val="116"/>
        <w:tblW w:w="8630" w:type="dxa"/>
        <w:tblInd w:w="108" w:type="dxa"/>
        <w:tblBorders>
          <w:top w:val="single" w:color="auto" w:sz="12" w:space="0"/>
          <w:left w:val="none" w:color="auto" w:sz="6" w:space="0"/>
          <w:bottom w:val="single" w:color="auto" w:sz="12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840"/>
        <w:gridCol w:w="840"/>
        <w:gridCol w:w="1"/>
        <w:gridCol w:w="839"/>
        <w:gridCol w:w="840"/>
        <w:gridCol w:w="2"/>
        <w:gridCol w:w="1"/>
        <w:gridCol w:w="837"/>
        <w:gridCol w:w="840"/>
        <w:gridCol w:w="3"/>
        <w:gridCol w:w="837"/>
        <w:gridCol w:w="847"/>
      </w:tblGrid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变量</w:t>
            </w:r>
          </w:p>
        </w:tc>
        <w:tc>
          <w:tcPr>
            <w:tcW w:w="3363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研发补助与非研发补助</w:t>
            </w:r>
          </w:p>
        </w:tc>
        <w:tc>
          <w:tcPr>
            <w:tcW w:w="336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  <w:insideH w:val="single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环保补助与非环保补助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8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（4）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72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非研发补助</w:t>
            </w: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研发补助</w:t>
            </w:r>
          </w:p>
        </w:tc>
        <w:tc>
          <w:tcPr>
            <w:tcW w:w="168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非环保补助</w:t>
            </w:r>
          </w:p>
        </w:tc>
        <w:tc>
          <w:tcPr>
            <w:tcW w:w="16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环保补助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000000"/>
                <w:sz w:val="18"/>
                <w:szCs w:val="20"/>
              </w:rPr>
            </w:pPr>
            <w:bookmarkStart w:id="5" w:name="_Hlk177226137"/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系数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标准误</w:t>
            </w:r>
          </w:p>
          <w:bookmarkEnd w:id="5"/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0.005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0.082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0.018</w:t>
            </w:r>
          </w:p>
        </w:tc>
        <w:tc>
          <w:tcPr>
            <w:tcW w:w="84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0.005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0.004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0.162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0.048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政府补助</w:t>
            </w:r>
            <w:r>
              <w:rPr>
                <w:rFonts w:hint="eastAsia" w:ascii="Songti SC" w:hAnsi="Songti SC" w:cs="Songti SC"/>
                <w:color w:val="000000"/>
                <w:kern w:val="0"/>
                <w:sz w:val="18"/>
                <w:szCs w:val="18"/>
                <w:lang w:bidi="ar"/>
              </w:rPr>
              <w:t>滞后一期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平方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bookmarkStart w:id="7" w:name="_GoBack"/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bookmarkEnd w:id="7"/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0.000</w:t>
            </w:r>
          </w:p>
        </w:tc>
        <w:tc>
          <w:tcPr>
            <w:tcW w:w="8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0.018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0.004</w:t>
            </w:r>
          </w:p>
        </w:tc>
        <w:tc>
          <w:tcPr>
            <w:tcW w:w="840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0.000</w:t>
            </w:r>
          </w:p>
        </w:tc>
        <w:tc>
          <w:tcPr>
            <w:tcW w:w="8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bidi="ar"/>
              </w:rPr>
              <w:t>−</w:t>
            </w: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0.073</w:t>
            </w:r>
            <w:r>
              <w:rPr>
                <w:rFonts w:hint="eastAsia" w:eastAsia="等线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0.036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bookmarkStart w:id="6" w:name="_Hlk179055507"/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1" w:type="dxa"/>
            <w:gridSpan w:val="4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68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已控制</w:t>
            </w:r>
          </w:p>
        </w:tc>
      </w:tr>
      <w:bookmarkEnd w:id="6"/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bidi="ar"/>
              </w:rPr>
              <w:t>观测值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数</w:t>
            </w:r>
          </w:p>
        </w:tc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1674</w:t>
            </w:r>
          </w:p>
        </w:tc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1674</w:t>
            </w:r>
          </w:p>
        </w:tc>
        <w:tc>
          <w:tcPr>
            <w:tcW w:w="168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1674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1674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0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0.344</w:t>
            </w:r>
          </w:p>
        </w:tc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0.354</w:t>
            </w:r>
          </w:p>
        </w:tc>
        <w:tc>
          <w:tcPr>
            <w:tcW w:w="1681" w:type="dxa"/>
            <w:gridSpan w:val="4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0.344</w:t>
            </w:r>
          </w:p>
        </w:tc>
        <w:tc>
          <w:tcPr>
            <w:tcW w:w="1684" w:type="dxa"/>
            <w:gridSpan w:val="2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  <w:lang w:bidi="ar"/>
              </w:rPr>
              <w:t>0.355</w:t>
            </w:r>
          </w:p>
        </w:tc>
      </w:tr>
    </w:tbl>
    <w:p>
      <w:pPr>
        <w:adjustRightInd w:val="0"/>
        <w:ind w:firstLine="332"/>
        <w:rPr>
          <w:rFonts w:eastAsia="楷体"/>
          <w:color w:val="000000" w:themeColor="text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18"/>
          <w:lang w:bidi="ar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***和**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分别表示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1%</w:t>
      </w:r>
      <w:r>
        <w:rPr>
          <w:rFonts w:hint="eastAsia"/>
          <w:color w:val="000000" w:themeColor="text1"/>
          <w:sz w:val="18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sz w:val="18"/>
          <w14:textFill>
            <w14:solidFill>
              <w14:schemeClr w14:val="tx1"/>
            </w14:solidFill>
          </w14:textFill>
        </w:rPr>
        <w:t>5%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的显著性水平。②标准误为聚类到企业层面的稳健标准误。③控制变量与</w:t>
      </w:r>
      <w:r>
        <w:rPr>
          <w:rFonts w:hint="eastAsia" w:cs="宋体"/>
          <w:color w:val="000000" w:themeColor="text1"/>
          <w:sz w:val="18"/>
          <w:lang w:val="en-US" w:eastAsia="zh-CN"/>
          <w14:textFill>
            <w14:solidFill>
              <w14:schemeClr w14:val="tx1"/>
            </w14:solidFill>
          </w14:textFill>
        </w:rPr>
        <w:t>正文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表</w:t>
      </w:r>
      <w:r>
        <w:rPr>
          <w:rFonts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基准回归中保持一致。④</w:t>
      </w:r>
      <w:r>
        <w:rPr>
          <w:rFonts w:hint="eastAsia" w:cs="宋体"/>
          <w:color w:val="000000"/>
          <w:sz w:val="18"/>
          <w:lang w:bidi="ar"/>
        </w:rPr>
        <w:t>所有回归均已控制固定效应，包括行业固定效应、年份固定效应、省份固定效应与年份</w:t>
      </w: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×</w:t>
      </w:r>
      <w:r>
        <w:rPr>
          <w:rFonts w:hint="eastAsia" w:cs="宋体"/>
          <w:color w:val="000000"/>
          <w:sz w:val="18"/>
          <w:lang w:bidi="ar"/>
        </w:rPr>
        <w:t>行业联合固定效应。</w:t>
      </w:r>
    </w:p>
    <w:bookmarkEnd w:id="3"/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Calibri" w:hAnsi="Calibri" w:eastAsia="宋体"/>
          <w:spacing w:val="-1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/>
          <w:lang w:val="en-US" w:eastAsia="zh-CN"/>
        </w:rPr>
      </w:pP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5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1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5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1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公平视野下农村医疗服务空间可及性的健康效应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 xml:space="preserve">  </w:t>
    </w:r>
    <w:r>
      <w:rPr>
        <w:rFonts w:hint="eastAsia" w:cs="Times New Roman"/>
        <w:lang w:val="en-US" w:eastAsia="zh-CN"/>
      </w:rPr>
      <w:t xml:space="preserve">     </w:t>
    </w:r>
    <w:r>
      <w:rPr>
        <w:rFonts w:ascii="Times New Roman" w:hAnsi="Times New Roman" w:cs="Times New Roman"/>
      </w:rPr>
      <w:t xml:space="preserve"> </w:t>
    </w:r>
    <w:r>
      <w:rPr>
        <w:rFonts w:hint="eastAsia" w:ascii="Times New Roman" w:hAnsi="Times New Roman" w:cs="Times New Roman"/>
      </w:rPr>
      <w:t>公平视野下农村医疗服务空间可及性的健康效应</w:t>
    </w:r>
    <w:r>
      <w:rPr>
        <w:rFonts w:ascii="Times New Roman" w:hAnsi="Times New Roman" w:cs="Times New Roman"/>
      </w:rPr>
      <w:t xml:space="preserve"> </w:t>
    </w:r>
    <w:r>
      <w:rPr>
        <w:rFonts w:hint="eastAsia" w:cs="Times New Roman"/>
        <w:lang w:val="en-US" w:eastAsia="zh-CN"/>
      </w:rPr>
      <w:t xml:space="preserve">               </w:t>
    </w:r>
    <w:r>
      <w:rPr>
        <w:rFonts w:ascii="Times New Roman" w:hAnsi="Times New Roman" w:cs="Times New Roman"/>
      </w:rPr>
      <w:t xml:space="preserve">  202</w:t>
    </w:r>
    <w:r>
      <w:rPr>
        <w:rFonts w:hint="eastAsia" w:cs="Times New Roman"/>
        <w:lang w:val="en-US" w:eastAsia="zh-CN"/>
      </w:rPr>
      <w:t>4</w:t>
    </w:r>
    <w:r>
      <w:rPr>
        <w:rFonts w:ascii="Times New Roman" w:hAnsi="Times New Roman" w:cs="Times New Roman"/>
      </w:rPr>
      <w:t>.</w:t>
    </w:r>
    <w:r>
      <w:rPr>
        <w:rFonts w:hint="eastAsia" w:cs="Times New Roman"/>
        <w:lang w:val="en-US" w:eastAsia="zh-CN"/>
      </w:rPr>
      <w:t>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810F86"/>
    <w:rsid w:val="3782055B"/>
    <w:rsid w:val="378C5DAA"/>
    <w:rsid w:val="378C5E3A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05345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6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4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spacing w:line="240" w:lineRule="auto"/>
      <w:ind w:firstLine="332"/>
      <w:outlineLvl w:val="5"/>
    </w:pPr>
    <w:rPr>
      <w:rFonts w:eastAsia="黑体" w:cstheme="majorBidi"/>
      <w:bCs/>
      <w:sz w:val="18"/>
      <w:szCs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8">
    <w:name w:val="annotation subject"/>
    <w:basedOn w:val="9"/>
    <w:next w:val="9"/>
    <w:link w:val="90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9">
    <w:name w:val="annotation text"/>
    <w:basedOn w:val="1"/>
    <w:link w:val="89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10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1">
    <w:name w:val="Body Text"/>
    <w:basedOn w:val="1"/>
    <w:link w:val="106"/>
    <w:qFormat/>
    <w:uiPriority w:val="99"/>
    <w:rPr>
      <w:sz w:val="18"/>
    </w:rPr>
  </w:style>
  <w:style w:type="paragraph" w:styleId="12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3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4">
    <w:name w:val="Balloon Text"/>
    <w:basedOn w:val="1"/>
    <w:link w:val="103"/>
    <w:unhideWhenUsed/>
    <w:qFormat/>
    <w:uiPriority w:val="0"/>
    <w:rPr>
      <w:sz w:val="18"/>
      <w:szCs w:val="18"/>
    </w:rPr>
  </w:style>
  <w:style w:type="paragraph" w:styleId="15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7">
    <w:name w:val="header"/>
    <w:basedOn w:val="1"/>
    <w:link w:val="8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footnote text"/>
    <w:basedOn w:val="1"/>
    <w:link w:val="91"/>
    <w:qFormat/>
    <w:uiPriority w:val="0"/>
    <w:pPr>
      <w:snapToGrid w:val="0"/>
      <w:jc w:val="left"/>
    </w:pPr>
    <w:rPr>
      <w:sz w:val="18"/>
    </w:rPr>
  </w:style>
  <w:style w:type="paragraph" w:styleId="1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1">
    <w:name w:val="Strong"/>
    <w:basedOn w:val="20"/>
    <w:qFormat/>
    <w:uiPriority w:val="0"/>
    <w:rPr>
      <w:b/>
    </w:rPr>
  </w:style>
  <w:style w:type="character" w:styleId="22">
    <w:name w:val="page number"/>
    <w:basedOn w:val="20"/>
    <w:qFormat/>
    <w:uiPriority w:val="0"/>
  </w:style>
  <w:style w:type="character" w:styleId="23">
    <w:name w:val="FollowedHyperlink"/>
    <w:basedOn w:val="20"/>
    <w:qFormat/>
    <w:uiPriority w:val="0"/>
    <w:rPr>
      <w:color w:val="800080"/>
      <w:u w:val="none"/>
    </w:rPr>
  </w:style>
  <w:style w:type="character" w:styleId="24">
    <w:name w:val="Emphasis"/>
    <w:basedOn w:val="20"/>
    <w:qFormat/>
    <w:uiPriority w:val="0"/>
  </w:style>
  <w:style w:type="character" w:styleId="25">
    <w:name w:val="HTML Definition"/>
    <w:basedOn w:val="20"/>
    <w:qFormat/>
    <w:uiPriority w:val="0"/>
  </w:style>
  <w:style w:type="character" w:styleId="26">
    <w:name w:val="HTML Variable"/>
    <w:basedOn w:val="20"/>
    <w:qFormat/>
    <w:uiPriority w:val="0"/>
  </w:style>
  <w:style w:type="character" w:styleId="27">
    <w:name w:val="Hyperlink"/>
    <w:basedOn w:val="20"/>
    <w:unhideWhenUsed/>
    <w:qFormat/>
    <w:uiPriority w:val="0"/>
    <w:rPr>
      <w:color w:val="000000"/>
      <w:u w:val="none"/>
    </w:rPr>
  </w:style>
  <w:style w:type="character" w:styleId="28">
    <w:name w:val="HTML Code"/>
    <w:basedOn w:val="20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9">
    <w:name w:val="annotation reference"/>
    <w:basedOn w:val="20"/>
    <w:qFormat/>
    <w:uiPriority w:val="0"/>
    <w:rPr>
      <w:sz w:val="21"/>
      <w:szCs w:val="21"/>
    </w:rPr>
  </w:style>
  <w:style w:type="character" w:styleId="30">
    <w:name w:val="HTML Cite"/>
    <w:basedOn w:val="20"/>
    <w:qFormat/>
    <w:uiPriority w:val="0"/>
    <w:rPr>
      <w:color w:val="008000"/>
      <w:sz w:val="14"/>
      <w:szCs w:val="14"/>
    </w:rPr>
  </w:style>
  <w:style w:type="character" w:styleId="31">
    <w:name w:val="footnote reference"/>
    <w:basedOn w:val="20"/>
    <w:qFormat/>
    <w:uiPriority w:val="0"/>
    <w:rPr>
      <w:rFonts w:ascii="Calibri" w:hAnsi="Calibri" w:eastAsia="宋体"/>
      <w:vertAlign w:val="superscript"/>
    </w:rPr>
  </w:style>
  <w:style w:type="character" w:styleId="32">
    <w:name w:val="HTML Keyboard"/>
    <w:basedOn w:val="20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3">
    <w:name w:val="HTML Sample"/>
    <w:basedOn w:val="20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6">
    <w:name w:val="标题 1 字符"/>
    <w:basedOn w:val="20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7">
    <w:name w:val="closeeye"/>
    <w:basedOn w:val="20"/>
    <w:qFormat/>
    <w:uiPriority w:val="0"/>
  </w:style>
  <w:style w:type="character" w:customStyle="1" w:styleId="38">
    <w:name w:val="openeye"/>
    <w:basedOn w:val="20"/>
    <w:qFormat/>
    <w:uiPriority w:val="0"/>
  </w:style>
  <w:style w:type="character" w:customStyle="1" w:styleId="39">
    <w:name w:val="remaintime"/>
    <w:basedOn w:val="20"/>
    <w:qFormat/>
    <w:uiPriority w:val="0"/>
    <w:rPr>
      <w:color w:val="000000"/>
      <w:shd w:val="clear" w:color="auto" w:fill="CACACA"/>
    </w:rPr>
  </w:style>
  <w:style w:type="character" w:customStyle="1" w:styleId="40">
    <w:name w:val="seepass"/>
    <w:basedOn w:val="20"/>
    <w:qFormat/>
    <w:uiPriority w:val="0"/>
  </w:style>
  <w:style w:type="character" w:customStyle="1" w:styleId="41">
    <w:name w:val="on"/>
    <w:basedOn w:val="20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2">
    <w:name w:val="eyespan"/>
    <w:basedOn w:val="20"/>
    <w:qFormat/>
    <w:uiPriority w:val="0"/>
  </w:style>
  <w:style w:type="character" w:customStyle="1" w:styleId="43">
    <w:name w:val="hidepass"/>
    <w:basedOn w:val="20"/>
    <w:qFormat/>
    <w:uiPriority w:val="0"/>
  </w:style>
  <w:style w:type="character" w:customStyle="1" w:styleId="44">
    <w:name w:val="hover18"/>
    <w:basedOn w:val="20"/>
    <w:qFormat/>
    <w:uiPriority w:val="0"/>
    <w:rPr>
      <w:color w:val="FFFFFF"/>
      <w:shd w:val="clear" w:color="auto" w:fill="237EC7"/>
    </w:rPr>
  </w:style>
  <w:style w:type="character" w:customStyle="1" w:styleId="45">
    <w:name w:val="hover19"/>
    <w:basedOn w:val="20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6">
    <w:name w:val="first-child"/>
    <w:basedOn w:val="20"/>
    <w:qFormat/>
    <w:uiPriority w:val="0"/>
  </w:style>
  <w:style w:type="character" w:customStyle="1" w:styleId="47">
    <w:name w:val="hover47"/>
    <w:basedOn w:val="20"/>
    <w:qFormat/>
    <w:uiPriority w:val="0"/>
    <w:rPr>
      <w:shd w:val="clear" w:color="auto" w:fill="1D50A2"/>
    </w:rPr>
  </w:style>
  <w:style w:type="character" w:customStyle="1" w:styleId="48">
    <w:name w:val="hover48"/>
    <w:basedOn w:val="20"/>
    <w:qFormat/>
    <w:uiPriority w:val="0"/>
    <w:rPr>
      <w:color w:val="1D50A2"/>
    </w:rPr>
  </w:style>
  <w:style w:type="character" w:customStyle="1" w:styleId="49">
    <w:name w:val="mip-carousel-current-indicator"/>
    <w:basedOn w:val="20"/>
    <w:qFormat/>
    <w:uiPriority w:val="0"/>
    <w:rPr>
      <w:shd w:val="clear" w:color="auto" w:fill="FF0000"/>
    </w:rPr>
  </w:style>
  <w:style w:type="character" w:customStyle="1" w:styleId="50">
    <w:name w:val="hover24"/>
    <w:basedOn w:val="20"/>
    <w:qFormat/>
    <w:uiPriority w:val="0"/>
    <w:rPr>
      <w:color w:val="315EFB"/>
    </w:rPr>
  </w:style>
  <w:style w:type="character" w:customStyle="1" w:styleId="51">
    <w:name w:val="hover25"/>
    <w:basedOn w:val="20"/>
    <w:qFormat/>
    <w:uiPriority w:val="0"/>
  </w:style>
  <w:style w:type="character" w:customStyle="1" w:styleId="52">
    <w:name w:val="c-icon28"/>
    <w:basedOn w:val="20"/>
    <w:qFormat/>
    <w:uiPriority w:val="0"/>
  </w:style>
  <w:style w:type="character" w:customStyle="1" w:styleId="53">
    <w:name w:val="pchide"/>
    <w:basedOn w:val="20"/>
    <w:qFormat/>
    <w:uiPriority w:val="0"/>
    <w:rPr>
      <w:color w:val="999999"/>
    </w:rPr>
  </w:style>
  <w:style w:type="character" w:customStyle="1" w:styleId="54">
    <w:name w:val="cur"/>
    <w:basedOn w:val="20"/>
    <w:qFormat/>
    <w:uiPriority w:val="0"/>
    <w:rPr>
      <w:color w:val="C40001"/>
    </w:rPr>
  </w:style>
  <w:style w:type="character" w:customStyle="1" w:styleId="55">
    <w:name w:val="cur1"/>
    <w:basedOn w:val="20"/>
    <w:qFormat/>
    <w:uiPriority w:val="0"/>
    <w:rPr>
      <w:color w:val="C40001"/>
    </w:rPr>
  </w:style>
  <w:style w:type="character" w:customStyle="1" w:styleId="56">
    <w:name w:val="zhankai"/>
    <w:basedOn w:val="20"/>
    <w:qFormat/>
    <w:uiPriority w:val="0"/>
  </w:style>
  <w:style w:type="character" w:customStyle="1" w:styleId="57">
    <w:name w:val="p90"/>
    <w:basedOn w:val="20"/>
    <w:qFormat/>
    <w:uiPriority w:val="0"/>
  </w:style>
  <w:style w:type="character" w:customStyle="1" w:styleId="58">
    <w:name w:val="last-child"/>
    <w:basedOn w:val="20"/>
    <w:qFormat/>
    <w:uiPriority w:val="0"/>
  </w:style>
  <w:style w:type="character" w:customStyle="1" w:styleId="59">
    <w:name w:val="last-child1"/>
    <w:basedOn w:val="20"/>
    <w:qFormat/>
    <w:uiPriority w:val="0"/>
  </w:style>
  <w:style w:type="character" w:customStyle="1" w:styleId="60">
    <w:name w:val="hover10"/>
    <w:basedOn w:val="20"/>
    <w:qFormat/>
    <w:uiPriority w:val="0"/>
    <w:rPr>
      <w:color w:val="C40001"/>
    </w:rPr>
  </w:style>
  <w:style w:type="character" w:customStyle="1" w:styleId="61">
    <w:name w:val="index-module_accountauthentication_3bwix"/>
    <w:basedOn w:val="20"/>
    <w:qFormat/>
    <w:uiPriority w:val="0"/>
  </w:style>
  <w:style w:type="character" w:customStyle="1" w:styleId="62">
    <w:name w:val="m01"/>
    <w:basedOn w:val="20"/>
    <w:qFormat/>
    <w:uiPriority w:val="0"/>
  </w:style>
  <w:style w:type="character" w:customStyle="1" w:styleId="63">
    <w:name w:val="m011"/>
    <w:basedOn w:val="20"/>
    <w:qFormat/>
    <w:uiPriority w:val="0"/>
  </w:style>
  <w:style w:type="character" w:customStyle="1" w:styleId="64">
    <w:name w:val="name"/>
    <w:basedOn w:val="20"/>
    <w:qFormat/>
    <w:uiPriority w:val="0"/>
    <w:rPr>
      <w:color w:val="6A6A6A"/>
      <w:u w:val="single"/>
    </w:rPr>
  </w:style>
  <w:style w:type="character" w:customStyle="1" w:styleId="65">
    <w:name w:val="more4"/>
    <w:basedOn w:val="20"/>
    <w:qFormat/>
    <w:uiPriority w:val="0"/>
    <w:rPr>
      <w:color w:val="666666"/>
      <w:sz w:val="14"/>
      <w:szCs w:val="14"/>
    </w:rPr>
  </w:style>
  <w:style w:type="character" w:customStyle="1" w:styleId="66">
    <w:name w:val="dates"/>
    <w:basedOn w:val="20"/>
    <w:qFormat/>
    <w:uiPriority w:val="0"/>
  </w:style>
  <w:style w:type="character" w:customStyle="1" w:styleId="67">
    <w:name w:val="bg02"/>
    <w:basedOn w:val="20"/>
    <w:qFormat/>
    <w:uiPriority w:val="0"/>
  </w:style>
  <w:style w:type="character" w:customStyle="1" w:styleId="68">
    <w:name w:val="tabg"/>
    <w:basedOn w:val="20"/>
    <w:qFormat/>
    <w:uiPriority w:val="0"/>
    <w:rPr>
      <w:color w:val="FFFFFF"/>
      <w:sz w:val="21"/>
      <w:szCs w:val="21"/>
    </w:rPr>
  </w:style>
  <w:style w:type="character" w:customStyle="1" w:styleId="69">
    <w:name w:val="bg01"/>
    <w:basedOn w:val="20"/>
    <w:qFormat/>
    <w:uiPriority w:val="0"/>
  </w:style>
  <w:style w:type="character" w:customStyle="1" w:styleId="70">
    <w:name w:val="font2"/>
    <w:basedOn w:val="20"/>
    <w:qFormat/>
    <w:uiPriority w:val="0"/>
  </w:style>
  <w:style w:type="character" w:customStyle="1" w:styleId="71">
    <w:name w:val="font3"/>
    <w:basedOn w:val="20"/>
    <w:qFormat/>
    <w:uiPriority w:val="0"/>
  </w:style>
  <w:style w:type="character" w:customStyle="1" w:styleId="72">
    <w:name w:val="laypage_curr"/>
    <w:basedOn w:val="20"/>
    <w:qFormat/>
    <w:uiPriority w:val="0"/>
    <w:rPr>
      <w:color w:val="FFFDF4"/>
      <w:shd w:val="clear" w:color="auto" w:fill="0B67A6"/>
    </w:rPr>
  </w:style>
  <w:style w:type="character" w:customStyle="1" w:styleId="73">
    <w:name w:val="place"/>
    <w:basedOn w:val="20"/>
    <w:qFormat/>
    <w:uiPriority w:val="0"/>
  </w:style>
  <w:style w:type="character" w:customStyle="1" w:styleId="74">
    <w:name w:val="place1"/>
    <w:basedOn w:val="20"/>
    <w:qFormat/>
    <w:uiPriority w:val="0"/>
  </w:style>
  <w:style w:type="character" w:customStyle="1" w:styleId="75">
    <w:name w:val="place2"/>
    <w:basedOn w:val="20"/>
    <w:qFormat/>
    <w:uiPriority w:val="0"/>
  </w:style>
  <w:style w:type="character" w:customStyle="1" w:styleId="76">
    <w:name w:val="place3"/>
    <w:basedOn w:val="20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7">
    <w:name w:val="noline"/>
    <w:basedOn w:val="20"/>
    <w:qFormat/>
    <w:uiPriority w:val="0"/>
  </w:style>
  <w:style w:type="character" w:customStyle="1" w:styleId="78">
    <w:name w:val="font"/>
    <w:basedOn w:val="20"/>
    <w:qFormat/>
    <w:uiPriority w:val="0"/>
  </w:style>
  <w:style w:type="character" w:customStyle="1" w:styleId="79">
    <w:name w:val="font1"/>
    <w:basedOn w:val="20"/>
    <w:qFormat/>
    <w:uiPriority w:val="0"/>
  </w:style>
  <w:style w:type="character" w:customStyle="1" w:styleId="80">
    <w:name w:val="gwds_nopic"/>
    <w:basedOn w:val="20"/>
    <w:qFormat/>
    <w:uiPriority w:val="0"/>
  </w:style>
  <w:style w:type="character" w:customStyle="1" w:styleId="81">
    <w:name w:val="gwds_nopic1"/>
    <w:basedOn w:val="20"/>
    <w:qFormat/>
    <w:uiPriority w:val="0"/>
  </w:style>
  <w:style w:type="character" w:customStyle="1" w:styleId="82">
    <w:name w:val="gwds_nopic2"/>
    <w:basedOn w:val="20"/>
    <w:qFormat/>
    <w:uiPriority w:val="0"/>
  </w:style>
  <w:style w:type="character" w:customStyle="1" w:styleId="83">
    <w:name w:val="hover20"/>
    <w:basedOn w:val="20"/>
    <w:qFormat/>
    <w:uiPriority w:val="0"/>
    <w:rPr>
      <w:color w:val="015293"/>
    </w:rPr>
  </w:style>
  <w:style w:type="paragraph" w:customStyle="1" w:styleId="84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5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6">
    <w:name w:val="页眉 字符"/>
    <w:basedOn w:val="20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7">
    <w:name w:val="页脚 字符"/>
    <w:basedOn w:val="20"/>
    <w:link w:val="1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8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9">
    <w:name w:val="批注文字 字符"/>
    <w:basedOn w:val="20"/>
    <w:link w:val="9"/>
    <w:qFormat/>
    <w:uiPriority w:val="0"/>
  </w:style>
  <w:style w:type="character" w:customStyle="1" w:styleId="90">
    <w:name w:val="批注主题 字符"/>
    <w:basedOn w:val="89"/>
    <w:link w:val="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1">
    <w:name w:val="脚注文本 字符"/>
    <w:basedOn w:val="20"/>
    <w:link w:val="18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2">
    <w:name w:val="列表段落1"/>
    <w:basedOn w:val="1"/>
    <w:qFormat/>
    <w:uiPriority w:val="99"/>
    <w:pPr>
      <w:ind w:firstLine="420" w:firstLineChars="200"/>
    </w:pPr>
  </w:style>
  <w:style w:type="character" w:customStyle="1" w:styleId="93">
    <w:name w:val="font21"/>
    <w:basedOn w:val="2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4">
    <w:name w:val="MTEquationSection"/>
    <w:basedOn w:val="20"/>
    <w:qFormat/>
    <w:uiPriority w:val="0"/>
    <w:rPr>
      <w:rFonts w:ascii="黑体" w:hAnsi="黑体" w:eastAsia="黑体"/>
      <w:vanish/>
      <w:color w:val="FF0000"/>
    </w:rPr>
  </w:style>
  <w:style w:type="character" w:customStyle="1" w:styleId="95">
    <w:name w:val="dt-editor__word"/>
    <w:qFormat/>
    <w:uiPriority w:val="0"/>
  </w:style>
  <w:style w:type="table" w:customStyle="1" w:styleId="96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7">
    <w:name w:val="List Paragraph"/>
    <w:basedOn w:val="1"/>
    <w:qFormat/>
    <w:uiPriority w:val="99"/>
    <w:pPr>
      <w:ind w:firstLine="420" w:firstLineChars="200"/>
    </w:pPr>
  </w:style>
  <w:style w:type="paragraph" w:customStyle="1" w:styleId="98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9">
    <w:name w:val="MTDisplayEquation"/>
    <w:basedOn w:val="1"/>
    <w:next w:val="1"/>
    <w:link w:val="100"/>
    <w:qFormat/>
    <w:uiPriority w:val="0"/>
    <w:pPr>
      <w:tabs>
        <w:tab w:val="center" w:pos="4320"/>
        <w:tab w:val="right" w:pos="8620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character" w:customStyle="1" w:styleId="100">
    <w:name w:val="MTDisplayEquation 字符"/>
    <w:basedOn w:val="20"/>
    <w:link w:val="99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1">
    <w:name w:val="未处理的提及1"/>
    <w:basedOn w:val="2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2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3">
    <w:name w:val="批注框文本 字符"/>
    <w:basedOn w:val="20"/>
    <w:link w:val="1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4">
    <w:name w:val="标题 2 字符"/>
    <w:basedOn w:val="20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5">
    <w:name w:val="未处理的提及2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6">
    <w:name w:val="正文文本 字符"/>
    <w:basedOn w:val="20"/>
    <w:link w:val="11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7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8">
    <w:name w:val="Unresolved Mention"/>
    <w:basedOn w:val="2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9">
    <w:name w:val="3"/>
    <w:basedOn w:val="1"/>
    <w:next w:val="92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10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1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2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3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4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5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  <w:style w:type="table" w:customStyle="1" w:styleId="116">
    <w:name w:val="三线表"/>
    <w:basedOn w:val="34"/>
    <w:qFormat/>
    <w:uiPriority w:val="99"/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1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crecrs</cp:lastModifiedBy>
  <cp:lastPrinted>2023-06-28T09:19:00Z</cp:lastPrinted>
  <dcterms:modified xsi:type="dcterms:W3CDTF">2024-11-18T02:54:05Z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